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4A5286B" w:rsidR="009E6CB7" w:rsidRPr="00D47EEA" w:rsidRDefault="006B3551" w:rsidP="006B3551">
            <w:pPr>
              <w:jc w:val="right"/>
            </w:pPr>
            <w:r w:rsidRPr="006B3551">
              <w:rPr>
                <w:sz w:val="40"/>
              </w:rPr>
              <w:t>ECE</w:t>
            </w:r>
            <w:r>
              <w:t>/TRANS/WP.29/202</w:t>
            </w:r>
            <w:r w:rsidR="00DD7B52">
              <w:t>2</w:t>
            </w:r>
            <w:r>
              <w:t>/</w:t>
            </w:r>
            <w:r w:rsidR="00151675" w:rsidRPr="00AC6123">
              <w:t>6</w:t>
            </w:r>
            <w:r w:rsidR="002F6261" w:rsidRPr="00AC6123">
              <w:t>6</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34B577C3" w:rsidR="006B3551" w:rsidRDefault="00686399" w:rsidP="006B3551">
            <w:pPr>
              <w:spacing w:line="240" w:lineRule="exact"/>
            </w:pPr>
            <w:r>
              <w:t xml:space="preserve">4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40F78E03" w:rsidR="006B3551" w:rsidRDefault="006B3551" w:rsidP="006B3551">
      <w:r>
        <w:t xml:space="preserve">Item </w:t>
      </w:r>
      <w:r w:rsidR="006E0C3B">
        <w:t>4.</w:t>
      </w:r>
      <w:r w:rsidR="00B37665">
        <w:t>6</w:t>
      </w:r>
      <w:r w:rsidR="00F21D59" w:rsidRPr="00F21D59">
        <w:t>.</w:t>
      </w:r>
      <w:r w:rsidR="00EB5785">
        <w:t>4</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669D6364" w:rsidR="006B3551" w:rsidRPr="00BF7730" w:rsidRDefault="006B3551" w:rsidP="00BF7730">
      <w:pPr>
        <w:pStyle w:val="HChG"/>
        <w:rPr>
          <w:lang w:val="en-US"/>
        </w:rPr>
      </w:pPr>
      <w:r>
        <w:tab/>
      </w:r>
      <w:r>
        <w:tab/>
      </w:r>
      <w:r w:rsidR="000F0A6C">
        <w:rPr>
          <w:color w:val="0D0D0D"/>
        </w:rPr>
        <w:t xml:space="preserve">Proposal for </w:t>
      </w:r>
      <w:r w:rsidR="000F0A6C" w:rsidRPr="003600DC">
        <w:rPr>
          <w:color w:val="0D0D0D"/>
        </w:rPr>
        <w:t xml:space="preserve">Supplement </w:t>
      </w:r>
      <w:r w:rsidR="000F0A6C">
        <w:rPr>
          <w:color w:val="0D0D0D"/>
        </w:rPr>
        <w:t>4</w:t>
      </w:r>
      <w:r w:rsidR="000F0A6C" w:rsidRPr="003600DC">
        <w:rPr>
          <w:color w:val="0D0D0D"/>
        </w:rPr>
        <w:t xml:space="preserve"> to the 0</w:t>
      </w:r>
      <w:r w:rsidR="000F0A6C">
        <w:rPr>
          <w:color w:val="0D0D0D"/>
        </w:rPr>
        <w:t>1</w:t>
      </w:r>
      <w:r w:rsidR="000F0A6C" w:rsidRPr="003600DC">
        <w:rPr>
          <w:color w:val="0D0D0D"/>
        </w:rPr>
        <w:t xml:space="preserve"> series of amendments to UN Regulation No. </w:t>
      </w:r>
      <w:r w:rsidR="000F0A6C">
        <w:rPr>
          <w:color w:val="0D0D0D"/>
        </w:rPr>
        <w:t>137</w:t>
      </w:r>
      <w:r w:rsidR="000F0A6C" w:rsidRPr="003600DC">
        <w:rPr>
          <w:color w:val="0D0D0D"/>
        </w:rPr>
        <w:t xml:space="preserve"> (Frontal </w:t>
      </w:r>
      <w:r w:rsidR="000F0A6C">
        <w:rPr>
          <w:color w:val="0D0D0D"/>
        </w:rPr>
        <w:t>impact with focus on restraint systems</w:t>
      </w:r>
      <w:r w:rsidR="000F0A6C" w:rsidRPr="003600DC">
        <w:rPr>
          <w:color w:val="0D0D0D"/>
        </w:rPr>
        <w:t>)</w:t>
      </w:r>
    </w:p>
    <w:p w14:paraId="48239928" w14:textId="45F88F0C" w:rsidR="00F65548" w:rsidRDefault="006B3551" w:rsidP="00704A82">
      <w:pPr>
        <w:pStyle w:val="H1G"/>
      </w:pPr>
      <w:r>
        <w:tab/>
      </w:r>
      <w:r>
        <w:tab/>
      </w:r>
      <w:r w:rsidR="00F65548" w:rsidRPr="00A96F13">
        <w:t>Submitted</w:t>
      </w:r>
      <w:r w:rsidR="00F65548" w:rsidRPr="0036339F">
        <w:t xml:space="preserve"> by the </w:t>
      </w:r>
      <w:r w:rsidR="00F65548">
        <w:t xml:space="preserve">Working Party on </w:t>
      </w:r>
      <w:r w:rsidR="007C40F2">
        <w:t>Passive</w:t>
      </w:r>
      <w:r w:rsidR="00F65548" w:rsidRPr="00B60FC0">
        <w:t xml:space="preserve"> Safety</w:t>
      </w:r>
      <w:r w:rsidR="00F65548">
        <w:t xml:space="preserve"> </w:t>
      </w:r>
      <w:r w:rsidR="00F65548" w:rsidRPr="005F3E9A">
        <w:rPr>
          <w:rStyle w:val="FootnoteReference"/>
          <w:sz w:val="20"/>
        </w:rPr>
        <w:footnoteReference w:customMarkFollows="1" w:id="2"/>
        <w:t>*</w:t>
      </w:r>
    </w:p>
    <w:p w14:paraId="471D5522" w14:textId="4019A865"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DE1482">
        <w:t>2</w:t>
      </w:r>
      <w:r w:rsidR="00DD09CF">
        <w:t>6</w:t>
      </w:r>
      <w:r>
        <w:rPr>
          <w:lang w:val="en-US"/>
        </w:rPr>
        <w:t>). It is</w:t>
      </w:r>
      <w:r w:rsidRPr="00DB1488">
        <w:rPr>
          <w:lang w:val="en-US"/>
        </w:rPr>
        <w:t xml:space="preserve"> based </w:t>
      </w:r>
      <w:r w:rsidRPr="00905E5C">
        <w:rPr>
          <w:lang w:val="en-US"/>
        </w:rPr>
        <w:t xml:space="preserve">on </w:t>
      </w:r>
      <w:r w:rsidR="0089741D" w:rsidRPr="00F34C49">
        <w:t>ECE/TRANS/WP.29/GRSP/2021/</w:t>
      </w:r>
      <w:r w:rsidR="00DD09CF">
        <w:t>23</w:t>
      </w:r>
      <w:r w:rsidR="0089741D">
        <w:t xml:space="preserve"> </w:t>
      </w:r>
      <w:r w:rsidR="00DD09CF">
        <w:t>not</w:t>
      </w:r>
      <w:r w:rsidR="0089741D">
        <w:t xml:space="preserve">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152295">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419C5E60" w14:textId="77777777" w:rsidR="00F7519A" w:rsidRPr="00AA2236" w:rsidRDefault="00F7519A" w:rsidP="00F7519A">
      <w:pPr>
        <w:pStyle w:val="SingleTxtG"/>
        <w:ind w:left="2268" w:hanging="1134"/>
        <w:rPr>
          <w:lang w:eastAsia="ja-JP"/>
        </w:rPr>
      </w:pPr>
      <w:r w:rsidRPr="00AA2236">
        <w:rPr>
          <w:i/>
          <w:lang w:eastAsia="ja-JP"/>
        </w:rPr>
        <w:lastRenderedPageBreak/>
        <w:t xml:space="preserve">Annex 3, paragraph 1.4.3.11.3., </w:t>
      </w:r>
      <w:r w:rsidRPr="00AA2236">
        <w:rPr>
          <w:lang w:eastAsia="ja-JP"/>
        </w:rPr>
        <w:t>amend to read:</w:t>
      </w:r>
    </w:p>
    <w:p w14:paraId="26DD6A22" w14:textId="77777777" w:rsidR="00F7519A" w:rsidRPr="00AA2236" w:rsidRDefault="00F7519A" w:rsidP="00F7519A">
      <w:pPr>
        <w:tabs>
          <w:tab w:val="left" w:pos="2268"/>
        </w:tabs>
        <w:spacing w:after="120"/>
        <w:ind w:left="2268" w:right="1134" w:hanging="1134"/>
        <w:jc w:val="both"/>
      </w:pPr>
      <w:r w:rsidRPr="00AA2236">
        <w:t>"1.4.3.11.3.</w:t>
      </w:r>
      <w:r w:rsidRPr="00AA2236">
        <w:tab/>
        <w:t>Position of the front seat-backs</w:t>
      </w:r>
    </w:p>
    <w:p w14:paraId="173D6B5A" w14:textId="77777777" w:rsidR="00F7519A" w:rsidRPr="00AA2236" w:rsidRDefault="00F7519A" w:rsidP="00F7519A">
      <w:pPr>
        <w:tabs>
          <w:tab w:val="left" w:pos="2268"/>
        </w:tabs>
        <w:spacing w:after="120"/>
        <w:ind w:left="2268" w:right="1134" w:hanging="1134"/>
        <w:jc w:val="both"/>
        <w:rPr>
          <w:spacing w:val="-4"/>
        </w:rPr>
      </w:pPr>
      <w:r w:rsidRPr="00CF50F5">
        <w:rPr>
          <w:spacing w:val="-4"/>
        </w:rPr>
        <w:tab/>
      </w:r>
      <w:r w:rsidRPr="00AA2236">
        <w:rPr>
          <w:spacing w:val="-4"/>
        </w:rPr>
        <w:t>If adjustable, … of Annex 5, paragraph 3.1.</w:t>
      </w:r>
      <w:r w:rsidRPr="00CB0F9C">
        <w:rPr>
          <w:bCs/>
          <w:spacing w:val="-4"/>
        </w:rPr>
        <w:t>2.</w:t>
      </w:r>
      <w:r w:rsidRPr="00AA2236">
        <w:rPr>
          <w:spacing w:val="-4"/>
        </w:rPr>
        <w:t>"</w:t>
      </w:r>
    </w:p>
    <w:p w14:paraId="2A4C1CBC" w14:textId="77777777" w:rsidR="00F7519A" w:rsidRPr="00AA2236" w:rsidRDefault="00F7519A" w:rsidP="00F7519A">
      <w:pPr>
        <w:pStyle w:val="SingleTxtG"/>
        <w:ind w:left="2268" w:hanging="1134"/>
        <w:rPr>
          <w:i/>
        </w:rPr>
      </w:pPr>
      <w:r w:rsidRPr="00AA2236">
        <w:rPr>
          <w:i/>
          <w:lang w:eastAsia="ja-JP"/>
        </w:rPr>
        <w:t xml:space="preserve">Annex 5, paragraph 3.13., </w:t>
      </w:r>
      <w:r w:rsidRPr="00AA2236">
        <w:rPr>
          <w:lang w:eastAsia="ja-JP"/>
        </w:rPr>
        <w:t>amend to read:</w:t>
      </w:r>
    </w:p>
    <w:p w14:paraId="44F72540" w14:textId="77777777" w:rsidR="00F7519A" w:rsidRPr="00AA2236" w:rsidRDefault="00F7519A" w:rsidP="00F7519A">
      <w:pPr>
        <w:keepNext/>
        <w:keepLines/>
        <w:widowControl w:val="0"/>
        <w:tabs>
          <w:tab w:val="left" w:pos="2268"/>
        </w:tabs>
        <w:suppressAutoHyphens w:val="0"/>
        <w:spacing w:before="120" w:after="120"/>
        <w:ind w:left="2268" w:right="1134" w:hanging="1134"/>
        <w:jc w:val="both"/>
      </w:pPr>
      <w:r w:rsidRPr="00AA2236">
        <w:rPr>
          <w:bCs/>
        </w:rPr>
        <w:t>"</w:t>
      </w:r>
      <w:r w:rsidRPr="00AA2236">
        <w:t>3.1.</w:t>
      </w:r>
      <w:r w:rsidRPr="00AA2236">
        <w:tab/>
        <w:t>Head</w:t>
      </w:r>
    </w:p>
    <w:p w14:paraId="585CD0A1" w14:textId="378C012A" w:rsidR="00F7519A" w:rsidRPr="00AA2236" w:rsidRDefault="00F7519A" w:rsidP="00F7519A">
      <w:pPr>
        <w:widowControl w:val="0"/>
        <w:tabs>
          <w:tab w:val="left" w:pos="2268"/>
        </w:tabs>
        <w:suppressAutoHyphens w:val="0"/>
        <w:spacing w:after="120"/>
        <w:ind w:left="2268" w:right="1134" w:hanging="1134"/>
        <w:jc w:val="both"/>
      </w:pPr>
      <w:r w:rsidRPr="00AA2236">
        <w:tab/>
        <w:t>The transverse instrumentation platform of the head shall be horizontal within 2.5°."</w:t>
      </w:r>
    </w:p>
    <w:p w14:paraId="7BBC9C28" w14:textId="77777777" w:rsidR="00F7519A" w:rsidRPr="00AA2236" w:rsidRDefault="00F7519A" w:rsidP="00F7519A">
      <w:pPr>
        <w:spacing w:after="120"/>
        <w:ind w:left="2268" w:right="1134" w:hanging="1134"/>
        <w:jc w:val="both"/>
        <w:rPr>
          <w:b/>
          <w:color w:val="0070C0"/>
        </w:rPr>
      </w:pPr>
      <w:r w:rsidRPr="00AA2236">
        <w:rPr>
          <w:i/>
          <w:lang w:eastAsia="ja-JP"/>
        </w:rPr>
        <w:t xml:space="preserve">Insert new paragraphs 3.1.1. and 3.1.2., </w:t>
      </w:r>
      <w:r w:rsidRPr="00AA2236">
        <w:rPr>
          <w:lang w:eastAsia="ja-JP"/>
        </w:rPr>
        <w:t>to read:</w:t>
      </w:r>
    </w:p>
    <w:p w14:paraId="0DBFAB69" w14:textId="77777777" w:rsidR="00F7519A" w:rsidRPr="00F7519A" w:rsidRDefault="00F7519A" w:rsidP="00F7519A">
      <w:pPr>
        <w:keepNext/>
        <w:keepLines/>
        <w:widowControl w:val="0"/>
        <w:tabs>
          <w:tab w:val="left" w:pos="2268"/>
        </w:tabs>
        <w:suppressAutoHyphens w:val="0"/>
        <w:spacing w:before="120" w:after="120"/>
        <w:ind w:left="2268" w:right="1134" w:hanging="1134"/>
        <w:jc w:val="both"/>
        <w:rPr>
          <w:bCs/>
        </w:rPr>
      </w:pPr>
      <w:r w:rsidRPr="00F7519A">
        <w:rPr>
          <w:bCs/>
        </w:rPr>
        <w:t>"3.1.1.</w:t>
      </w:r>
      <w:r w:rsidRPr="00F7519A">
        <w:rPr>
          <w:bCs/>
        </w:rPr>
        <w:tab/>
        <w:t>To level the head of the test dummy in vehicles with upright seats with non-adjustable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w:t>
      </w:r>
    </w:p>
    <w:p w14:paraId="0D1F9ECF" w14:textId="77777777" w:rsidR="00F7519A" w:rsidRPr="00F7519A" w:rsidRDefault="00F7519A" w:rsidP="00F7519A">
      <w:pPr>
        <w:keepNext/>
        <w:keepLines/>
        <w:widowControl w:val="0"/>
        <w:tabs>
          <w:tab w:val="left" w:pos="2268"/>
        </w:tabs>
        <w:suppressAutoHyphens w:val="0"/>
        <w:spacing w:before="120" w:after="120"/>
        <w:ind w:left="2268" w:right="1134" w:hanging="1134"/>
        <w:jc w:val="both"/>
        <w:rPr>
          <w:bCs/>
        </w:rPr>
      </w:pPr>
      <w:r w:rsidRPr="00F7519A">
        <w:rPr>
          <w:bCs/>
        </w:rPr>
        <w:t>3.1.2.</w:t>
      </w:r>
      <w:r w:rsidRPr="00F7519A">
        <w:rPr>
          <w:bCs/>
        </w:rPr>
        <w:tab/>
        <w:t>To level the head of the test dummy in vehicles with adjustable backs, the following sequences shall be followed. First adjust the position of the "H 5</w:t>
      </w:r>
      <w:r w:rsidRPr="00F7519A">
        <w:rPr>
          <w:bCs/>
          <w:vertAlign w:val="superscript"/>
        </w:rPr>
        <w:t>th</w:t>
      </w:r>
      <w:r w:rsidRPr="00F7519A">
        <w:rPr>
          <w:bCs/>
        </w:rPr>
        <w:t>" point within the limits set forth in paragraph 3.4.3.1. below to level the transverse instrumentation platform of the head of the test dummy. If the transverse instrumentation platform of the head is still not level, then adjust the pelvic angle of the test dummy within the limits provided in paragraph 3.4.3.2. below. If the transverse instrumentation platform of the head is still not level, then adjust the neck bracket of the test dummy to the minimum amount necessary to ensure that the transverse instrumentation platform of the head is horizontal within 2.5°. If the transverse instrumentation platform of the head is still not level, then adjust the seat back to a different angle at a minimum amount necessary to ensure that the transverse instrumentation platform of the head is horizontal within 2.5°."</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3ED5" w14:textId="77777777" w:rsidR="00482D0A" w:rsidRDefault="00482D0A"/>
  </w:endnote>
  <w:endnote w:type="continuationSeparator" w:id="0">
    <w:p w14:paraId="30B64A7C" w14:textId="77777777" w:rsidR="00482D0A" w:rsidRDefault="00482D0A"/>
  </w:endnote>
  <w:endnote w:type="continuationNotice" w:id="1">
    <w:p w14:paraId="28A77209" w14:textId="77777777" w:rsidR="00482D0A" w:rsidRDefault="00482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D05D" w14:textId="49950E09" w:rsidR="0035223F" w:rsidRDefault="00660877" w:rsidP="00660877">
    <w:pPr>
      <w:pStyle w:val="Footer"/>
      <w:rPr>
        <w:sz w:val="20"/>
      </w:rPr>
    </w:pPr>
    <w:bookmarkStart w:id="0" w:name="_GoBack"/>
    <w:bookmarkEnd w:id="0"/>
    <w:r w:rsidRPr="00660877">
      <w:rPr>
        <w:noProof/>
        <w:sz w:val="20"/>
        <w:lang w:val="en-US" w:eastAsia="zh-CN"/>
      </w:rPr>
      <w:drawing>
        <wp:anchor distT="0" distB="0" distL="114300" distR="114300" simplePos="0" relativeHeight="251660288" behindDoc="1" locked="1" layoutInCell="1" allowOverlap="1" wp14:anchorId="13EA2674" wp14:editId="18D1E48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DAE09D" w14:textId="35C9C7F1" w:rsidR="00660877" w:rsidRPr="00660877" w:rsidRDefault="00660877" w:rsidP="00660877">
    <w:pPr>
      <w:pStyle w:val="Footer"/>
      <w:ind w:right="1134"/>
      <w:rPr>
        <w:sz w:val="20"/>
      </w:rPr>
    </w:pPr>
    <w:r>
      <w:rPr>
        <w:sz w:val="20"/>
      </w:rPr>
      <w:t>GE.22-04916(E)</w:t>
    </w:r>
    <w:r>
      <w:rPr>
        <w:noProof/>
        <w:sz w:val="20"/>
      </w:rPr>
      <w:drawing>
        <wp:anchor distT="0" distB="0" distL="114300" distR="114300" simplePos="0" relativeHeight="251661312" behindDoc="0" locked="0" layoutInCell="1" allowOverlap="1" wp14:anchorId="0DAD5092" wp14:editId="2BB41F8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9E05" w14:textId="77777777" w:rsidR="00482D0A" w:rsidRPr="000B175B" w:rsidRDefault="00482D0A" w:rsidP="000B175B">
      <w:pPr>
        <w:tabs>
          <w:tab w:val="right" w:pos="2155"/>
        </w:tabs>
        <w:spacing w:after="80"/>
        <w:ind w:left="680"/>
        <w:rPr>
          <w:u w:val="single"/>
        </w:rPr>
      </w:pPr>
      <w:r>
        <w:rPr>
          <w:u w:val="single"/>
        </w:rPr>
        <w:tab/>
      </w:r>
    </w:p>
  </w:footnote>
  <w:footnote w:type="continuationSeparator" w:id="0">
    <w:p w14:paraId="1AC95806" w14:textId="77777777" w:rsidR="00482D0A" w:rsidRPr="00FC68B7" w:rsidRDefault="00482D0A" w:rsidP="00FC68B7">
      <w:pPr>
        <w:tabs>
          <w:tab w:val="left" w:pos="2155"/>
        </w:tabs>
        <w:spacing w:after="80"/>
        <w:ind w:left="680"/>
        <w:rPr>
          <w:u w:val="single"/>
        </w:rPr>
      </w:pPr>
      <w:r>
        <w:rPr>
          <w:u w:val="single"/>
        </w:rPr>
        <w:tab/>
      </w:r>
    </w:p>
  </w:footnote>
  <w:footnote w:type="continuationNotice" w:id="1">
    <w:p w14:paraId="4A75E4B8" w14:textId="77777777" w:rsidR="00482D0A" w:rsidRDefault="00482D0A"/>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5D844442" w:rsidR="006B3551" w:rsidRPr="006B3551" w:rsidRDefault="006B3551">
    <w:pPr>
      <w:pStyle w:val="Header"/>
    </w:pPr>
    <w:r>
      <w:t>ECE/TRANS/WP.29/202</w:t>
    </w:r>
    <w:r w:rsidR="00720F52">
      <w:t>2</w:t>
    </w:r>
    <w:r>
      <w:t>/</w:t>
    </w:r>
    <w:r w:rsidR="005B4BFB" w:rsidRPr="00AC6123">
      <w:t>6</w:t>
    </w:r>
    <w:r w:rsidR="002F6261" w:rsidRPr="00AC6123">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EF397F3" w:rsidR="006B3551" w:rsidRPr="006B3551" w:rsidRDefault="006B3551" w:rsidP="006B3551">
    <w:pPr>
      <w:pStyle w:val="Header"/>
      <w:jc w:val="right"/>
    </w:pPr>
    <w:r>
      <w:t>ECE/TRANS/WP.29/202</w:t>
    </w:r>
    <w:r w:rsidR="0029684D">
      <w:t>2</w:t>
    </w:r>
    <w:r>
      <w:t>/</w:t>
    </w:r>
    <w:r w:rsidR="005B4BFB">
      <w:t>6</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6"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8"/>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6"/>
  </w:num>
  <w:num w:numId="28">
    <w:abstractNumId w:val="40"/>
  </w:num>
  <w:num w:numId="29">
    <w:abstractNumId w:val="35"/>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2"/>
  </w:num>
  <w:num w:numId="35">
    <w:abstractNumId w:val="11"/>
  </w:num>
  <w:num w:numId="36">
    <w:abstractNumId w:val="34"/>
  </w:num>
  <w:num w:numId="37">
    <w:abstractNumId w:val="13"/>
  </w:num>
  <w:num w:numId="38">
    <w:abstractNumId w:val="27"/>
  </w:num>
  <w:num w:numId="39">
    <w:abstractNumId w:val="30"/>
  </w:num>
  <w:num w:numId="40">
    <w:abstractNumId w:val="26"/>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6701"/>
    <w:rsid w:val="00050F6B"/>
    <w:rsid w:val="00054B33"/>
    <w:rsid w:val="000678CD"/>
    <w:rsid w:val="00072C8C"/>
    <w:rsid w:val="00081CE0"/>
    <w:rsid w:val="00084D30"/>
    <w:rsid w:val="00090320"/>
    <w:rsid w:val="000931C0"/>
    <w:rsid w:val="00094527"/>
    <w:rsid w:val="00097003"/>
    <w:rsid w:val="000A2E09"/>
    <w:rsid w:val="000A5642"/>
    <w:rsid w:val="000B175B"/>
    <w:rsid w:val="000B3A0F"/>
    <w:rsid w:val="000E03A0"/>
    <w:rsid w:val="000E0415"/>
    <w:rsid w:val="000F0A6C"/>
    <w:rsid w:val="000F7715"/>
    <w:rsid w:val="00100AFB"/>
    <w:rsid w:val="001210B6"/>
    <w:rsid w:val="001277A5"/>
    <w:rsid w:val="00133591"/>
    <w:rsid w:val="00142D70"/>
    <w:rsid w:val="00151675"/>
    <w:rsid w:val="00152295"/>
    <w:rsid w:val="001565B4"/>
    <w:rsid w:val="00156B99"/>
    <w:rsid w:val="00161EDD"/>
    <w:rsid w:val="00166124"/>
    <w:rsid w:val="00184DDA"/>
    <w:rsid w:val="001900CD"/>
    <w:rsid w:val="001A0452"/>
    <w:rsid w:val="001A4504"/>
    <w:rsid w:val="001B4B04"/>
    <w:rsid w:val="001B5875"/>
    <w:rsid w:val="001C2083"/>
    <w:rsid w:val="001C2C86"/>
    <w:rsid w:val="001C4B9C"/>
    <w:rsid w:val="001C6663"/>
    <w:rsid w:val="001C7895"/>
    <w:rsid w:val="001D0A78"/>
    <w:rsid w:val="001D26DF"/>
    <w:rsid w:val="001F1599"/>
    <w:rsid w:val="001F19C4"/>
    <w:rsid w:val="00202D4A"/>
    <w:rsid w:val="002043F0"/>
    <w:rsid w:val="00211E0B"/>
    <w:rsid w:val="00216128"/>
    <w:rsid w:val="00232575"/>
    <w:rsid w:val="00247258"/>
    <w:rsid w:val="00257CAC"/>
    <w:rsid w:val="00265549"/>
    <w:rsid w:val="0027237A"/>
    <w:rsid w:val="00281083"/>
    <w:rsid w:val="0029684D"/>
    <w:rsid w:val="002974E9"/>
    <w:rsid w:val="002A306B"/>
    <w:rsid w:val="002A7F94"/>
    <w:rsid w:val="002B109A"/>
    <w:rsid w:val="002C6D45"/>
    <w:rsid w:val="002D6223"/>
    <w:rsid w:val="002D6E53"/>
    <w:rsid w:val="002E7BD4"/>
    <w:rsid w:val="002F046D"/>
    <w:rsid w:val="002F3023"/>
    <w:rsid w:val="002F6261"/>
    <w:rsid w:val="00301764"/>
    <w:rsid w:val="003116E3"/>
    <w:rsid w:val="003229D8"/>
    <w:rsid w:val="0033141E"/>
    <w:rsid w:val="00336C97"/>
    <w:rsid w:val="00337F88"/>
    <w:rsid w:val="00342432"/>
    <w:rsid w:val="0035223F"/>
    <w:rsid w:val="00352310"/>
    <w:rsid w:val="00352D4B"/>
    <w:rsid w:val="0035414D"/>
    <w:rsid w:val="0035638C"/>
    <w:rsid w:val="00386DA7"/>
    <w:rsid w:val="003A46BB"/>
    <w:rsid w:val="003A4EC7"/>
    <w:rsid w:val="003A7295"/>
    <w:rsid w:val="003B1F60"/>
    <w:rsid w:val="003C2CC4"/>
    <w:rsid w:val="003D013B"/>
    <w:rsid w:val="003D4B23"/>
    <w:rsid w:val="003E278A"/>
    <w:rsid w:val="003E31A4"/>
    <w:rsid w:val="00405B0B"/>
    <w:rsid w:val="00411BAE"/>
    <w:rsid w:val="00413520"/>
    <w:rsid w:val="00423063"/>
    <w:rsid w:val="004325CB"/>
    <w:rsid w:val="004348BB"/>
    <w:rsid w:val="00440A07"/>
    <w:rsid w:val="00462880"/>
    <w:rsid w:val="004665D1"/>
    <w:rsid w:val="00476F24"/>
    <w:rsid w:val="00482D0A"/>
    <w:rsid w:val="004A5D33"/>
    <w:rsid w:val="004C55B0"/>
    <w:rsid w:val="004E27D0"/>
    <w:rsid w:val="004F6BA0"/>
    <w:rsid w:val="004F79CC"/>
    <w:rsid w:val="005019FE"/>
    <w:rsid w:val="00502A0F"/>
    <w:rsid w:val="00503BEA"/>
    <w:rsid w:val="00517F2C"/>
    <w:rsid w:val="00533616"/>
    <w:rsid w:val="00535710"/>
    <w:rsid w:val="00535ABA"/>
    <w:rsid w:val="0053768B"/>
    <w:rsid w:val="005420F2"/>
    <w:rsid w:val="0054285C"/>
    <w:rsid w:val="00554C7D"/>
    <w:rsid w:val="0056324E"/>
    <w:rsid w:val="005703F2"/>
    <w:rsid w:val="00572EC7"/>
    <w:rsid w:val="005802BA"/>
    <w:rsid w:val="00584173"/>
    <w:rsid w:val="005845BB"/>
    <w:rsid w:val="00595520"/>
    <w:rsid w:val="005A05C8"/>
    <w:rsid w:val="005A44B9"/>
    <w:rsid w:val="005B1BA0"/>
    <w:rsid w:val="005B3DB3"/>
    <w:rsid w:val="005B4BFB"/>
    <w:rsid w:val="005B4D86"/>
    <w:rsid w:val="005C0268"/>
    <w:rsid w:val="005D15CA"/>
    <w:rsid w:val="005F08DF"/>
    <w:rsid w:val="005F0914"/>
    <w:rsid w:val="005F3066"/>
    <w:rsid w:val="005F3E61"/>
    <w:rsid w:val="00604DDD"/>
    <w:rsid w:val="006115CC"/>
    <w:rsid w:val="00611FC4"/>
    <w:rsid w:val="006176FB"/>
    <w:rsid w:val="00623CBE"/>
    <w:rsid w:val="00630FCB"/>
    <w:rsid w:val="00640B26"/>
    <w:rsid w:val="0065766B"/>
    <w:rsid w:val="00660877"/>
    <w:rsid w:val="00671E8B"/>
    <w:rsid w:val="006770B2"/>
    <w:rsid w:val="00686399"/>
    <w:rsid w:val="00686A48"/>
    <w:rsid w:val="0068763C"/>
    <w:rsid w:val="006940E1"/>
    <w:rsid w:val="006A3C72"/>
    <w:rsid w:val="006A7392"/>
    <w:rsid w:val="006B03A1"/>
    <w:rsid w:val="006B3551"/>
    <w:rsid w:val="006B67D9"/>
    <w:rsid w:val="006C5535"/>
    <w:rsid w:val="006D0589"/>
    <w:rsid w:val="006D707A"/>
    <w:rsid w:val="006E0C3B"/>
    <w:rsid w:val="006E564B"/>
    <w:rsid w:val="006E7154"/>
    <w:rsid w:val="006F5CE9"/>
    <w:rsid w:val="007003CD"/>
    <w:rsid w:val="00702B23"/>
    <w:rsid w:val="00704A82"/>
    <w:rsid w:val="0070701E"/>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B6BA5"/>
    <w:rsid w:val="007C3390"/>
    <w:rsid w:val="007C40F2"/>
    <w:rsid w:val="007C42D8"/>
    <w:rsid w:val="007C4F4B"/>
    <w:rsid w:val="007C5967"/>
    <w:rsid w:val="007D6F65"/>
    <w:rsid w:val="007D7362"/>
    <w:rsid w:val="007E4B5F"/>
    <w:rsid w:val="007F3892"/>
    <w:rsid w:val="007F5CE2"/>
    <w:rsid w:val="007F6611"/>
    <w:rsid w:val="007F7560"/>
    <w:rsid w:val="00810BAC"/>
    <w:rsid w:val="008175E9"/>
    <w:rsid w:val="008242D7"/>
    <w:rsid w:val="0082577B"/>
    <w:rsid w:val="00825CB5"/>
    <w:rsid w:val="00844B55"/>
    <w:rsid w:val="00853F4B"/>
    <w:rsid w:val="00866893"/>
    <w:rsid w:val="00866F02"/>
    <w:rsid w:val="00867D18"/>
    <w:rsid w:val="00871F9A"/>
    <w:rsid w:val="00871FD5"/>
    <w:rsid w:val="008734EE"/>
    <w:rsid w:val="0088172E"/>
    <w:rsid w:val="00881EFA"/>
    <w:rsid w:val="008879CB"/>
    <w:rsid w:val="0089741D"/>
    <w:rsid w:val="008979B1"/>
    <w:rsid w:val="008A6B25"/>
    <w:rsid w:val="008A6C4F"/>
    <w:rsid w:val="008B389E"/>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7B81"/>
    <w:rsid w:val="009B7EB7"/>
    <w:rsid w:val="009D01C0"/>
    <w:rsid w:val="009D5E70"/>
    <w:rsid w:val="009D6A08"/>
    <w:rsid w:val="009E0A16"/>
    <w:rsid w:val="009E2B81"/>
    <w:rsid w:val="009E6CB7"/>
    <w:rsid w:val="009E7970"/>
    <w:rsid w:val="009F2EAC"/>
    <w:rsid w:val="009F57E3"/>
    <w:rsid w:val="00A10F4F"/>
    <w:rsid w:val="00A11067"/>
    <w:rsid w:val="00A1704A"/>
    <w:rsid w:val="00A20CCA"/>
    <w:rsid w:val="00A21A81"/>
    <w:rsid w:val="00A36AC2"/>
    <w:rsid w:val="00A425EB"/>
    <w:rsid w:val="00A54A61"/>
    <w:rsid w:val="00A62486"/>
    <w:rsid w:val="00A6525B"/>
    <w:rsid w:val="00A72F22"/>
    <w:rsid w:val="00A733BC"/>
    <w:rsid w:val="00A748A6"/>
    <w:rsid w:val="00A76A69"/>
    <w:rsid w:val="00A86614"/>
    <w:rsid w:val="00A879A4"/>
    <w:rsid w:val="00A92E27"/>
    <w:rsid w:val="00AA0FF8"/>
    <w:rsid w:val="00AA1644"/>
    <w:rsid w:val="00AC0F2C"/>
    <w:rsid w:val="00AC3ED0"/>
    <w:rsid w:val="00AC502A"/>
    <w:rsid w:val="00AC6123"/>
    <w:rsid w:val="00AE1E26"/>
    <w:rsid w:val="00AF4B01"/>
    <w:rsid w:val="00AF58C1"/>
    <w:rsid w:val="00B04A3F"/>
    <w:rsid w:val="00B06643"/>
    <w:rsid w:val="00B11A73"/>
    <w:rsid w:val="00B15055"/>
    <w:rsid w:val="00B20551"/>
    <w:rsid w:val="00B30179"/>
    <w:rsid w:val="00B31E0B"/>
    <w:rsid w:val="00B33FC7"/>
    <w:rsid w:val="00B37665"/>
    <w:rsid w:val="00B37B15"/>
    <w:rsid w:val="00B4162A"/>
    <w:rsid w:val="00B42C06"/>
    <w:rsid w:val="00B45C02"/>
    <w:rsid w:val="00B66AEA"/>
    <w:rsid w:val="00B70B63"/>
    <w:rsid w:val="00B72A1E"/>
    <w:rsid w:val="00B81E12"/>
    <w:rsid w:val="00BA339B"/>
    <w:rsid w:val="00BA54EE"/>
    <w:rsid w:val="00BB23CC"/>
    <w:rsid w:val="00BB4868"/>
    <w:rsid w:val="00BC1E7E"/>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6276"/>
    <w:rsid w:val="00C17B8A"/>
    <w:rsid w:val="00C21756"/>
    <w:rsid w:val="00C41F7F"/>
    <w:rsid w:val="00C463DD"/>
    <w:rsid w:val="00C745C3"/>
    <w:rsid w:val="00C90B61"/>
    <w:rsid w:val="00C978F5"/>
    <w:rsid w:val="00CA24A4"/>
    <w:rsid w:val="00CA464E"/>
    <w:rsid w:val="00CB0F9C"/>
    <w:rsid w:val="00CB348D"/>
    <w:rsid w:val="00CB4C06"/>
    <w:rsid w:val="00CB5EB8"/>
    <w:rsid w:val="00CB7FA1"/>
    <w:rsid w:val="00CC0A10"/>
    <w:rsid w:val="00CD46F5"/>
    <w:rsid w:val="00CE03D2"/>
    <w:rsid w:val="00CE4A8F"/>
    <w:rsid w:val="00CF071D"/>
    <w:rsid w:val="00CF50F5"/>
    <w:rsid w:val="00CF6060"/>
    <w:rsid w:val="00CF67C9"/>
    <w:rsid w:val="00D0123D"/>
    <w:rsid w:val="00D15B04"/>
    <w:rsid w:val="00D2031B"/>
    <w:rsid w:val="00D25FE2"/>
    <w:rsid w:val="00D265FC"/>
    <w:rsid w:val="00D31468"/>
    <w:rsid w:val="00D37DA9"/>
    <w:rsid w:val="00D406A7"/>
    <w:rsid w:val="00D429C1"/>
    <w:rsid w:val="00D43252"/>
    <w:rsid w:val="00D44D86"/>
    <w:rsid w:val="00D50B7D"/>
    <w:rsid w:val="00D52012"/>
    <w:rsid w:val="00D704E5"/>
    <w:rsid w:val="00D71BAF"/>
    <w:rsid w:val="00D72727"/>
    <w:rsid w:val="00D978C6"/>
    <w:rsid w:val="00DA0956"/>
    <w:rsid w:val="00DA357F"/>
    <w:rsid w:val="00DA3E12"/>
    <w:rsid w:val="00DA3E51"/>
    <w:rsid w:val="00DB6787"/>
    <w:rsid w:val="00DC18AD"/>
    <w:rsid w:val="00DC2D2E"/>
    <w:rsid w:val="00DC3F33"/>
    <w:rsid w:val="00DD09CF"/>
    <w:rsid w:val="00DD7B52"/>
    <w:rsid w:val="00DE1482"/>
    <w:rsid w:val="00DF7CAE"/>
    <w:rsid w:val="00E03C66"/>
    <w:rsid w:val="00E1267C"/>
    <w:rsid w:val="00E423C0"/>
    <w:rsid w:val="00E5199D"/>
    <w:rsid w:val="00E6414C"/>
    <w:rsid w:val="00E7260F"/>
    <w:rsid w:val="00E77132"/>
    <w:rsid w:val="00E77BEC"/>
    <w:rsid w:val="00E854EC"/>
    <w:rsid w:val="00E8702D"/>
    <w:rsid w:val="00E905F4"/>
    <w:rsid w:val="00E916A9"/>
    <w:rsid w:val="00E916DE"/>
    <w:rsid w:val="00E925AD"/>
    <w:rsid w:val="00E9266C"/>
    <w:rsid w:val="00E96630"/>
    <w:rsid w:val="00EB5785"/>
    <w:rsid w:val="00EC296E"/>
    <w:rsid w:val="00EC7784"/>
    <w:rsid w:val="00ED18DC"/>
    <w:rsid w:val="00ED6201"/>
    <w:rsid w:val="00ED7A2A"/>
    <w:rsid w:val="00EF1D7F"/>
    <w:rsid w:val="00EF3753"/>
    <w:rsid w:val="00F0137E"/>
    <w:rsid w:val="00F04E44"/>
    <w:rsid w:val="00F12375"/>
    <w:rsid w:val="00F17B1E"/>
    <w:rsid w:val="00F21786"/>
    <w:rsid w:val="00F21D59"/>
    <w:rsid w:val="00F23F1B"/>
    <w:rsid w:val="00F25D06"/>
    <w:rsid w:val="00F31CDE"/>
    <w:rsid w:val="00F31CFF"/>
    <w:rsid w:val="00F3742B"/>
    <w:rsid w:val="00F41FDB"/>
    <w:rsid w:val="00F50597"/>
    <w:rsid w:val="00F51FFD"/>
    <w:rsid w:val="00F56D63"/>
    <w:rsid w:val="00F572A6"/>
    <w:rsid w:val="00F609A9"/>
    <w:rsid w:val="00F635B4"/>
    <w:rsid w:val="00F65548"/>
    <w:rsid w:val="00F66207"/>
    <w:rsid w:val="00F74F9A"/>
    <w:rsid w:val="00F7519A"/>
    <w:rsid w:val="00F80C99"/>
    <w:rsid w:val="00F83EC1"/>
    <w:rsid w:val="00F867EC"/>
    <w:rsid w:val="00F91B2B"/>
    <w:rsid w:val="00FC03CD"/>
    <w:rsid w:val="00FC0646"/>
    <w:rsid w:val="00FC68B7"/>
    <w:rsid w:val="00FE6985"/>
    <w:rsid w:val="00FF1D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2553</Characters>
  <Application>Microsoft Office Word</Application>
  <DocSecurity>0</DocSecurity>
  <Lines>60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ECE/TRANS/WP.29/2022/66</dc:title>
  <dc:subject>2204916</dc:subject>
  <dc:creator>Lucille</dc:creator>
  <cp:keywords/>
  <dc:description/>
  <cp:lastModifiedBy>Anni Vi Tirol</cp:lastModifiedBy>
  <cp:revision>2</cp:revision>
  <cp:lastPrinted>2009-02-18T18:36:00Z</cp:lastPrinted>
  <dcterms:created xsi:type="dcterms:W3CDTF">2022-04-04T09:53:00Z</dcterms:created>
  <dcterms:modified xsi:type="dcterms:W3CDTF">2022-04-04T09:53:00Z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