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6869E4F" w:rsidR="009E6CB7" w:rsidRPr="00D47EEA" w:rsidRDefault="006B3551" w:rsidP="006B3551">
            <w:pPr>
              <w:jc w:val="right"/>
            </w:pPr>
            <w:r w:rsidRPr="006B3551">
              <w:rPr>
                <w:sz w:val="40"/>
              </w:rPr>
              <w:t>ECE</w:t>
            </w:r>
            <w:r>
              <w:t>/TRANS/WP.29/202</w:t>
            </w:r>
            <w:r w:rsidR="00DD7B52">
              <w:t>2</w:t>
            </w:r>
            <w:r>
              <w:t>/</w:t>
            </w:r>
            <w:r w:rsidR="00FC56B6">
              <w:t>73</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7CFB7424" w:rsidR="006B3551" w:rsidRDefault="00300406" w:rsidP="006B3551">
            <w:pPr>
              <w:spacing w:line="240" w:lineRule="exact"/>
            </w:pPr>
            <w:r>
              <w:t xml:space="preserve">6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60E74B49" w:rsidR="006B3551" w:rsidRDefault="006B3551" w:rsidP="006B3551">
      <w:r>
        <w:t xml:space="preserve">Item </w:t>
      </w:r>
      <w:r w:rsidR="00B372E0">
        <w:t>4.7.1.</w:t>
      </w:r>
      <w:r w:rsidR="000A5CCD">
        <w:t xml:space="preserve"> </w:t>
      </w:r>
      <w:r>
        <w:t>of the provisional agenda</w:t>
      </w:r>
    </w:p>
    <w:p w14:paraId="02EE06FD" w14:textId="2C8EE2D4"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w:t>
      </w:r>
      <w:r w:rsidR="00B37665">
        <w:rPr>
          <w:b/>
        </w:rPr>
        <w:t>P</w:t>
      </w:r>
      <w:r w:rsidR="008C75EC">
        <w:rPr>
          <w:b/>
        </w:rPr>
        <w:t>E</w:t>
      </w:r>
    </w:p>
    <w:p w14:paraId="008EC326" w14:textId="6C78A65A" w:rsidR="006B3551" w:rsidRPr="00BF7730" w:rsidRDefault="006B3551" w:rsidP="00BF7730">
      <w:pPr>
        <w:pStyle w:val="HChG"/>
        <w:rPr>
          <w:lang w:val="en-US"/>
        </w:rPr>
      </w:pPr>
      <w:r>
        <w:tab/>
      </w:r>
      <w:r>
        <w:tab/>
      </w:r>
      <w:r w:rsidR="00596E10" w:rsidRPr="00596E10">
        <w:t>Proposal for Supplement 8 to the 03 series of amendments to UN Regulation No. 24 (Visible pollutants, measurement of power of C.I. engines (Diesel smoke))</w:t>
      </w:r>
    </w:p>
    <w:p w14:paraId="48239928" w14:textId="58F238DD" w:rsidR="00F65548" w:rsidRDefault="006B3551" w:rsidP="00300406">
      <w:pPr>
        <w:pStyle w:val="H1G"/>
      </w:pPr>
      <w:r>
        <w:tab/>
      </w:r>
      <w:r>
        <w:tab/>
      </w:r>
      <w:r w:rsidR="00F65548" w:rsidRPr="00A96F13">
        <w:t>Submitted</w:t>
      </w:r>
      <w:r w:rsidR="00F65548" w:rsidRPr="0036339F">
        <w:t xml:space="preserve"> by the </w:t>
      </w:r>
      <w:r w:rsidR="00F65548">
        <w:t xml:space="preserve">Working Party on </w:t>
      </w:r>
      <w:r w:rsidR="00596E10">
        <w:t>Pollution and Energy</w:t>
      </w:r>
      <w:r w:rsidR="00F65548" w:rsidRPr="005F3E9A">
        <w:rPr>
          <w:rStyle w:val="FootnoteReference"/>
          <w:sz w:val="20"/>
        </w:rPr>
        <w:footnoteReference w:customMarkFollows="1" w:id="2"/>
        <w:t>*</w:t>
      </w:r>
    </w:p>
    <w:p w14:paraId="471D5522" w14:textId="18A3D9CD"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596E10" w:rsidRPr="00596E10">
        <w:rPr>
          <w:szCs w:val="24"/>
        </w:rPr>
        <w:t xml:space="preserve">Pollution and Energy </w:t>
      </w:r>
      <w:r>
        <w:rPr>
          <w:lang w:val="en-US"/>
        </w:rPr>
        <w:t>(GR</w:t>
      </w:r>
      <w:r w:rsidR="007C40F2">
        <w:rPr>
          <w:lang w:val="en-US"/>
        </w:rPr>
        <w:t>P</w:t>
      </w:r>
      <w:r w:rsidR="00596E10">
        <w:rPr>
          <w:lang w:val="en-US"/>
        </w:rPr>
        <w:t>E</w:t>
      </w:r>
      <w:r>
        <w:rPr>
          <w:lang w:val="en-US"/>
        </w:rPr>
        <w:t xml:space="preserve">) at its </w:t>
      </w:r>
      <w:r w:rsidR="0021700B">
        <w:rPr>
          <w:lang w:val="en-US"/>
        </w:rPr>
        <w:t>eighty-fifth</w:t>
      </w:r>
      <w:r>
        <w:rPr>
          <w:lang w:val="en-US"/>
        </w:rPr>
        <w:t xml:space="preserve"> session (</w:t>
      </w:r>
      <w:r w:rsidRPr="0078793E">
        <w:t>ECE/TRANS/WP.29/GR</w:t>
      </w:r>
      <w:r w:rsidR="00CB7FA1">
        <w:t>P</w:t>
      </w:r>
      <w:r w:rsidR="000A5CCD">
        <w:t>E</w:t>
      </w:r>
      <w:r w:rsidRPr="0078793E">
        <w:t>/</w:t>
      </w:r>
      <w:r w:rsidR="0021700B">
        <w:t>85</w:t>
      </w:r>
      <w:r w:rsidRPr="0078793E">
        <w:t>, para.</w:t>
      </w:r>
      <w:r w:rsidR="00F321AE">
        <w:t xml:space="preserve"> 35</w:t>
      </w:r>
      <w:r>
        <w:rPr>
          <w:lang w:val="en-US"/>
        </w:rPr>
        <w:t>). It is</w:t>
      </w:r>
      <w:r w:rsidRPr="00DB1488">
        <w:rPr>
          <w:lang w:val="en-US"/>
        </w:rPr>
        <w:t xml:space="preserve"> based </w:t>
      </w:r>
      <w:r w:rsidRPr="00905E5C">
        <w:rPr>
          <w:lang w:val="en-US"/>
        </w:rPr>
        <w:t xml:space="preserve">on </w:t>
      </w:r>
      <w:r w:rsidR="00660B2B" w:rsidRPr="00810F4F">
        <w:rPr>
          <w:lang w:val="es-ES"/>
        </w:rPr>
        <w:t>ECE/TRANS/WP.29/GRPE/202</w:t>
      </w:r>
      <w:r w:rsidR="00660B2B">
        <w:rPr>
          <w:lang w:val="es-ES"/>
        </w:rPr>
        <w:t>2</w:t>
      </w:r>
      <w:r w:rsidR="00660B2B" w:rsidRPr="00810F4F">
        <w:rPr>
          <w:lang w:val="es-ES"/>
        </w:rPr>
        <w:t>/</w:t>
      </w:r>
      <w:r w:rsidR="00660B2B">
        <w:rPr>
          <w:lang w:val="es-ES"/>
        </w:rPr>
        <w:t>4</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5464DC">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56F838B7" w14:textId="77777777" w:rsidR="00A24FC1" w:rsidRDefault="00A24FC1" w:rsidP="00A24FC1">
      <w:pPr>
        <w:spacing w:after="120"/>
        <w:ind w:left="2300" w:right="1134" w:hanging="1166"/>
        <w:jc w:val="both"/>
        <w:rPr>
          <w:i/>
          <w:lang w:eastAsia="ja-JP"/>
        </w:rPr>
      </w:pPr>
      <w:r>
        <w:rPr>
          <w:i/>
          <w:lang w:val="en-US"/>
        </w:rPr>
        <w:lastRenderedPageBreak/>
        <w:t>Annex 4, Paragraph 3.1.5.</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0BA4A2D2" w14:textId="77777777" w:rsidR="00A24FC1" w:rsidRDefault="00A24FC1" w:rsidP="00A24FC1">
      <w:pPr>
        <w:spacing w:after="120"/>
        <w:ind w:left="2300" w:right="1134" w:hanging="1166"/>
      </w:pPr>
      <w:r w:rsidRPr="009F1AA6">
        <w:t>"</w:t>
      </w:r>
      <w:r>
        <w:t xml:space="preserve">3.1.5. </w:t>
      </w:r>
      <w:r>
        <w:tab/>
        <w:t>The power of the engine measured at the test bench during the test at steady speeds of the full load curve may differ from the power specified by the manufacturer as follows:</w:t>
      </w:r>
    </w:p>
    <w:p w14:paraId="4606F9B4" w14:textId="547241BC" w:rsidR="00A24FC1" w:rsidRDefault="00A24FC1" w:rsidP="00A24FC1">
      <w:pPr>
        <w:spacing w:after="120"/>
        <w:ind w:left="2300" w:right="1134" w:hanging="32"/>
      </w:pPr>
      <w:r>
        <w:t xml:space="preserve">Maximum Power </w:t>
      </w:r>
      <w:r>
        <w:tab/>
      </w:r>
      <w:r>
        <w:tab/>
      </w:r>
      <w:r>
        <w:tab/>
      </w:r>
      <w:r w:rsidRPr="005E4C76">
        <w:rPr>
          <w:b/>
          <w:bCs/>
        </w:rPr>
        <w:t>±</w:t>
      </w:r>
      <w:r>
        <w:t xml:space="preserve"> 2 per cent</w:t>
      </w:r>
    </w:p>
    <w:p w14:paraId="14A636B3" w14:textId="12328BE3" w:rsidR="00A24FC1" w:rsidRPr="002C3D5B" w:rsidRDefault="00A24FC1" w:rsidP="00A24FC1">
      <w:pPr>
        <w:spacing w:after="120"/>
        <w:ind w:left="2300" w:right="1134" w:hanging="32"/>
        <w:rPr>
          <w:lang w:eastAsia="ja-JP"/>
        </w:rPr>
      </w:pPr>
      <w:r>
        <w:t>at the other measurement points</w:t>
      </w:r>
      <w:r>
        <w:tab/>
      </w:r>
      <w:r w:rsidRPr="002C3D5B">
        <w:t>± 4 per cent.</w:t>
      </w:r>
      <w:r w:rsidRPr="002C3D5B">
        <w:rPr>
          <w:lang w:eastAsia="ja-JP"/>
        </w:rPr>
        <w:t>"</w:t>
      </w:r>
    </w:p>
    <w:p w14:paraId="478D2F5E" w14:textId="77777777" w:rsidR="00A24FC1" w:rsidRDefault="00A24FC1" w:rsidP="00A24FC1">
      <w:pPr>
        <w:spacing w:after="120"/>
        <w:ind w:left="2300" w:right="1134" w:hanging="1166"/>
        <w:jc w:val="both"/>
        <w:rPr>
          <w:i/>
          <w:lang w:eastAsia="ja-JP"/>
        </w:rPr>
      </w:pPr>
      <w:r>
        <w:rPr>
          <w:i/>
          <w:lang w:val="en-US"/>
        </w:rPr>
        <w:t>Annex 10, Paragraph 4.7.</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0E5F07C9" w14:textId="0904F0CD" w:rsidR="00A24FC1" w:rsidRDefault="00A24FC1" w:rsidP="00A24FC1">
      <w:pPr>
        <w:spacing w:after="120"/>
        <w:ind w:left="2268" w:right="1134" w:hanging="1134"/>
      </w:pPr>
      <w:r w:rsidRPr="009F1AA6">
        <w:t>"</w:t>
      </w:r>
      <w:r>
        <w:t xml:space="preserve">4.7. </w:t>
      </w:r>
      <w:r>
        <w:tab/>
      </w:r>
      <w:r>
        <w:tab/>
      </w:r>
      <w:r w:rsidRPr="002C3D5B">
        <w:t xml:space="preserve">Depression </w:t>
      </w:r>
      <w:r>
        <w:t>in intake duct (see note 1a to table 1)</w:t>
      </w:r>
    </w:p>
    <w:p w14:paraId="6EBA6D4D" w14:textId="77777777" w:rsidR="00A24FC1" w:rsidRDefault="00A24FC1" w:rsidP="00A24FC1">
      <w:pPr>
        <w:spacing w:after="120"/>
        <w:ind w:left="2300" w:right="1134"/>
        <w:jc w:val="both"/>
      </w:pPr>
      <w:r w:rsidRPr="00EB5C50">
        <w:t>±</w:t>
      </w:r>
      <w:r>
        <w:t xml:space="preserve"> 50 Pa"</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605D" w14:textId="77777777" w:rsidR="00D23E6D" w:rsidRDefault="00D23E6D"/>
  </w:endnote>
  <w:endnote w:type="continuationSeparator" w:id="0">
    <w:p w14:paraId="150E61BA" w14:textId="77777777" w:rsidR="00D23E6D" w:rsidRDefault="00D23E6D"/>
  </w:endnote>
  <w:endnote w:type="continuationNotice" w:id="1">
    <w:p w14:paraId="05FAB1B6" w14:textId="77777777" w:rsidR="00D23E6D" w:rsidRDefault="00D2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4A2EC325" w:rsidR="0035223F" w:rsidRDefault="000F0258" w:rsidP="000F0258">
    <w:pPr>
      <w:pStyle w:val="Footer"/>
      <w:rPr>
        <w:sz w:val="20"/>
      </w:rPr>
    </w:pPr>
    <w:bookmarkStart w:id="0" w:name="_GoBack"/>
    <w:bookmarkEnd w:id="0"/>
    <w:r w:rsidRPr="000F0258">
      <w:rPr>
        <w:noProof/>
        <w:sz w:val="20"/>
        <w:lang w:val="en-US" w:eastAsia="zh-CN"/>
      </w:rPr>
      <w:drawing>
        <wp:anchor distT="0" distB="0" distL="114300" distR="114300" simplePos="0" relativeHeight="251660288" behindDoc="1" locked="1" layoutInCell="1" allowOverlap="1" wp14:anchorId="663A5B16" wp14:editId="67C54EC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C26749" w14:textId="02E60A79" w:rsidR="000F0258" w:rsidRPr="000F0258" w:rsidRDefault="000F0258" w:rsidP="000F0258">
    <w:pPr>
      <w:pStyle w:val="Footer"/>
      <w:ind w:right="1134"/>
      <w:rPr>
        <w:sz w:val="20"/>
      </w:rPr>
    </w:pPr>
    <w:r>
      <w:rPr>
        <w:sz w:val="20"/>
      </w:rPr>
      <w:t>GE.22-05105(E)</w:t>
    </w:r>
    <w:r>
      <w:rPr>
        <w:noProof/>
        <w:sz w:val="20"/>
      </w:rPr>
      <w:drawing>
        <wp:anchor distT="0" distB="0" distL="114300" distR="114300" simplePos="0" relativeHeight="251661312" behindDoc="0" locked="0" layoutInCell="1" allowOverlap="1" wp14:anchorId="2F8C9CA2" wp14:editId="4E65CAB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A898" w14:textId="77777777" w:rsidR="00D23E6D" w:rsidRPr="000B175B" w:rsidRDefault="00D23E6D" w:rsidP="000B175B">
      <w:pPr>
        <w:tabs>
          <w:tab w:val="right" w:pos="2155"/>
        </w:tabs>
        <w:spacing w:after="80"/>
        <w:ind w:left="680"/>
        <w:rPr>
          <w:u w:val="single"/>
        </w:rPr>
      </w:pPr>
      <w:r>
        <w:rPr>
          <w:u w:val="single"/>
        </w:rPr>
        <w:tab/>
      </w:r>
    </w:p>
  </w:footnote>
  <w:footnote w:type="continuationSeparator" w:id="0">
    <w:p w14:paraId="02B330A3" w14:textId="77777777" w:rsidR="00D23E6D" w:rsidRPr="00FC68B7" w:rsidRDefault="00D23E6D" w:rsidP="00FC68B7">
      <w:pPr>
        <w:tabs>
          <w:tab w:val="left" w:pos="2155"/>
        </w:tabs>
        <w:spacing w:after="80"/>
        <w:ind w:left="680"/>
        <w:rPr>
          <w:u w:val="single"/>
        </w:rPr>
      </w:pPr>
      <w:r>
        <w:rPr>
          <w:u w:val="single"/>
        </w:rPr>
        <w:tab/>
      </w:r>
    </w:p>
  </w:footnote>
  <w:footnote w:type="continuationNotice" w:id="1">
    <w:p w14:paraId="33930754" w14:textId="77777777" w:rsidR="00D23E6D" w:rsidRDefault="00D23E6D"/>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2E3EF2E0" w:rsidR="006B3551" w:rsidRPr="006B3551" w:rsidRDefault="006B3551">
    <w:pPr>
      <w:pStyle w:val="Header"/>
    </w:pPr>
    <w:r>
      <w:t>ECE/TRANS/WP.29/202</w:t>
    </w:r>
    <w:r w:rsidR="00720F52">
      <w:t>2</w:t>
    </w:r>
    <w:r>
      <w:t>/</w:t>
    </w:r>
    <w:r w:rsidR="002C3D5B">
      <w:t>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6701"/>
    <w:rsid w:val="00050F6B"/>
    <w:rsid w:val="00054B33"/>
    <w:rsid w:val="000678CD"/>
    <w:rsid w:val="00072C8C"/>
    <w:rsid w:val="00081CE0"/>
    <w:rsid w:val="00084D30"/>
    <w:rsid w:val="00090320"/>
    <w:rsid w:val="000931C0"/>
    <w:rsid w:val="00097003"/>
    <w:rsid w:val="000A2E09"/>
    <w:rsid w:val="000A5642"/>
    <w:rsid w:val="000A5CCD"/>
    <w:rsid w:val="000B175B"/>
    <w:rsid w:val="000B3A0F"/>
    <w:rsid w:val="000E03A0"/>
    <w:rsid w:val="000E0415"/>
    <w:rsid w:val="000F0258"/>
    <w:rsid w:val="000F7715"/>
    <w:rsid w:val="00100AFB"/>
    <w:rsid w:val="001210B6"/>
    <w:rsid w:val="001277A5"/>
    <w:rsid w:val="00133591"/>
    <w:rsid w:val="00142D70"/>
    <w:rsid w:val="00151675"/>
    <w:rsid w:val="001565B4"/>
    <w:rsid w:val="00156B99"/>
    <w:rsid w:val="00161EDD"/>
    <w:rsid w:val="00166124"/>
    <w:rsid w:val="00171616"/>
    <w:rsid w:val="00184DDA"/>
    <w:rsid w:val="001900CD"/>
    <w:rsid w:val="001A0452"/>
    <w:rsid w:val="001A4504"/>
    <w:rsid w:val="001B4B04"/>
    <w:rsid w:val="001B5875"/>
    <w:rsid w:val="001C2C86"/>
    <w:rsid w:val="001C4B9C"/>
    <w:rsid w:val="001C6663"/>
    <w:rsid w:val="001C7895"/>
    <w:rsid w:val="001D26DF"/>
    <w:rsid w:val="001F1599"/>
    <w:rsid w:val="001F19C4"/>
    <w:rsid w:val="00202D4A"/>
    <w:rsid w:val="002043F0"/>
    <w:rsid w:val="00211E0B"/>
    <w:rsid w:val="00216128"/>
    <w:rsid w:val="0021700B"/>
    <w:rsid w:val="00232575"/>
    <w:rsid w:val="00247258"/>
    <w:rsid w:val="00257CAC"/>
    <w:rsid w:val="00265549"/>
    <w:rsid w:val="0027237A"/>
    <w:rsid w:val="00281083"/>
    <w:rsid w:val="0029684D"/>
    <w:rsid w:val="002974E9"/>
    <w:rsid w:val="002A306B"/>
    <w:rsid w:val="002A7F94"/>
    <w:rsid w:val="002B109A"/>
    <w:rsid w:val="002C3D5B"/>
    <w:rsid w:val="002C6D45"/>
    <w:rsid w:val="002D6223"/>
    <w:rsid w:val="002D6E53"/>
    <w:rsid w:val="002E7BD4"/>
    <w:rsid w:val="002F046D"/>
    <w:rsid w:val="002F3023"/>
    <w:rsid w:val="00300406"/>
    <w:rsid w:val="00301764"/>
    <w:rsid w:val="003116E3"/>
    <w:rsid w:val="003229D8"/>
    <w:rsid w:val="00336C97"/>
    <w:rsid w:val="00337F88"/>
    <w:rsid w:val="00342432"/>
    <w:rsid w:val="0035223F"/>
    <w:rsid w:val="00352310"/>
    <w:rsid w:val="00352D4B"/>
    <w:rsid w:val="0035414D"/>
    <w:rsid w:val="0035638C"/>
    <w:rsid w:val="00386DA7"/>
    <w:rsid w:val="003A46BB"/>
    <w:rsid w:val="003A4EC7"/>
    <w:rsid w:val="003A7295"/>
    <w:rsid w:val="003B1F60"/>
    <w:rsid w:val="003C2CC4"/>
    <w:rsid w:val="003D013B"/>
    <w:rsid w:val="003D4B23"/>
    <w:rsid w:val="003E278A"/>
    <w:rsid w:val="003E31A4"/>
    <w:rsid w:val="00405B0B"/>
    <w:rsid w:val="00411BAE"/>
    <w:rsid w:val="00413520"/>
    <w:rsid w:val="004325CB"/>
    <w:rsid w:val="004348BB"/>
    <w:rsid w:val="00440A07"/>
    <w:rsid w:val="00462880"/>
    <w:rsid w:val="004665D1"/>
    <w:rsid w:val="00476F24"/>
    <w:rsid w:val="004A5D33"/>
    <w:rsid w:val="004C55B0"/>
    <w:rsid w:val="004E27D0"/>
    <w:rsid w:val="004F6BA0"/>
    <w:rsid w:val="004F79CC"/>
    <w:rsid w:val="005019FE"/>
    <w:rsid w:val="00502A0F"/>
    <w:rsid w:val="00503BEA"/>
    <w:rsid w:val="00517F2C"/>
    <w:rsid w:val="00533616"/>
    <w:rsid w:val="00535710"/>
    <w:rsid w:val="00535ABA"/>
    <w:rsid w:val="0053768B"/>
    <w:rsid w:val="005420F2"/>
    <w:rsid w:val="0054285C"/>
    <w:rsid w:val="005464DC"/>
    <w:rsid w:val="00554C7D"/>
    <w:rsid w:val="0056324E"/>
    <w:rsid w:val="005703F2"/>
    <w:rsid w:val="00572EC7"/>
    <w:rsid w:val="005802BA"/>
    <w:rsid w:val="00584173"/>
    <w:rsid w:val="005845BB"/>
    <w:rsid w:val="00595520"/>
    <w:rsid w:val="00596E10"/>
    <w:rsid w:val="005A05C8"/>
    <w:rsid w:val="005A44B9"/>
    <w:rsid w:val="005B1BA0"/>
    <w:rsid w:val="005B3DB3"/>
    <w:rsid w:val="005B4BFB"/>
    <w:rsid w:val="005B4D86"/>
    <w:rsid w:val="005C0268"/>
    <w:rsid w:val="005D15CA"/>
    <w:rsid w:val="005F08DF"/>
    <w:rsid w:val="005F3066"/>
    <w:rsid w:val="005F3E61"/>
    <w:rsid w:val="00604DDD"/>
    <w:rsid w:val="006115CC"/>
    <w:rsid w:val="00611FC4"/>
    <w:rsid w:val="006176FB"/>
    <w:rsid w:val="00623CBE"/>
    <w:rsid w:val="00630FCB"/>
    <w:rsid w:val="00640B26"/>
    <w:rsid w:val="0065766B"/>
    <w:rsid w:val="00660B2B"/>
    <w:rsid w:val="00671E8B"/>
    <w:rsid w:val="006770B2"/>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429B"/>
    <w:rsid w:val="006F5CE9"/>
    <w:rsid w:val="007003CD"/>
    <w:rsid w:val="00702B23"/>
    <w:rsid w:val="0070701E"/>
    <w:rsid w:val="007166BF"/>
    <w:rsid w:val="00720DEA"/>
    <w:rsid w:val="00720F52"/>
    <w:rsid w:val="0072632A"/>
    <w:rsid w:val="007358E8"/>
    <w:rsid w:val="00736ECE"/>
    <w:rsid w:val="0074533B"/>
    <w:rsid w:val="00762C26"/>
    <w:rsid w:val="007643BC"/>
    <w:rsid w:val="00780C68"/>
    <w:rsid w:val="0078793E"/>
    <w:rsid w:val="007948C8"/>
    <w:rsid w:val="007959FE"/>
    <w:rsid w:val="007A0CF1"/>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75E9"/>
    <w:rsid w:val="008242D7"/>
    <w:rsid w:val="0082577B"/>
    <w:rsid w:val="00825CB5"/>
    <w:rsid w:val="00844B55"/>
    <w:rsid w:val="00853F4B"/>
    <w:rsid w:val="00866893"/>
    <w:rsid w:val="00866F02"/>
    <w:rsid w:val="00867D18"/>
    <w:rsid w:val="00871F9A"/>
    <w:rsid w:val="00871FD5"/>
    <w:rsid w:val="008734EE"/>
    <w:rsid w:val="0088172E"/>
    <w:rsid w:val="00881EFA"/>
    <w:rsid w:val="008879CB"/>
    <w:rsid w:val="008979B1"/>
    <w:rsid w:val="008A6B25"/>
    <w:rsid w:val="008A6C4F"/>
    <w:rsid w:val="008B389E"/>
    <w:rsid w:val="008C75EC"/>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2B81"/>
    <w:rsid w:val="009E6CB7"/>
    <w:rsid w:val="009E7970"/>
    <w:rsid w:val="009F2EAC"/>
    <w:rsid w:val="009F57E3"/>
    <w:rsid w:val="00A10F4F"/>
    <w:rsid w:val="00A11067"/>
    <w:rsid w:val="00A1704A"/>
    <w:rsid w:val="00A21A81"/>
    <w:rsid w:val="00A24FC1"/>
    <w:rsid w:val="00A36AC2"/>
    <w:rsid w:val="00A425EB"/>
    <w:rsid w:val="00A54A61"/>
    <w:rsid w:val="00A62486"/>
    <w:rsid w:val="00A6525B"/>
    <w:rsid w:val="00A72F22"/>
    <w:rsid w:val="00A733BC"/>
    <w:rsid w:val="00A748A6"/>
    <w:rsid w:val="00A76A69"/>
    <w:rsid w:val="00A879A4"/>
    <w:rsid w:val="00A92E27"/>
    <w:rsid w:val="00AA0FF8"/>
    <w:rsid w:val="00AA1644"/>
    <w:rsid w:val="00AC0F2C"/>
    <w:rsid w:val="00AC3ED0"/>
    <w:rsid w:val="00AC502A"/>
    <w:rsid w:val="00AE1E26"/>
    <w:rsid w:val="00AF4B01"/>
    <w:rsid w:val="00AF58C1"/>
    <w:rsid w:val="00B04A3F"/>
    <w:rsid w:val="00B06643"/>
    <w:rsid w:val="00B11A73"/>
    <w:rsid w:val="00B15055"/>
    <w:rsid w:val="00B20551"/>
    <w:rsid w:val="00B30179"/>
    <w:rsid w:val="00B31E0B"/>
    <w:rsid w:val="00B33FC7"/>
    <w:rsid w:val="00B372E0"/>
    <w:rsid w:val="00B37665"/>
    <w:rsid w:val="00B37B15"/>
    <w:rsid w:val="00B4162A"/>
    <w:rsid w:val="00B42C06"/>
    <w:rsid w:val="00B45C02"/>
    <w:rsid w:val="00B66AEA"/>
    <w:rsid w:val="00B70B63"/>
    <w:rsid w:val="00B72A1E"/>
    <w:rsid w:val="00B81E12"/>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31D6"/>
    <w:rsid w:val="00C16276"/>
    <w:rsid w:val="00C17B8A"/>
    <w:rsid w:val="00C21756"/>
    <w:rsid w:val="00C41F7F"/>
    <w:rsid w:val="00C463DD"/>
    <w:rsid w:val="00C745C3"/>
    <w:rsid w:val="00C90B61"/>
    <w:rsid w:val="00C978F5"/>
    <w:rsid w:val="00CA24A4"/>
    <w:rsid w:val="00CA464E"/>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3E6D"/>
    <w:rsid w:val="00D25FE2"/>
    <w:rsid w:val="00D265FC"/>
    <w:rsid w:val="00D37DA9"/>
    <w:rsid w:val="00D406A7"/>
    <w:rsid w:val="00D429C1"/>
    <w:rsid w:val="00D43252"/>
    <w:rsid w:val="00D44D86"/>
    <w:rsid w:val="00D45B38"/>
    <w:rsid w:val="00D50B7D"/>
    <w:rsid w:val="00D52012"/>
    <w:rsid w:val="00D704E5"/>
    <w:rsid w:val="00D72727"/>
    <w:rsid w:val="00D978C6"/>
    <w:rsid w:val="00DA0956"/>
    <w:rsid w:val="00DA357F"/>
    <w:rsid w:val="00DA3E12"/>
    <w:rsid w:val="00DA3E51"/>
    <w:rsid w:val="00DB6787"/>
    <w:rsid w:val="00DC18AD"/>
    <w:rsid w:val="00DC2D2E"/>
    <w:rsid w:val="00DC3F33"/>
    <w:rsid w:val="00DD7B52"/>
    <w:rsid w:val="00DF7CAE"/>
    <w:rsid w:val="00E03C66"/>
    <w:rsid w:val="00E1267C"/>
    <w:rsid w:val="00E423C0"/>
    <w:rsid w:val="00E6414C"/>
    <w:rsid w:val="00E7260F"/>
    <w:rsid w:val="00E77BEC"/>
    <w:rsid w:val="00E854EC"/>
    <w:rsid w:val="00E8702D"/>
    <w:rsid w:val="00E905F4"/>
    <w:rsid w:val="00E916A9"/>
    <w:rsid w:val="00E916DE"/>
    <w:rsid w:val="00E925AD"/>
    <w:rsid w:val="00E9266C"/>
    <w:rsid w:val="00E96630"/>
    <w:rsid w:val="00EC296E"/>
    <w:rsid w:val="00EC7784"/>
    <w:rsid w:val="00ED18DC"/>
    <w:rsid w:val="00ED6201"/>
    <w:rsid w:val="00ED7A2A"/>
    <w:rsid w:val="00EF1D7F"/>
    <w:rsid w:val="00EF3753"/>
    <w:rsid w:val="00F0137E"/>
    <w:rsid w:val="00F04E44"/>
    <w:rsid w:val="00F12375"/>
    <w:rsid w:val="00F17B1E"/>
    <w:rsid w:val="00F21786"/>
    <w:rsid w:val="00F21D59"/>
    <w:rsid w:val="00F23F1B"/>
    <w:rsid w:val="00F25D06"/>
    <w:rsid w:val="00F31CDE"/>
    <w:rsid w:val="00F31CFF"/>
    <w:rsid w:val="00F321AE"/>
    <w:rsid w:val="00F3742B"/>
    <w:rsid w:val="00F41FDB"/>
    <w:rsid w:val="00F50597"/>
    <w:rsid w:val="00F51FFD"/>
    <w:rsid w:val="00F56D63"/>
    <w:rsid w:val="00F609A9"/>
    <w:rsid w:val="00F635B4"/>
    <w:rsid w:val="00F65548"/>
    <w:rsid w:val="00F66207"/>
    <w:rsid w:val="00F74F9A"/>
    <w:rsid w:val="00F80C99"/>
    <w:rsid w:val="00F83EC1"/>
    <w:rsid w:val="00F867EC"/>
    <w:rsid w:val="00F91B2B"/>
    <w:rsid w:val="00FC03CD"/>
    <w:rsid w:val="00FC0646"/>
    <w:rsid w:val="00FC56B6"/>
    <w:rsid w:val="00FC68B7"/>
    <w:rsid w:val="00FE6985"/>
    <w:rsid w:val="00FF1D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1170</Characters>
  <Application>Microsoft Office Word</Application>
  <DocSecurity>0</DocSecurity>
  <Lines>38</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ECE/TRANS/WP.29/2022/73</dc:title>
  <dc:subject>2205105</dc:subject>
  <dc:creator>Lucille</dc:creator>
  <cp:keywords/>
  <dc:description/>
  <cp:lastModifiedBy>Maria Rosario Corazon Gatmaytan</cp:lastModifiedBy>
  <cp:revision>2</cp:revision>
  <cp:lastPrinted>2009-02-18T18:36:00Z</cp:lastPrinted>
  <dcterms:created xsi:type="dcterms:W3CDTF">2022-04-06T11:51:00Z</dcterms:created>
  <dcterms:modified xsi:type="dcterms:W3CDTF">2022-04-06T11:51:00Z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