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28F44F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6C03C9" w14:textId="77777777" w:rsidR="00F35BAF" w:rsidRPr="00DB58B5" w:rsidRDefault="00F35BAF" w:rsidP="00C5697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DA284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48526F" w14:textId="43C37010" w:rsidR="00F35BAF" w:rsidRPr="00DB58B5" w:rsidRDefault="00C56978" w:rsidP="00C56978">
            <w:pPr>
              <w:jc w:val="right"/>
            </w:pPr>
            <w:r w:rsidRPr="00C56978">
              <w:rPr>
                <w:sz w:val="40"/>
              </w:rPr>
              <w:t>ECE</w:t>
            </w:r>
            <w:r>
              <w:t>/TRANS/WP</w:t>
            </w:r>
            <w:r w:rsidR="00746663" w:rsidRPr="00746663">
              <w:t>.</w:t>
            </w:r>
            <w:r>
              <w:t>29/GRPE/2022/17</w:t>
            </w:r>
          </w:p>
        </w:tc>
      </w:tr>
      <w:tr w:rsidR="00F35BAF" w:rsidRPr="00DB58B5" w14:paraId="6CBA071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D558D0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B1CBDA" wp14:editId="35E65F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0F079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B2EF8F" w14:textId="412CAB57" w:rsidR="00F35BAF" w:rsidRDefault="00C5697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746663" w:rsidRPr="00746663">
              <w:t>.</w:t>
            </w:r>
            <w:r>
              <w:t xml:space="preserve"> générale</w:t>
            </w:r>
          </w:p>
          <w:p w14:paraId="02E62C82" w14:textId="77777777" w:rsidR="00C56978" w:rsidRDefault="00C56978" w:rsidP="00C56978">
            <w:pPr>
              <w:spacing w:line="240" w:lineRule="exact"/>
            </w:pPr>
            <w:r>
              <w:t>21 mars 2022</w:t>
            </w:r>
          </w:p>
          <w:p w14:paraId="0AFA0262" w14:textId="77777777" w:rsidR="00C56978" w:rsidRDefault="00C56978" w:rsidP="00C56978">
            <w:pPr>
              <w:spacing w:line="240" w:lineRule="exact"/>
            </w:pPr>
            <w:r>
              <w:t>Français</w:t>
            </w:r>
          </w:p>
          <w:p w14:paraId="59A3672D" w14:textId="36EFDD9E" w:rsidR="00C56978" w:rsidRPr="00DB58B5" w:rsidRDefault="00C56978" w:rsidP="00C56978">
            <w:pPr>
              <w:spacing w:line="240" w:lineRule="exact"/>
            </w:pPr>
            <w:r>
              <w:t>Original : anglais</w:t>
            </w:r>
          </w:p>
        </w:tc>
      </w:tr>
    </w:tbl>
    <w:p w14:paraId="37AE936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F59000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869144" w14:textId="026C869A" w:rsidR="00C56978" w:rsidRPr="00C56978" w:rsidRDefault="00C56978" w:rsidP="00C56978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  <w:lang w:val="fr-FR"/>
        </w:rPr>
      </w:pPr>
      <w:r w:rsidRPr="00C56978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C56978">
        <w:rPr>
          <w:b/>
          <w:bCs/>
          <w:sz w:val="24"/>
          <w:szCs w:val="24"/>
          <w:lang w:val="fr-FR"/>
        </w:rPr>
        <w:t>des Règlements concernant les véhicules</w:t>
      </w:r>
      <w:r w:rsidRPr="00C56978">
        <w:rPr>
          <w:sz w:val="24"/>
          <w:szCs w:val="24"/>
          <w:lang w:val="fr-FR"/>
        </w:rPr>
        <w:t xml:space="preserve"> </w:t>
      </w:r>
    </w:p>
    <w:p w14:paraId="157FA81C" w14:textId="77777777" w:rsidR="00C56978" w:rsidRPr="002A39EF" w:rsidRDefault="00C56978" w:rsidP="00C56978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Groupe de travail de la pollution et de l’énergie</w:t>
      </w:r>
    </w:p>
    <w:p w14:paraId="5D60FBCF" w14:textId="77777777" w:rsidR="00C56978" w:rsidRPr="002A39EF" w:rsidRDefault="00C56978" w:rsidP="00C56978">
      <w:pPr>
        <w:rPr>
          <w:rFonts w:eastAsia="MS Mincho"/>
          <w:b/>
          <w:lang w:val="fr-FR"/>
        </w:rPr>
      </w:pPr>
      <w:r>
        <w:rPr>
          <w:b/>
          <w:bCs/>
          <w:lang w:val="fr-FR"/>
        </w:rPr>
        <w:t>Quatre-vingt-sixième session</w:t>
      </w:r>
    </w:p>
    <w:p w14:paraId="6CA91288" w14:textId="77777777" w:rsidR="00C56978" w:rsidRPr="002A39EF" w:rsidRDefault="00C56978" w:rsidP="00C56978">
      <w:pPr>
        <w:rPr>
          <w:lang w:val="fr-FR"/>
        </w:rPr>
      </w:pPr>
      <w:bookmarkStart w:id="0" w:name="_Hlk80714809"/>
      <w:r>
        <w:rPr>
          <w:lang w:val="fr-FR"/>
        </w:rPr>
        <w:t>Genève, 30 mai-2 juin 2022</w:t>
      </w:r>
    </w:p>
    <w:bookmarkEnd w:id="0"/>
    <w:p w14:paraId="2D38DF8C" w14:textId="77777777" w:rsidR="00C56978" w:rsidRPr="002A39EF" w:rsidRDefault="00C56978" w:rsidP="00C56978">
      <w:pPr>
        <w:rPr>
          <w:lang w:val="fr-FR"/>
        </w:rPr>
      </w:pPr>
      <w:r>
        <w:rPr>
          <w:lang w:val="fr-FR"/>
        </w:rPr>
        <w:t>Point 3 a) de l’ordre du jour provisoire</w:t>
      </w:r>
    </w:p>
    <w:p w14:paraId="5898DDB4" w14:textId="2037183B" w:rsidR="00C56978" w:rsidRPr="002A39EF" w:rsidRDefault="00C56978" w:rsidP="00C5697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Véhicules légers : Règlements ONU </w:t>
      </w:r>
      <w:r w:rsidRPr="00C56978">
        <w:rPr>
          <w:rFonts w:eastAsia="MS Mincho"/>
          <w:b/>
          <w:bCs/>
          <w:lang w:val="fr-FR"/>
        </w:rPr>
        <w:t>n</w:t>
      </w:r>
      <w:r w:rsidRPr="00C56978">
        <w:rPr>
          <w:rFonts w:eastAsia="MS Mincho"/>
          <w:b/>
          <w:bCs/>
          <w:vertAlign w:val="superscript"/>
          <w:lang w:val="fr-FR"/>
        </w:rPr>
        <w:t>o</w:t>
      </w:r>
      <w:r>
        <w:rPr>
          <w:rFonts w:eastAsia="MS Mincho"/>
          <w:b/>
          <w:bCs/>
          <w:vertAlign w:val="superscript"/>
          <w:lang w:val="fr-FR"/>
        </w:rPr>
        <w:t>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68 (Mesure de la vitesse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maximale des véhicules à moteur, y compris les véhicules électriques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purs), 83 (Émissions polluantes des véhicules des catégories M</w:t>
      </w:r>
      <w:r w:rsidRPr="002A39EF"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 et N</w:t>
      </w:r>
      <w:r w:rsidRPr="002A39EF"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101 (Émissions de CO</w:t>
      </w:r>
      <w:r w:rsidRPr="002A39EF"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 xml:space="preserve">/consommation  de carburant),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103 (Dispositifs antipollution de remplacement)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et 154 (Procédure d’essai mondiale harmonisée pour les voitures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particulières et les véhicules utilitaires légers (WLTP))</w:t>
      </w:r>
    </w:p>
    <w:p w14:paraId="7B7E18EE" w14:textId="2143AF4E" w:rsidR="00C56978" w:rsidRPr="002A39EF" w:rsidRDefault="00C56978" w:rsidP="00C5697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8341E">
        <w:rPr>
          <w:lang w:val="fr-FR"/>
        </w:rPr>
        <w:t xml:space="preserve">Proposition de </w:t>
      </w:r>
      <w:r>
        <w:rPr>
          <w:lang w:val="fr-FR"/>
        </w:rPr>
        <w:t xml:space="preserve">nouveau </w:t>
      </w:r>
      <w:r w:rsidRPr="0018341E">
        <w:rPr>
          <w:lang w:val="fr-FR"/>
        </w:rPr>
        <w:t>complément à la série 01 d</w:t>
      </w:r>
      <w:r>
        <w:rPr>
          <w:lang w:val="fr-FR"/>
        </w:rPr>
        <w:t>’</w:t>
      </w:r>
      <w:r w:rsidRPr="0018341E">
        <w:rPr>
          <w:lang w:val="fr-FR"/>
        </w:rPr>
        <w:t>amendements au Règlement ONU n</w:t>
      </w:r>
      <w:r w:rsidRPr="0018341E">
        <w:rPr>
          <w:vertAlign w:val="superscript"/>
          <w:lang w:val="fr-FR"/>
        </w:rPr>
        <w:t>o</w:t>
      </w:r>
      <w:r w:rsidR="00355C1A">
        <w:rPr>
          <w:lang w:val="fr-FR"/>
        </w:rPr>
        <w:t> </w:t>
      </w:r>
      <w:r w:rsidRPr="0018341E">
        <w:rPr>
          <w:lang w:val="fr-FR"/>
        </w:rPr>
        <w:t xml:space="preserve">101 </w:t>
      </w:r>
      <w:r>
        <w:rPr>
          <w:lang w:val="fr-FR"/>
        </w:rPr>
        <w:br/>
      </w:r>
      <w:r w:rsidRPr="0018341E">
        <w:rPr>
          <w:lang w:val="fr-FR"/>
        </w:rPr>
        <w:t>(Émissions de CO</w:t>
      </w:r>
      <w:r w:rsidRPr="002A39EF">
        <w:rPr>
          <w:vertAlign w:val="subscript"/>
          <w:lang w:val="fr-FR"/>
        </w:rPr>
        <w:t>2</w:t>
      </w:r>
      <w:r w:rsidRPr="0018341E">
        <w:rPr>
          <w:lang w:val="fr-FR"/>
        </w:rPr>
        <w:t>/consommation de carburant)</w:t>
      </w:r>
    </w:p>
    <w:p w14:paraId="2F8F5ACC" w14:textId="232DBC64" w:rsidR="00C56978" w:rsidRPr="002A39EF" w:rsidRDefault="00C56978" w:rsidP="00C5697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l’Organisation internationale </w:t>
      </w:r>
      <w:r>
        <w:rPr>
          <w:lang w:val="fr-FR"/>
        </w:rPr>
        <w:br/>
      </w:r>
      <w:r>
        <w:rPr>
          <w:lang w:val="fr-FR"/>
        </w:rPr>
        <w:t>des constructeurs d’automobiles</w:t>
      </w:r>
      <w:r w:rsidRPr="00C56978">
        <w:rPr>
          <w:b w:val="0"/>
          <w:bCs/>
          <w:sz w:val="20"/>
          <w:lang w:val="fr-FR"/>
        </w:rPr>
        <w:footnoteReference w:customMarkFollows="1" w:id="2"/>
        <w:t>*</w:t>
      </w:r>
    </w:p>
    <w:p w14:paraId="299B1329" w14:textId="4DBE5F1B" w:rsidR="00C56978" w:rsidRPr="002A39EF" w:rsidRDefault="00C56978" w:rsidP="00C56978">
      <w:pPr>
        <w:pStyle w:val="SingleTxtG"/>
        <w:rPr>
          <w:lang w:val="fr-FR"/>
        </w:rPr>
      </w:pPr>
      <w:bookmarkStart w:id="1" w:name="_Hlk80714824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établi par l’expert de l’Organisation internationale des constructeurs d’automobiles (OICA), a pour objet d’harmoniser les prescriptions relatives à la détermination des émissions de CO</w:t>
      </w:r>
      <w:r w:rsidRPr="002A39EF">
        <w:rPr>
          <w:vertAlign w:val="subscript"/>
          <w:lang w:val="fr-FR"/>
        </w:rPr>
        <w:t>2</w:t>
      </w:r>
      <w:r>
        <w:rPr>
          <w:lang w:val="fr-FR"/>
        </w:rPr>
        <w:t xml:space="preserve"> et de la consommation de carburant et d’énergie électrique </w:t>
      </w:r>
      <w:r w:rsidRPr="0046183B">
        <w:rPr>
          <w:lang w:val="fr-FR"/>
        </w:rPr>
        <w:t>pour ce qui concerne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la prescription relative à la </w:t>
      </w:r>
      <w:r w:rsidRPr="0018341E">
        <w:rPr>
          <w:lang w:val="fr-FR"/>
        </w:rPr>
        <w:t>décharge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des véhicules électriques hybrides rechargeables de l’extérieur (VEH-RE) équipés d’un sélecteur de mode de fonctionnement </w:t>
      </w:r>
      <w:r w:rsidRPr="0046183B">
        <w:rPr>
          <w:lang w:val="fr-FR"/>
        </w:rPr>
        <w:t xml:space="preserve">en tenant compte du critère </w:t>
      </w:r>
      <w:r>
        <w:rPr>
          <w:lang w:val="fr-FR"/>
        </w:rPr>
        <w:t>relatif à l’</w:t>
      </w:r>
      <w:r w:rsidRPr="0046183B">
        <w:rPr>
          <w:lang w:val="fr-FR"/>
        </w:rPr>
        <w:t>arrê</w:t>
      </w:r>
      <w:r>
        <w:rPr>
          <w:lang w:val="fr-FR"/>
        </w:rPr>
        <w:t>t de la décharge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La prescription relative au </w:t>
      </w:r>
      <w:proofErr w:type="spellStart"/>
      <w:r>
        <w:rPr>
          <w:lang w:val="fr-FR"/>
        </w:rPr>
        <w:t>préconditionnement</w:t>
      </w:r>
      <w:proofErr w:type="spellEnd"/>
      <w:r>
        <w:rPr>
          <w:lang w:val="fr-FR"/>
        </w:rPr>
        <w:t xml:space="preserve"> figurant dans la série 01 d’amendements au Règlement ONU </w:t>
      </w:r>
      <w:r w:rsidRPr="00C56978">
        <w:rPr>
          <w:rFonts w:eastAsia="MS Mincho"/>
          <w:lang w:val="fr-FR"/>
        </w:rPr>
        <w:t>n</w:t>
      </w:r>
      <w:r w:rsidRPr="00C5697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101 (annexe 9, Méthode de mesure de l’autonomie en mode électrique) est également harmonisée avec celle des séries 06 et 07 d’amendements au </w:t>
      </w:r>
      <w:r w:rsidRPr="00FC7251">
        <w:rPr>
          <w:lang w:val="fr-FR"/>
        </w:rPr>
        <w:t xml:space="preserve">Règlement ONU </w:t>
      </w:r>
      <w:r w:rsidRPr="00C56978">
        <w:rPr>
          <w:rFonts w:eastAsia="MS Mincho"/>
          <w:lang w:val="fr-FR"/>
        </w:rPr>
        <w:t>n</w:t>
      </w:r>
      <w:r w:rsidRPr="00C5697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FC7251">
        <w:rPr>
          <w:lang w:val="fr-FR"/>
        </w:rPr>
        <w:t>83 (annexe</w:t>
      </w:r>
      <w:r>
        <w:rPr>
          <w:lang w:val="fr-FR"/>
        </w:rPr>
        <w:t> </w:t>
      </w:r>
      <w:r w:rsidRPr="00FC7251">
        <w:rPr>
          <w:lang w:val="fr-FR"/>
        </w:rPr>
        <w:t>14, dispositions relatives aux</w:t>
      </w:r>
      <w:r>
        <w:rPr>
          <w:lang w:val="fr-FR"/>
        </w:rPr>
        <w:t xml:space="preserve"> procédures </w:t>
      </w:r>
      <w:r w:rsidRPr="00FC7251">
        <w:rPr>
          <w:lang w:val="fr-FR"/>
        </w:rPr>
        <w:t>d</w:t>
      </w:r>
      <w:r>
        <w:rPr>
          <w:lang w:val="fr-FR"/>
        </w:rPr>
        <w:t>’</w:t>
      </w:r>
      <w:r w:rsidRPr="00FC7251">
        <w:rPr>
          <w:lang w:val="fr-FR"/>
        </w:rPr>
        <w:t xml:space="preserve">essai pour la mesure des émissions des </w:t>
      </w:r>
      <w:r>
        <w:rPr>
          <w:lang w:val="fr-FR"/>
        </w:rPr>
        <w:t>VEH)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</w:t>
      </w:r>
      <w:r w:rsidRPr="0018341E">
        <w:rPr>
          <w:lang w:val="fr-FR"/>
        </w:rPr>
        <w:t>Les modifications qu</w:t>
      </w:r>
      <w:r>
        <w:rPr>
          <w:lang w:val="fr-FR"/>
        </w:rPr>
        <w:t>’</w:t>
      </w:r>
      <w:r w:rsidRPr="0018341E">
        <w:rPr>
          <w:lang w:val="fr-FR"/>
        </w:rPr>
        <w:t>il est proposé d</w:t>
      </w:r>
      <w:r>
        <w:rPr>
          <w:lang w:val="fr-FR"/>
        </w:rPr>
        <w:t>’</w:t>
      </w:r>
      <w:r w:rsidRPr="0018341E">
        <w:rPr>
          <w:lang w:val="fr-FR"/>
        </w:rPr>
        <w:t>apporter au texte actuel du Règlement figurent en caractères gras pour les ajouts et biffés pour les suppressions</w:t>
      </w:r>
      <w:r w:rsidR="00746663" w:rsidRPr="00746663">
        <w:rPr>
          <w:lang w:val="fr-FR"/>
        </w:rPr>
        <w:t>.</w:t>
      </w:r>
    </w:p>
    <w:bookmarkEnd w:id="1"/>
    <w:p w14:paraId="156CE76A" w14:textId="69418137" w:rsidR="00C56978" w:rsidRPr="002A39EF" w:rsidRDefault="00C56978" w:rsidP="00C56978">
      <w:pPr>
        <w:pStyle w:val="HChG"/>
        <w:rPr>
          <w:lang w:val="fr-FR"/>
        </w:rPr>
      </w:pPr>
      <w:r>
        <w:rPr>
          <w:lang w:val="fr-FR"/>
        </w:rPr>
        <w:lastRenderedPageBreak/>
        <w:tab/>
        <w:t>I</w:t>
      </w:r>
      <w:r w:rsidR="00746663" w:rsidRPr="00746663">
        <w:rPr>
          <w:lang w:val="fr-FR"/>
        </w:rPr>
        <w:t>.</w:t>
      </w:r>
      <w:r>
        <w:rPr>
          <w:lang w:val="fr-FR"/>
        </w:rPr>
        <w:tab/>
        <w:t>Proposition</w:t>
      </w:r>
    </w:p>
    <w:p w14:paraId="0DF68C27" w14:textId="52A54055" w:rsidR="00C56978" w:rsidRPr="002A39EF" w:rsidRDefault="00C56978" w:rsidP="00C56978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>Annexe 8, paragraphe 4</w:t>
      </w:r>
      <w:r w:rsidR="00746663" w:rsidRPr="0074666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746663" w:rsidRPr="00746663">
        <w:rPr>
          <w:i/>
          <w:iCs/>
          <w:lang w:val="fr-FR"/>
        </w:rPr>
        <w:t>.</w:t>
      </w:r>
      <w:r>
        <w:rPr>
          <w:i/>
          <w:iCs/>
          <w:lang w:val="fr-FR"/>
        </w:rPr>
        <w:t>2</w:t>
      </w:r>
      <w:r w:rsidR="00746663" w:rsidRPr="00746663">
        <w:rPr>
          <w:i/>
          <w:iCs/>
          <w:lang w:val="fr-FR"/>
        </w:rPr>
        <w:t>.</w:t>
      </w:r>
      <w:r>
        <w:rPr>
          <w:i/>
          <w:iCs/>
          <w:lang w:val="fr-FR"/>
        </w:rPr>
        <w:t>1</w:t>
      </w:r>
      <w:r>
        <w:rPr>
          <w:lang w:val="fr-FR"/>
        </w:rPr>
        <w:t>, lire :</w:t>
      </w:r>
    </w:p>
    <w:p w14:paraId="466B61F3" w14:textId="4D669998" w:rsidR="00C56978" w:rsidRPr="002A39EF" w:rsidRDefault="00C56978" w:rsidP="00C56978">
      <w:pPr>
        <w:pStyle w:val="SingleTxtG"/>
        <w:ind w:left="2268" w:hanging="1134"/>
        <w:rPr>
          <w:rFonts w:eastAsia="MS Mincho"/>
          <w:lang w:val="fr-FR"/>
        </w:rPr>
      </w:pPr>
      <w:r>
        <w:rPr>
          <w:lang w:val="fr-FR"/>
        </w:rPr>
        <w:t>« 4</w:t>
      </w:r>
      <w:r w:rsidR="00746663" w:rsidRPr="00746663">
        <w:rPr>
          <w:lang w:val="fr-FR"/>
        </w:rPr>
        <w:t>.</w:t>
      </w:r>
      <w:r>
        <w:rPr>
          <w:lang w:val="fr-FR"/>
        </w:rPr>
        <w:t>2</w:t>
      </w:r>
      <w:r w:rsidR="00746663" w:rsidRPr="00746663">
        <w:rPr>
          <w:lang w:val="fr-FR"/>
        </w:rPr>
        <w:t>.</w:t>
      </w:r>
      <w:r>
        <w:rPr>
          <w:lang w:val="fr-FR"/>
        </w:rPr>
        <w:t>2</w:t>
      </w:r>
      <w:r w:rsidR="00746663" w:rsidRPr="00746663">
        <w:rPr>
          <w:lang w:val="fr-FR"/>
        </w:rPr>
        <w:t>.</w:t>
      </w:r>
      <w:r>
        <w:rPr>
          <w:lang w:val="fr-FR"/>
        </w:rPr>
        <w:t>1</w:t>
      </w:r>
      <w:r>
        <w:rPr>
          <w:lang w:val="fr-FR"/>
        </w:rPr>
        <w:tab/>
        <w:t>On décharge le dispositif de stockage de l’énergie électrique ou autre en effectuant un parcours avec le sélecteur en mode électrique pur (sur piste d’essai, sur banc à rouleaux, etc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) à une vitesse stabilisée de 70 ± 5 % de la vitesse maximale du véhicule en mode électrique pur, à déterminer selon la procédure d’essai des véhicules électriques définie dans le Règlement </w:t>
      </w:r>
      <w:r w:rsidRPr="00152A5A">
        <w:rPr>
          <w:lang w:val="fr-FR"/>
        </w:rPr>
        <w:t>n</w:t>
      </w:r>
      <w:r w:rsidRPr="00152A5A">
        <w:rPr>
          <w:vertAlign w:val="superscript"/>
          <w:lang w:val="fr-FR"/>
        </w:rPr>
        <w:t>o</w:t>
      </w:r>
      <w:r w:rsidR="00746663">
        <w:rPr>
          <w:lang w:val="fr-FR"/>
        </w:rPr>
        <w:t> </w:t>
      </w:r>
      <w:r>
        <w:rPr>
          <w:lang w:val="fr-FR"/>
        </w:rPr>
        <w:t>68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À la demande du constructeur, </w:t>
      </w:r>
      <w:r w:rsidRPr="00152A5A">
        <w:rPr>
          <w:b/>
          <w:bCs/>
          <w:lang w:val="fr-FR"/>
        </w:rPr>
        <w:t>une vitesse stabilisée de 70 ± 5 % de la vitesse maximale sur trente minutes du véhicule en mode électrique pur</w:t>
      </w:r>
      <w:r>
        <w:rPr>
          <w:b/>
          <w:bCs/>
          <w:i/>
          <w:iCs/>
          <w:lang w:val="fr-FR"/>
        </w:rPr>
        <w:t xml:space="preserve"> </w:t>
      </w:r>
      <w:r>
        <w:rPr>
          <w:b/>
          <w:bCs/>
          <w:lang w:val="fr-FR"/>
        </w:rPr>
        <w:t>peut être appliquée</w:t>
      </w:r>
      <w:r w:rsidR="00746663" w:rsidRPr="00746663">
        <w:rPr>
          <w:b/>
          <w:bCs/>
          <w:lang w:val="fr-FR"/>
        </w:rPr>
        <w:t>.</w:t>
      </w:r>
    </w:p>
    <w:p w14:paraId="20998072" w14:textId="743AC94B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On arrête la décharge</w:t>
      </w:r>
      <w:r w:rsidR="00746663">
        <w:rPr>
          <w:lang w:val="fr-FR"/>
        </w:rPr>
        <w:t> </w:t>
      </w:r>
      <w:r>
        <w:rPr>
          <w:lang w:val="fr-FR"/>
        </w:rPr>
        <w:t>:</w:t>
      </w:r>
    </w:p>
    <w:p w14:paraId="3BE14EBC" w14:textId="12705332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Lorsque le véhicule n’est plus en mesure de rouler à 65 % de sa vitesse maximale sur 30 min</w:t>
      </w:r>
      <w:r w:rsidR="00746663">
        <w:rPr>
          <w:lang w:val="fr-FR"/>
        </w:rPr>
        <w:t> </w:t>
      </w:r>
      <w:r>
        <w:rPr>
          <w:lang w:val="fr-FR"/>
        </w:rPr>
        <w:t>; ou</w:t>
      </w:r>
    </w:p>
    <w:p w14:paraId="4D965A69" w14:textId="77777777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Lorsque les instruments de bord de série indiquent que le véhicule doit être arrêté ; ou</w:t>
      </w:r>
    </w:p>
    <w:p w14:paraId="1C175F5D" w14:textId="6DABA0A2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Lorsque la distance de 100 km a été couverte</w:t>
      </w:r>
      <w:r w:rsidR="00746663" w:rsidRPr="00746663">
        <w:rPr>
          <w:lang w:val="fr-FR"/>
        </w:rPr>
        <w:t>.</w:t>
      </w:r>
    </w:p>
    <w:p w14:paraId="47B237DE" w14:textId="30CAD86C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Si le véhicule n’est pas doté d’un mode électrique pur, le dispositif de stockage de l’énergie électrique ou autre est déchargé en effectuant un parcours (sur piste d’essai, sur banc à rouleaux, etc</w:t>
      </w:r>
      <w:r w:rsidR="00746663" w:rsidRPr="00746663">
        <w:rPr>
          <w:lang w:val="fr-FR"/>
        </w:rPr>
        <w:t>.</w:t>
      </w:r>
      <w:r>
        <w:rPr>
          <w:lang w:val="fr-FR"/>
        </w:rPr>
        <w:t>):</w:t>
      </w:r>
    </w:p>
    <w:p w14:paraId="1B162B9F" w14:textId="607B7C4F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À une vitesse stabilisée de 50</w:t>
      </w:r>
      <w:r w:rsidR="00746663">
        <w:rPr>
          <w:lang w:val="fr-FR"/>
        </w:rPr>
        <w:t> </w:t>
      </w:r>
      <w:r>
        <w:rPr>
          <w:lang w:val="fr-FR"/>
        </w:rPr>
        <w:t xml:space="preserve">km/h jusqu’à ce que le moteur </w:t>
      </w:r>
      <w:proofErr w:type="spellStart"/>
      <w:r>
        <w:rPr>
          <w:lang w:val="fr-FR"/>
        </w:rPr>
        <w:t>thermiquedémarre</w:t>
      </w:r>
      <w:proofErr w:type="spellEnd"/>
      <w:r w:rsidR="00746663">
        <w:rPr>
          <w:lang w:val="fr-FR"/>
        </w:rPr>
        <w:t> </w:t>
      </w:r>
      <w:r>
        <w:rPr>
          <w:lang w:val="fr-FR"/>
        </w:rPr>
        <w:t>;</w:t>
      </w:r>
    </w:p>
    <w:p w14:paraId="3C9442C9" w14:textId="0D12E7CD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Ou, si le véhicule ne peut atteindre une vitesse stabilisée de 50 km/h sans mise en route du moteur thermique, à une vitesse qui est réduite jusqu’à ce que le véhicule puisse rouler à une vitesse stabilisée juste inférieure à celle de démarrage du moteur thermique pendant une durée ou sur une distance déterminées (à convenir entre le service technique et le constructeur)</w:t>
      </w:r>
      <w:r w:rsidR="00746663">
        <w:rPr>
          <w:lang w:val="fr-FR"/>
        </w:rPr>
        <w:t> </w:t>
      </w:r>
      <w:r>
        <w:rPr>
          <w:lang w:val="fr-FR"/>
        </w:rPr>
        <w:t>;</w:t>
      </w:r>
    </w:p>
    <w:p w14:paraId="1ED2F290" w14:textId="78C53494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Ou suivant les recommandations du constructeur</w:t>
      </w:r>
      <w:r w:rsidR="00746663" w:rsidRPr="00746663">
        <w:rPr>
          <w:lang w:val="fr-FR"/>
        </w:rPr>
        <w:t>.</w:t>
      </w:r>
    </w:p>
    <w:p w14:paraId="1DB0341D" w14:textId="1CFC7E74" w:rsidR="00C56978" w:rsidRPr="002A39EF" w:rsidRDefault="00C56978" w:rsidP="00C56978">
      <w:pPr>
        <w:pStyle w:val="SingleTxtG"/>
        <w:ind w:left="2268"/>
        <w:rPr>
          <w:rFonts w:eastAsia="MS Mincho"/>
          <w:lang w:val="fr-FR"/>
        </w:rPr>
      </w:pPr>
      <w:r>
        <w:rPr>
          <w:lang w:val="fr-FR"/>
        </w:rPr>
        <w:t>Le moteur thermique doit être arrêté dans les 10 s qui suivent son démarrage automatique</w:t>
      </w:r>
      <w:r w:rsidR="00746663" w:rsidRPr="00746663">
        <w:rPr>
          <w:lang w:val="fr-FR"/>
        </w:rPr>
        <w:t>.</w:t>
      </w:r>
      <w:r>
        <w:rPr>
          <w:lang w:val="fr-FR"/>
        </w:rPr>
        <w:t> »</w:t>
      </w:r>
      <w:r w:rsidR="00746663" w:rsidRPr="00746663">
        <w:rPr>
          <w:lang w:val="fr-FR"/>
        </w:rPr>
        <w:t>.</w:t>
      </w:r>
    </w:p>
    <w:p w14:paraId="0BCC000D" w14:textId="198EECE9" w:rsidR="00C56978" w:rsidRPr="002A39EF" w:rsidRDefault="00C56978" w:rsidP="00C56978">
      <w:pPr>
        <w:pStyle w:val="HChG"/>
        <w:rPr>
          <w:rFonts w:eastAsia="MS Mincho"/>
        </w:rPr>
      </w:pPr>
      <w:r>
        <w:rPr>
          <w:lang w:val="fr-FR"/>
        </w:rPr>
        <w:tab/>
        <w:t>II</w:t>
      </w:r>
      <w:r w:rsidR="00746663" w:rsidRPr="00746663">
        <w:rPr>
          <w:lang w:val="fr-FR"/>
        </w:rPr>
        <w:t>.</w:t>
      </w:r>
      <w:r>
        <w:rPr>
          <w:lang w:val="fr-FR"/>
        </w:rPr>
        <w:tab/>
        <w:t>Justification</w:t>
      </w:r>
    </w:p>
    <w:p w14:paraId="2C2A9916" w14:textId="5C1AA86F" w:rsidR="00C56978" w:rsidRPr="002A39EF" w:rsidRDefault="00C56978" w:rsidP="00C56978">
      <w:pPr>
        <w:pStyle w:val="SingleTxtG"/>
        <w:kinsoku/>
        <w:overflowPunct/>
        <w:autoSpaceDE/>
        <w:autoSpaceDN/>
        <w:adjustRightInd/>
        <w:snapToGrid/>
        <w:ind w:right="1110"/>
        <w:rPr>
          <w:lang w:val="fr-FR"/>
        </w:rPr>
      </w:pPr>
      <w:r w:rsidRPr="002A39EF">
        <w:rPr>
          <w:lang w:val="fr-FR"/>
        </w:rPr>
        <w:t>1</w:t>
      </w:r>
      <w:r w:rsidR="00746663" w:rsidRPr="00746663">
        <w:rPr>
          <w:lang w:val="fr-FR"/>
        </w:rPr>
        <w:t>.</w:t>
      </w:r>
      <w:r w:rsidRPr="002A39EF">
        <w:rPr>
          <w:lang w:val="fr-FR"/>
        </w:rPr>
        <w:tab/>
      </w:r>
      <w:r>
        <w:rPr>
          <w:lang w:val="fr-FR"/>
        </w:rPr>
        <w:t xml:space="preserve">La vitesse de décharge (70 % ± 5 % de la </w:t>
      </w:r>
      <w:r>
        <w:rPr>
          <w:b/>
          <w:bCs/>
          <w:lang w:val="fr-FR"/>
        </w:rPr>
        <w:t>vitesse maximale</w:t>
      </w:r>
      <w:r>
        <w:rPr>
          <w:lang w:val="fr-FR"/>
        </w:rPr>
        <w:t xml:space="preserve">) prescrite pour les conditions A et B en ce qui concerne les véhicules électriques hybrides équipés d’un sélecteur de mode de fonctionnement dans l’annexe 8 (« Méthode de mesure des émissions de dioxyde de carbone, de la consommation de carburant et de la consommation d’énergie électrique des véhicules </w:t>
      </w:r>
      <w:proofErr w:type="spellStart"/>
      <w:r>
        <w:rPr>
          <w:lang w:val="fr-FR"/>
        </w:rPr>
        <w:t>mus</w:t>
      </w:r>
      <w:proofErr w:type="spellEnd"/>
      <w:r>
        <w:rPr>
          <w:lang w:val="fr-FR"/>
        </w:rPr>
        <w:t xml:space="preserve"> par une chaîne de traction électrique hybride ») de la série 01 d’amendements au Règlement ONU </w:t>
      </w:r>
      <w:r w:rsidRPr="005207F9">
        <w:rPr>
          <w:lang w:val="fr-FR"/>
        </w:rPr>
        <w:t>n</w:t>
      </w:r>
      <w:r w:rsidRPr="005207F9">
        <w:rPr>
          <w:vertAlign w:val="superscript"/>
          <w:lang w:val="fr-FR"/>
        </w:rPr>
        <w:t>o</w:t>
      </w:r>
      <w:r>
        <w:rPr>
          <w:lang w:val="fr-FR"/>
        </w:rPr>
        <w:t xml:space="preserve"> 101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ne correspond pas à l’un des critères  d’arrêt de la décharge (65</w:t>
      </w:r>
      <w:r w:rsidR="00355C1A">
        <w:rPr>
          <w:lang w:val="fr-FR"/>
        </w:rPr>
        <w:t> </w:t>
      </w:r>
      <w:r>
        <w:rPr>
          <w:lang w:val="fr-FR"/>
        </w:rPr>
        <w:t xml:space="preserve">% de sa </w:t>
      </w:r>
      <w:r>
        <w:rPr>
          <w:b/>
          <w:bCs/>
          <w:lang w:val="fr-FR"/>
        </w:rPr>
        <w:t>vitesse maximale sur 30 min</w:t>
      </w:r>
      <w:r>
        <w:rPr>
          <w:lang w:val="fr-FR"/>
        </w:rPr>
        <w:t>)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</w:t>
      </w:r>
    </w:p>
    <w:p w14:paraId="793FBAD4" w14:textId="2FBC07AD" w:rsidR="00C56978" w:rsidRPr="002A39EF" w:rsidRDefault="00C56978" w:rsidP="00C56978">
      <w:pPr>
        <w:pStyle w:val="SingleTxtG"/>
        <w:kinsoku/>
        <w:overflowPunct/>
        <w:autoSpaceDE/>
        <w:autoSpaceDN/>
        <w:adjustRightInd/>
        <w:snapToGrid/>
        <w:ind w:right="1110"/>
        <w:rPr>
          <w:lang w:val="fr-FR"/>
        </w:rPr>
      </w:pPr>
      <w:r w:rsidRPr="002A39EF">
        <w:rPr>
          <w:lang w:val="fr-FR"/>
        </w:rPr>
        <w:t>2</w:t>
      </w:r>
      <w:r w:rsidR="00746663" w:rsidRPr="00746663">
        <w:rPr>
          <w:lang w:val="fr-FR"/>
        </w:rPr>
        <w:t>.</w:t>
      </w:r>
      <w:r w:rsidRPr="002A39EF">
        <w:rPr>
          <w:lang w:val="fr-FR"/>
        </w:rPr>
        <w:tab/>
      </w:r>
      <w:r>
        <w:rPr>
          <w:lang w:val="fr-FR"/>
        </w:rPr>
        <w:t xml:space="preserve">Les prescriptions relatives à la vitesse lors de la décharge et </w:t>
      </w:r>
      <w:r w:rsidRPr="00152A5A">
        <w:rPr>
          <w:lang w:val="fr-FR"/>
        </w:rPr>
        <w:t xml:space="preserve">à la vitesse </w:t>
      </w:r>
      <w:r>
        <w:rPr>
          <w:lang w:val="fr-FR"/>
        </w:rPr>
        <w:t>nécessitant l’</w:t>
      </w:r>
      <w:r w:rsidRPr="00152A5A">
        <w:rPr>
          <w:lang w:val="fr-FR"/>
        </w:rPr>
        <w:t>arrêt</w:t>
      </w:r>
      <w:r>
        <w:rPr>
          <w:lang w:val="fr-FR"/>
        </w:rPr>
        <w:t xml:space="preserve"> </w:t>
      </w:r>
      <w:r w:rsidRPr="00152A5A">
        <w:rPr>
          <w:lang w:val="fr-FR"/>
        </w:rPr>
        <w:t>de la décharge</w:t>
      </w:r>
      <w:r>
        <w:rPr>
          <w:lang w:val="fr-FR"/>
        </w:rPr>
        <w:t xml:space="preserve"> :</w:t>
      </w:r>
    </w:p>
    <w:p w14:paraId="1CEF4F0E" w14:textId="10918DB4" w:rsidR="00C56978" w:rsidRPr="002A39EF" w:rsidRDefault="00C56978" w:rsidP="00C56978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A39EF">
        <w:rPr>
          <w:lang w:val="fr-FR"/>
        </w:rPr>
        <w:t>a)</w:t>
      </w:r>
      <w:r w:rsidRPr="002A39EF">
        <w:rPr>
          <w:lang w:val="fr-FR"/>
        </w:rPr>
        <w:tab/>
      </w:r>
      <w:r w:rsidR="00746663">
        <w:rPr>
          <w:lang w:val="fr-FR"/>
        </w:rPr>
        <w:t>P</w:t>
      </w:r>
      <w:r>
        <w:rPr>
          <w:lang w:val="fr-FR"/>
        </w:rPr>
        <w:t xml:space="preserve">our la condition A en ce qui concerne les véhicules électriques hybrides équipés d’un sélecteur de mode de fonctionnement, </w:t>
      </w:r>
      <w:r w:rsidRPr="005207F9">
        <w:rPr>
          <w:lang w:val="fr-FR"/>
        </w:rPr>
        <w:t>énoncée</w:t>
      </w:r>
      <w:r>
        <w:rPr>
          <w:lang w:val="fr-FR"/>
        </w:rPr>
        <w:t xml:space="preserve">s dans l’annexe 9 (« Méthode de mesure de l’autonomie en mode électrique des véhicules </w:t>
      </w:r>
      <w:proofErr w:type="spellStart"/>
      <w:r>
        <w:rPr>
          <w:lang w:val="fr-FR"/>
        </w:rPr>
        <w:t>mus</w:t>
      </w:r>
      <w:proofErr w:type="spellEnd"/>
      <w:r>
        <w:rPr>
          <w:lang w:val="fr-FR"/>
        </w:rPr>
        <w:t xml:space="preserve"> uniquement par une chaîne de traction électrique ou </w:t>
      </w:r>
      <w:proofErr w:type="spellStart"/>
      <w:r>
        <w:rPr>
          <w:lang w:val="fr-FR"/>
        </w:rPr>
        <w:t>mus</w:t>
      </w:r>
      <w:proofErr w:type="spellEnd"/>
      <w:r>
        <w:rPr>
          <w:lang w:val="fr-FR"/>
        </w:rPr>
        <w:t xml:space="preserve"> par une chaîne de traction électrique hybride », paragraphes</w:t>
      </w:r>
      <w:r w:rsidR="00355C1A">
        <w:rPr>
          <w:lang w:val="fr-FR"/>
        </w:rPr>
        <w:t> </w:t>
      </w:r>
      <w:r>
        <w:rPr>
          <w:lang w:val="fr-FR"/>
        </w:rPr>
        <w:t>4</w:t>
      </w:r>
      <w:r w:rsidR="00746663" w:rsidRPr="00746663">
        <w:rPr>
          <w:lang w:val="fr-FR"/>
        </w:rPr>
        <w:t>.</w:t>
      </w:r>
      <w:r>
        <w:rPr>
          <w:lang w:val="fr-FR"/>
        </w:rPr>
        <w:t>1</w:t>
      </w:r>
      <w:r w:rsidR="00746663" w:rsidRPr="00746663">
        <w:rPr>
          <w:lang w:val="fr-FR"/>
        </w:rPr>
        <w:t>.</w:t>
      </w:r>
      <w:r>
        <w:rPr>
          <w:lang w:val="fr-FR"/>
        </w:rPr>
        <w:t>1</w:t>
      </w:r>
      <w:r w:rsidR="00746663" w:rsidRPr="00746663">
        <w:rPr>
          <w:lang w:val="fr-FR"/>
        </w:rPr>
        <w:t>.</w:t>
      </w:r>
      <w:r>
        <w:rPr>
          <w:lang w:val="fr-FR"/>
        </w:rPr>
        <w:t>3</w:t>
      </w:r>
      <w:r w:rsidR="00746663" w:rsidRPr="00746663">
        <w:rPr>
          <w:lang w:val="fr-FR"/>
        </w:rPr>
        <w:t>.</w:t>
      </w:r>
      <w:r>
        <w:rPr>
          <w:lang w:val="fr-FR"/>
        </w:rPr>
        <w:t>2 et 4</w:t>
      </w:r>
      <w:r w:rsidR="00746663" w:rsidRPr="00746663">
        <w:rPr>
          <w:lang w:val="fr-FR"/>
        </w:rPr>
        <w:t>.</w:t>
      </w:r>
      <w:r>
        <w:rPr>
          <w:lang w:val="fr-FR"/>
        </w:rPr>
        <w:t>1</w:t>
      </w:r>
      <w:r w:rsidR="00746663" w:rsidRPr="00746663">
        <w:rPr>
          <w:lang w:val="fr-FR"/>
        </w:rPr>
        <w:t>.</w:t>
      </w:r>
      <w:r>
        <w:rPr>
          <w:lang w:val="fr-FR"/>
        </w:rPr>
        <w:t>1</w:t>
      </w:r>
      <w:r w:rsidR="00746663" w:rsidRPr="00746663">
        <w:rPr>
          <w:lang w:val="fr-FR"/>
        </w:rPr>
        <w:t>.</w:t>
      </w:r>
      <w:r>
        <w:rPr>
          <w:lang w:val="fr-FR"/>
        </w:rPr>
        <w:t>3</w:t>
      </w:r>
      <w:r w:rsidR="00746663" w:rsidRPr="00746663">
        <w:rPr>
          <w:lang w:val="fr-FR"/>
        </w:rPr>
        <w:t>.</w:t>
      </w:r>
      <w:r>
        <w:rPr>
          <w:lang w:val="fr-FR"/>
        </w:rPr>
        <w:t>3 de la série 01 d’amendements au Règlement ONU </w:t>
      </w:r>
      <w:r w:rsidRPr="00646032">
        <w:rPr>
          <w:lang w:val="fr-FR"/>
        </w:rPr>
        <w:t>n</w:t>
      </w:r>
      <w:r w:rsidRPr="00646032">
        <w:rPr>
          <w:vertAlign w:val="superscript"/>
          <w:lang w:val="fr-FR"/>
        </w:rPr>
        <w:t>o</w:t>
      </w:r>
      <w:r w:rsidR="00746663">
        <w:rPr>
          <w:lang w:val="fr-FR"/>
        </w:rPr>
        <w:t> </w:t>
      </w:r>
      <w:r>
        <w:rPr>
          <w:lang w:val="fr-FR"/>
        </w:rPr>
        <w:t>101</w:t>
      </w:r>
      <w:r w:rsidR="00746663">
        <w:rPr>
          <w:lang w:val="fr-FR"/>
        </w:rPr>
        <w:t> </w:t>
      </w:r>
      <w:r>
        <w:rPr>
          <w:lang w:val="fr-FR"/>
        </w:rPr>
        <w:t>; ainsi que</w:t>
      </w:r>
    </w:p>
    <w:p w14:paraId="0CAC7CCE" w14:textId="1393D796" w:rsidR="00355C1A" w:rsidRDefault="00C56978" w:rsidP="00C56978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2A39EF">
        <w:rPr>
          <w:lang w:val="fr-FR"/>
        </w:rPr>
        <w:t>b)</w:t>
      </w:r>
      <w:r w:rsidRPr="002A39EF">
        <w:rPr>
          <w:lang w:val="fr-FR"/>
        </w:rPr>
        <w:tab/>
      </w:r>
      <w:r w:rsidR="00746663">
        <w:rPr>
          <w:lang w:val="fr-FR"/>
        </w:rPr>
        <w:t>P</w:t>
      </w:r>
      <w:r w:rsidRPr="0018341E">
        <w:rPr>
          <w:lang w:val="fr-FR"/>
        </w:rPr>
        <w:t>our les conditions A et B en ce qui concerne les véhicules électriques hybrides rechargeables de l</w:t>
      </w:r>
      <w:r>
        <w:rPr>
          <w:lang w:val="fr-FR"/>
        </w:rPr>
        <w:t>’</w:t>
      </w:r>
      <w:r w:rsidRPr="0018341E">
        <w:rPr>
          <w:lang w:val="fr-FR"/>
        </w:rPr>
        <w:t>extérieur équipés d</w:t>
      </w:r>
      <w:r>
        <w:rPr>
          <w:lang w:val="fr-FR"/>
        </w:rPr>
        <w:t>’</w:t>
      </w:r>
      <w:r w:rsidRPr="0018341E">
        <w:rPr>
          <w:lang w:val="fr-FR"/>
        </w:rPr>
        <w:t>un sélecteur de mode de fonctionnement</w:t>
      </w:r>
      <w:r>
        <w:rPr>
          <w:lang w:val="fr-FR"/>
        </w:rPr>
        <w:t>,</w:t>
      </w:r>
      <w:r w:rsidRPr="0018341E">
        <w:rPr>
          <w:lang w:val="fr-FR"/>
        </w:rPr>
        <w:t xml:space="preserve"> énoncées dans l</w:t>
      </w:r>
      <w:r>
        <w:rPr>
          <w:lang w:val="fr-FR"/>
        </w:rPr>
        <w:t>’</w:t>
      </w:r>
      <w:r w:rsidRPr="0018341E">
        <w:rPr>
          <w:lang w:val="fr-FR"/>
        </w:rPr>
        <w:t>annexe 14 (« Méthode d</w:t>
      </w:r>
      <w:r>
        <w:rPr>
          <w:lang w:val="fr-FR"/>
        </w:rPr>
        <w:t>’</w:t>
      </w:r>
      <w:r w:rsidRPr="0018341E">
        <w:rPr>
          <w:lang w:val="fr-FR"/>
        </w:rPr>
        <w:t>essai pour la mesure des émissions</w:t>
      </w:r>
      <w:r>
        <w:rPr>
          <w:lang w:val="fr-FR"/>
        </w:rPr>
        <w:t xml:space="preserve"> </w:t>
      </w:r>
      <w:r w:rsidRPr="0018341E">
        <w:rPr>
          <w:lang w:val="fr-FR"/>
        </w:rPr>
        <w:t>des véhicules électriques hybrides</w:t>
      </w:r>
      <w:r w:rsidR="00746663">
        <w:rPr>
          <w:lang w:val="fr-FR"/>
        </w:rPr>
        <w:t> </w:t>
      </w:r>
      <w:r w:rsidRPr="0018341E">
        <w:rPr>
          <w:lang w:val="fr-FR"/>
        </w:rPr>
        <w:t>»), paragraphes 3</w:t>
      </w:r>
      <w:r w:rsidR="00746663" w:rsidRPr="00746663">
        <w:rPr>
          <w:lang w:val="fr-FR"/>
        </w:rPr>
        <w:t>.</w:t>
      </w:r>
      <w:r w:rsidRPr="0018341E">
        <w:rPr>
          <w:lang w:val="fr-FR"/>
        </w:rPr>
        <w:t>2</w:t>
      </w:r>
      <w:r w:rsidR="00746663" w:rsidRPr="00746663">
        <w:rPr>
          <w:lang w:val="fr-FR"/>
        </w:rPr>
        <w:t>.</w:t>
      </w:r>
      <w:r w:rsidRPr="0018341E">
        <w:rPr>
          <w:lang w:val="fr-FR"/>
        </w:rPr>
        <w:t>2</w:t>
      </w:r>
      <w:r w:rsidR="00746663" w:rsidRPr="00746663">
        <w:rPr>
          <w:lang w:val="fr-FR"/>
        </w:rPr>
        <w:t>.</w:t>
      </w:r>
      <w:r w:rsidRPr="0018341E">
        <w:rPr>
          <w:lang w:val="fr-FR"/>
        </w:rPr>
        <w:t>2 et 3</w:t>
      </w:r>
      <w:r w:rsidR="00746663" w:rsidRPr="00746663">
        <w:rPr>
          <w:lang w:val="fr-FR"/>
        </w:rPr>
        <w:t>.</w:t>
      </w:r>
      <w:r w:rsidRPr="0018341E">
        <w:rPr>
          <w:lang w:val="fr-FR"/>
        </w:rPr>
        <w:t>2</w:t>
      </w:r>
      <w:r w:rsidR="00746663" w:rsidRPr="00746663">
        <w:rPr>
          <w:lang w:val="fr-FR"/>
        </w:rPr>
        <w:t>.</w:t>
      </w:r>
      <w:r w:rsidRPr="0018341E">
        <w:rPr>
          <w:lang w:val="fr-FR"/>
        </w:rPr>
        <w:t>3</w:t>
      </w:r>
      <w:r w:rsidR="00746663" w:rsidRPr="00746663">
        <w:rPr>
          <w:lang w:val="fr-FR"/>
        </w:rPr>
        <w:t>.</w:t>
      </w:r>
      <w:r w:rsidRPr="0018341E">
        <w:rPr>
          <w:lang w:val="fr-FR"/>
        </w:rPr>
        <w:t>2 des séries 06 et 07 d</w:t>
      </w:r>
      <w:r>
        <w:rPr>
          <w:lang w:val="fr-FR"/>
        </w:rPr>
        <w:t>’</w:t>
      </w:r>
      <w:r w:rsidRPr="0018341E">
        <w:rPr>
          <w:lang w:val="fr-FR"/>
        </w:rPr>
        <w:t xml:space="preserve">amendements au Règlement ONU </w:t>
      </w:r>
      <w:r w:rsidRPr="00C56978">
        <w:rPr>
          <w:rFonts w:eastAsia="MS Mincho"/>
          <w:lang w:val="fr-FR"/>
        </w:rPr>
        <w:t>n</w:t>
      </w:r>
      <w:r w:rsidRPr="00C5697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18341E">
        <w:rPr>
          <w:lang w:val="fr-FR"/>
        </w:rPr>
        <w:t>83</w:t>
      </w:r>
    </w:p>
    <w:p w14:paraId="77F70980" w14:textId="216156A2" w:rsidR="00C56978" w:rsidRPr="002A39EF" w:rsidRDefault="00C56978" w:rsidP="00C56978">
      <w:pPr>
        <w:pStyle w:val="SingleTxtG"/>
        <w:keepNext/>
        <w:keepLines/>
        <w:rPr>
          <w:lang w:val="fr-FR"/>
        </w:rPr>
      </w:pPr>
      <w:r>
        <w:rPr>
          <w:lang w:val="fr-FR"/>
        </w:rPr>
        <w:t>font toutes deux référence à la vitesse maximale sur trente minutes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</w:t>
      </w:r>
    </w:p>
    <w:p w14:paraId="765174FA" w14:textId="77C8D8F1" w:rsidR="00F9573C" w:rsidRDefault="00C56978" w:rsidP="00C56978">
      <w:pPr>
        <w:pStyle w:val="SingleTxtG"/>
        <w:rPr>
          <w:lang w:val="fr-FR"/>
        </w:rPr>
      </w:pPr>
      <w:r>
        <w:rPr>
          <w:lang w:val="fr-FR"/>
        </w:rPr>
        <w:t>3</w:t>
      </w:r>
      <w:r w:rsidR="00746663" w:rsidRPr="00746663"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 xml:space="preserve">La prescription relative au </w:t>
      </w:r>
      <w:proofErr w:type="spellStart"/>
      <w:r>
        <w:rPr>
          <w:lang w:val="fr-FR"/>
        </w:rPr>
        <w:t>préconditionnement</w:t>
      </w:r>
      <w:proofErr w:type="spellEnd"/>
      <w:r>
        <w:rPr>
          <w:lang w:val="fr-FR"/>
        </w:rPr>
        <w:t xml:space="preserve">, qui figure dans les Règlements ONU </w:t>
      </w:r>
      <w:r w:rsidRPr="00C56978">
        <w:rPr>
          <w:rFonts w:eastAsia="MS Mincho"/>
          <w:lang w:val="fr-FR"/>
        </w:rPr>
        <w:t>n</w:t>
      </w:r>
      <w:r w:rsidRPr="00C5697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101 et </w:t>
      </w:r>
      <w:r w:rsidRPr="00C56978">
        <w:rPr>
          <w:rFonts w:eastAsia="MS Mincho"/>
          <w:lang w:val="fr-FR"/>
        </w:rPr>
        <w:t>n</w:t>
      </w:r>
      <w:r w:rsidRPr="00C5697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83, est harmonisée</w:t>
      </w:r>
      <w:r w:rsidR="00746663" w:rsidRPr="00746663">
        <w:rPr>
          <w:lang w:val="fr-FR"/>
        </w:rPr>
        <w:t>.</w:t>
      </w:r>
    </w:p>
    <w:p w14:paraId="34AC99B9" w14:textId="56F842C9" w:rsidR="00C56978" w:rsidRPr="00C56978" w:rsidRDefault="00C56978" w:rsidP="00C56978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6978" w:rsidRPr="00C56978" w:rsidSect="00C569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7D77" w14:textId="77777777" w:rsidR="0078708B" w:rsidRDefault="0078708B" w:rsidP="00F95C08">
      <w:pPr>
        <w:spacing w:line="240" w:lineRule="auto"/>
      </w:pPr>
    </w:p>
  </w:endnote>
  <w:endnote w:type="continuationSeparator" w:id="0">
    <w:p w14:paraId="6B56D265" w14:textId="77777777" w:rsidR="0078708B" w:rsidRPr="00AC3823" w:rsidRDefault="0078708B" w:rsidP="00AC3823">
      <w:pPr>
        <w:pStyle w:val="Pieddepage"/>
      </w:pPr>
    </w:p>
  </w:endnote>
  <w:endnote w:type="continuationNotice" w:id="1">
    <w:p w14:paraId="2FA57F25" w14:textId="77777777" w:rsidR="0078708B" w:rsidRDefault="007870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5BBD" w14:textId="7C76467A" w:rsidR="00C56978" w:rsidRPr="00C56978" w:rsidRDefault="00C56978" w:rsidP="00C56978">
    <w:pPr>
      <w:pStyle w:val="Pieddepage"/>
      <w:tabs>
        <w:tab w:val="right" w:pos="9638"/>
      </w:tabs>
    </w:pPr>
    <w:r w:rsidRPr="00C56978">
      <w:rPr>
        <w:b/>
        <w:sz w:val="18"/>
      </w:rPr>
      <w:fldChar w:fldCharType="begin"/>
    </w:r>
    <w:r w:rsidRPr="00C56978">
      <w:rPr>
        <w:b/>
        <w:sz w:val="18"/>
      </w:rPr>
      <w:instrText xml:space="preserve"> PAGE  \* MERGEFORMAT </w:instrText>
    </w:r>
    <w:r w:rsidRPr="00C56978">
      <w:rPr>
        <w:b/>
        <w:sz w:val="18"/>
      </w:rPr>
      <w:fldChar w:fldCharType="separate"/>
    </w:r>
    <w:r w:rsidRPr="00C56978">
      <w:rPr>
        <w:b/>
        <w:noProof/>
        <w:sz w:val="18"/>
      </w:rPr>
      <w:t>2</w:t>
    </w:r>
    <w:r w:rsidRPr="00C56978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746663" w:rsidRPr="00746663">
      <w:t>.</w:t>
    </w:r>
    <w:r>
      <w:t>22-04131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24B6" w14:textId="5D110777" w:rsidR="00C56978" w:rsidRPr="00C56978" w:rsidRDefault="00C56978" w:rsidP="00C56978">
    <w:pPr>
      <w:pStyle w:val="Pieddepage"/>
      <w:tabs>
        <w:tab w:val="right" w:pos="9638"/>
      </w:tabs>
      <w:rPr>
        <w:b/>
        <w:sz w:val="18"/>
      </w:rPr>
    </w:pPr>
    <w:r>
      <w:t>GE</w:t>
    </w:r>
    <w:r w:rsidR="00746663" w:rsidRPr="00746663">
      <w:t>.</w:t>
    </w:r>
    <w:r>
      <w:t>22-04131</w:t>
    </w:r>
    <w:r>
      <w:tab/>
    </w:r>
    <w:r w:rsidRPr="00C56978">
      <w:rPr>
        <w:b/>
        <w:sz w:val="18"/>
      </w:rPr>
      <w:fldChar w:fldCharType="begin"/>
    </w:r>
    <w:r w:rsidRPr="00C56978">
      <w:rPr>
        <w:b/>
        <w:sz w:val="18"/>
      </w:rPr>
      <w:instrText xml:space="preserve"> PAGE  \* MERGEFORMAT </w:instrText>
    </w:r>
    <w:r w:rsidRPr="00C56978">
      <w:rPr>
        <w:b/>
        <w:sz w:val="18"/>
      </w:rPr>
      <w:fldChar w:fldCharType="separate"/>
    </w:r>
    <w:r w:rsidRPr="00C56978">
      <w:rPr>
        <w:b/>
        <w:noProof/>
        <w:sz w:val="18"/>
      </w:rPr>
      <w:t>3</w:t>
    </w:r>
    <w:r w:rsidRPr="00C569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A787" w14:textId="60487B41" w:rsidR="007F20FA" w:rsidRPr="00C56978" w:rsidRDefault="00C56978" w:rsidP="00C56978">
    <w:pPr>
      <w:pStyle w:val="Pieddepage"/>
      <w:spacing w:before="120"/>
      <w:rPr>
        <w:sz w:val="20"/>
      </w:rPr>
    </w:pPr>
    <w:r>
      <w:rPr>
        <w:sz w:val="20"/>
      </w:rPr>
      <w:t>GE</w:t>
    </w:r>
    <w:r w:rsidR="00746663" w:rsidRPr="00746663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B836EB" wp14:editId="647D98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22-04131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FAC8D5" wp14:editId="61699E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130422    130422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0EB3" w14:textId="77777777" w:rsidR="0078708B" w:rsidRPr="00AC3823" w:rsidRDefault="0078708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6F7369" w14:textId="77777777" w:rsidR="0078708B" w:rsidRPr="00AC3823" w:rsidRDefault="0078708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9D0970" w14:textId="77777777" w:rsidR="0078708B" w:rsidRPr="00AC3823" w:rsidRDefault="0078708B">
      <w:pPr>
        <w:spacing w:line="240" w:lineRule="auto"/>
        <w:rPr>
          <w:sz w:val="2"/>
          <w:szCs w:val="2"/>
        </w:rPr>
      </w:pPr>
    </w:p>
  </w:footnote>
  <w:footnote w:id="2">
    <w:p w14:paraId="24C6E5A8" w14:textId="30A485A6" w:rsidR="00C56978" w:rsidRDefault="00C56978" w:rsidP="00C56978">
      <w:pPr>
        <w:pStyle w:val="Notedebasdepage"/>
        <w:rPr>
          <w:lang w:val="fr-FR"/>
        </w:rPr>
      </w:pPr>
      <w:r w:rsidRPr="00C56978">
        <w:rPr>
          <w:sz w:val="20"/>
          <w:lang w:val="fr-FR"/>
        </w:rPr>
        <w:tab/>
        <w:t>*</w:t>
      </w:r>
      <w:r w:rsidRPr="00C56978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20), par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20</w:t>
      </w:r>
      <w:r w:rsidR="00746663" w:rsidRPr="00746663">
        <w:rPr>
          <w:lang w:val="fr-FR"/>
        </w:rPr>
        <w:t>.</w:t>
      </w:r>
      <w:r>
        <w:rPr>
          <w:lang w:val="fr-FR"/>
        </w:rPr>
        <w:t>76), le Forum mondial a pour mission d’élaborer, d’harmoniser et de mettre à jour les Règlements ONU en vue d’améliorer les caractéristiques fonctionnelles des véhicules</w:t>
      </w:r>
      <w:r w:rsidR="00746663" w:rsidRPr="00746663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746663" w:rsidRPr="00746663">
        <w:rPr>
          <w:lang w:val="fr-FR"/>
        </w:rPr>
        <w:t>.</w:t>
      </w:r>
    </w:p>
    <w:p w14:paraId="3482EE2F" w14:textId="77777777" w:rsidR="00C56978" w:rsidRPr="002A39EF" w:rsidRDefault="00C56978" w:rsidP="00C56978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F0F3" w14:textId="398DA5BD" w:rsidR="00C56978" w:rsidRPr="00C56978" w:rsidRDefault="00C56978">
    <w:pPr>
      <w:pStyle w:val="En-tte"/>
    </w:pPr>
    <w:fldSimple w:instr=" TITLE  \* MERGEFORMAT ">
      <w:r w:rsidR="00E947A1">
        <w:t>ECE/TRANS/WP.29/GRPE/2022/17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5A8" w14:textId="71ECBCF5" w:rsidR="00C56978" w:rsidRPr="00C56978" w:rsidRDefault="00C56978" w:rsidP="00C56978">
    <w:pPr>
      <w:pStyle w:val="En-tte"/>
      <w:jc w:val="right"/>
    </w:pPr>
    <w:fldSimple w:instr=" TITLE  \* MERGEFORMAT ">
      <w:r w:rsidR="00E947A1">
        <w:t>ECE/TRANS/WP.29/GRPE/2022/17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C8D596A"/>
    <w:multiLevelType w:val="hybridMultilevel"/>
    <w:tmpl w:val="21D080C6"/>
    <w:lvl w:ilvl="0" w:tplc="F0C8D90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D23832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8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5C1A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46663"/>
    <w:rsid w:val="0078708B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54B86"/>
    <w:rsid w:val="00B765F7"/>
    <w:rsid w:val="00B77993"/>
    <w:rsid w:val="00BA0CA9"/>
    <w:rsid w:val="00C02897"/>
    <w:rsid w:val="00C56978"/>
    <w:rsid w:val="00C97039"/>
    <w:rsid w:val="00D3439C"/>
    <w:rsid w:val="00D7622E"/>
    <w:rsid w:val="00DB1831"/>
    <w:rsid w:val="00DD3BFD"/>
    <w:rsid w:val="00DF6678"/>
    <w:rsid w:val="00E0299A"/>
    <w:rsid w:val="00E85C74"/>
    <w:rsid w:val="00E947A1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3BF66B"/>
  <w15:docId w15:val="{412C5DAD-AA52-4F6F-999D-870D23E6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5697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5697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56978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687</Words>
  <Characters>4811</Characters>
  <Application>Microsoft Office Word</Application>
  <DocSecurity>0</DocSecurity>
  <Lines>400</Lines>
  <Paragraphs>219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ECE/TRANS/WP.29/GRPE/2022/17</vt:lpstr>
    </vt:vector>
  </TitlesOfParts>
  <Company>DCM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ECE/TRANS/WP.29/GRPE/2022/17</dc:title>
  <dc:subject/>
  <dc:creator>Maud DARICHE</dc:creator>
  <cp:keywords/>
  <cp:lastModifiedBy>Maud Dariche</cp:lastModifiedBy>
  <cp:revision>3</cp:revision>
  <cp:lastPrinted>2022-04-13T07:44:00Z</cp:lastPrinted>
  <dcterms:created xsi:type="dcterms:W3CDTF">2022-04-13T07:44:00Z</dcterms:created>
  <dcterms:modified xsi:type="dcterms:W3CDTF">2022-04-13T07:44:00Z</dcterms:modified>
</cp:coreProperties>
</file>