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76DCF002">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2381B6EA" w:rsidR="009E6CB7" w:rsidRPr="002602DA" w:rsidRDefault="005A6A7C" w:rsidP="002602DA">
            <w:pPr>
              <w:jc w:val="right"/>
              <w:rPr>
                <w:lang w:val="pl-PL"/>
              </w:rPr>
            </w:pPr>
            <w:r w:rsidRPr="005A6A7C">
              <w:rPr>
                <w:sz w:val="40"/>
                <w:lang w:val="pl-PL"/>
              </w:rPr>
              <w:t>ECE</w:t>
            </w:r>
            <w:r>
              <w:rPr>
                <w:lang w:val="pl-PL"/>
              </w:rPr>
              <w:t>/TRANS/WP.29/GRPE/202</w:t>
            </w:r>
            <w:r w:rsidR="00E31539">
              <w:rPr>
                <w:lang w:val="pl-PL"/>
              </w:rPr>
              <w:t>2</w:t>
            </w:r>
            <w:r>
              <w:rPr>
                <w:lang w:val="pl-PL"/>
              </w:rPr>
              <w:t>/</w:t>
            </w:r>
            <w:r w:rsidR="00DF1855">
              <w:rPr>
                <w:lang w:val="pl-PL"/>
              </w:rPr>
              <w:t>17</w:t>
            </w:r>
          </w:p>
        </w:tc>
      </w:tr>
      <w:tr w:rsidR="009E6CB7" w14:paraId="7B783395" w14:textId="77777777" w:rsidTr="76DCF002">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617149AE" w:rsidR="007B02AA" w:rsidRPr="00CB7D4A" w:rsidRDefault="00A10AF8" w:rsidP="002602DA">
            <w:pPr>
              <w:spacing w:line="240" w:lineRule="exact"/>
            </w:pPr>
            <w:r>
              <w:t>21 March</w:t>
            </w:r>
            <w:r w:rsidR="007B02AA">
              <w:t xml:space="preserve"> 20</w:t>
            </w:r>
            <w:r w:rsidR="00272179">
              <w:t>2</w:t>
            </w:r>
            <w:r>
              <w:t>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730D78C4" w:rsidR="007B02AA" w:rsidRPr="00113319" w:rsidRDefault="007B02AA" w:rsidP="007B02AA">
      <w:pPr>
        <w:rPr>
          <w:rFonts w:eastAsia="MS Mincho"/>
          <w:b/>
        </w:rPr>
      </w:pPr>
      <w:r>
        <w:rPr>
          <w:rFonts w:eastAsia="MS Mincho"/>
          <w:b/>
        </w:rPr>
        <w:t>Eight</w:t>
      </w:r>
      <w:r w:rsidR="00DE6870">
        <w:rPr>
          <w:rFonts w:eastAsia="MS Mincho"/>
          <w:b/>
        </w:rPr>
        <w:t>y-</w:t>
      </w:r>
      <w:r w:rsidR="008B4B03">
        <w:rPr>
          <w:rFonts w:eastAsia="MS Mincho"/>
          <w:b/>
        </w:rPr>
        <w:t>six</w:t>
      </w:r>
      <w:r w:rsidR="00406E3F">
        <w:rPr>
          <w:rFonts w:eastAsia="MS Mincho"/>
          <w:b/>
        </w:rPr>
        <w:t>th</w:t>
      </w:r>
      <w:r w:rsidRPr="00113319">
        <w:rPr>
          <w:rFonts w:eastAsia="MS Mincho"/>
          <w:b/>
        </w:rPr>
        <w:t xml:space="preserve"> session</w:t>
      </w:r>
    </w:p>
    <w:p w14:paraId="5B7BC92A" w14:textId="5945E7E2" w:rsidR="007B02AA" w:rsidRPr="00113319" w:rsidRDefault="007B02AA" w:rsidP="002602DA">
      <w:bookmarkStart w:id="0" w:name="_Hlk80714809"/>
      <w:r w:rsidRPr="00113319">
        <w:rPr>
          <w:rFonts w:eastAsia="MS Mincho"/>
        </w:rPr>
        <w:t>Geneva</w:t>
      </w:r>
      <w:r>
        <w:rPr>
          <w:rFonts w:eastAsia="MS Mincho"/>
          <w:bCs/>
        </w:rPr>
        <w:t xml:space="preserve">, </w:t>
      </w:r>
      <w:r w:rsidR="00922E9C">
        <w:rPr>
          <w:rFonts w:eastAsia="MS Mincho"/>
          <w:bCs/>
        </w:rPr>
        <w:t>30 May</w:t>
      </w:r>
      <w:r w:rsidR="00673CF2">
        <w:rPr>
          <w:bCs/>
        </w:rPr>
        <w:t>–</w:t>
      </w:r>
      <w:r w:rsidR="00922E9C">
        <w:rPr>
          <w:rFonts w:eastAsia="MS Mincho"/>
          <w:bCs/>
        </w:rPr>
        <w:t>2</w:t>
      </w:r>
      <w:r w:rsidR="003F6816">
        <w:rPr>
          <w:rFonts w:eastAsia="MS Mincho"/>
          <w:bCs/>
        </w:rPr>
        <w:t xml:space="preserve"> </w:t>
      </w:r>
      <w:r w:rsidR="00922E9C">
        <w:rPr>
          <w:rFonts w:eastAsia="MS Mincho"/>
          <w:bCs/>
        </w:rPr>
        <w:t>June</w:t>
      </w:r>
      <w:r w:rsidRPr="00113319">
        <w:rPr>
          <w:rFonts w:eastAsia="MS Mincho"/>
          <w:bCs/>
        </w:rPr>
        <w:t xml:space="preserve"> 20</w:t>
      </w:r>
      <w:r w:rsidR="003F6816">
        <w:rPr>
          <w:rFonts w:eastAsia="MS Mincho"/>
          <w:bCs/>
        </w:rPr>
        <w:t>2</w:t>
      </w:r>
      <w:r w:rsidR="00312E52">
        <w:rPr>
          <w:rFonts w:eastAsia="MS Mincho"/>
          <w:bCs/>
        </w:rPr>
        <w:t>2</w:t>
      </w:r>
    </w:p>
    <w:bookmarkEnd w:id="0"/>
    <w:p w14:paraId="6AF8C2B7" w14:textId="6064D9E7" w:rsidR="00406E3F" w:rsidRPr="00094785" w:rsidRDefault="00406E3F" w:rsidP="00406E3F">
      <w:r w:rsidRPr="00DE6870">
        <w:t xml:space="preserve">Item </w:t>
      </w:r>
      <w:r>
        <w:t>3(a)</w:t>
      </w:r>
      <w:r w:rsidRPr="00DE6870">
        <w:rPr>
          <w:bCs/>
        </w:rPr>
        <w:t xml:space="preserve"> </w:t>
      </w:r>
      <w:r w:rsidRPr="00094785">
        <w:t>of the provisional agenda</w:t>
      </w:r>
    </w:p>
    <w:p w14:paraId="6452C9AF" w14:textId="77777777" w:rsidR="00406E3F" w:rsidRDefault="00406E3F" w:rsidP="00406E3F">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Pr>
          <w:b/>
        </w:rPr>
        <w:br/>
      </w:r>
      <w:r w:rsidRPr="00146C9C">
        <w:rPr>
          <w:b/>
        </w:rPr>
        <w:t>103 (Replacement poll</w:t>
      </w:r>
      <w:r>
        <w:rPr>
          <w:b/>
        </w:rPr>
        <w:t>ution control devices) and 154</w:t>
      </w:r>
      <w:r w:rsidRPr="00146C9C">
        <w:rPr>
          <w:b/>
        </w:rPr>
        <w:t xml:space="preserve"> </w:t>
      </w:r>
      <w:r>
        <w:rPr>
          <w:b/>
        </w:rPr>
        <w:br/>
      </w:r>
      <w:r w:rsidRPr="00146C9C">
        <w:rPr>
          <w:b/>
        </w:rPr>
        <w:t>(Worldwide harmonized Light vehicles Test Procedures (WLTP))</w:t>
      </w:r>
    </w:p>
    <w:p w14:paraId="53F9084E" w14:textId="13C07C71" w:rsidR="00922E9C" w:rsidRDefault="00922E9C" w:rsidP="00146C9C">
      <w:pPr>
        <w:rPr>
          <w:b/>
          <w:bCs/>
        </w:rPr>
      </w:pPr>
    </w:p>
    <w:p w14:paraId="5A72C84D" w14:textId="77777777" w:rsidR="00922E9C" w:rsidRPr="00487B3D" w:rsidRDefault="00922E9C" w:rsidP="00146C9C">
      <w:pPr>
        <w:rPr>
          <w:b/>
          <w:bCs/>
        </w:rPr>
      </w:pPr>
    </w:p>
    <w:p w14:paraId="15D682A7" w14:textId="191D793F"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044F38">
        <w:rPr>
          <w:lang w:val="en-US"/>
        </w:rPr>
        <w:t>01</w:t>
      </w:r>
      <w:r w:rsidR="005F1FB8" w:rsidRPr="005F1FB8">
        <w:rPr>
          <w:color w:val="000000" w:themeColor="text1"/>
        </w:rPr>
        <w:t xml:space="preserve"> series </w:t>
      </w:r>
      <w:r w:rsidR="005F1FB8" w:rsidRPr="005F1FB8">
        <w:rPr>
          <w:color w:val="000000" w:themeColor="text1"/>
          <w:lang w:val="en-US"/>
        </w:rPr>
        <w:t xml:space="preserve">of amendments to UN Regulation No. </w:t>
      </w:r>
      <w:r w:rsidR="00044F38" w:rsidRPr="00044F38">
        <w:rPr>
          <w:color w:val="000000" w:themeColor="text1"/>
          <w:lang w:val="en-US"/>
        </w:rPr>
        <w:t>101 (CO</w:t>
      </w:r>
      <w:r w:rsidR="00044F38" w:rsidRPr="00D774A6">
        <w:rPr>
          <w:color w:val="000000" w:themeColor="text1"/>
          <w:vertAlign w:val="subscript"/>
          <w:lang w:val="en-US"/>
        </w:rPr>
        <w:t>2</w:t>
      </w:r>
      <w:r w:rsidR="00044F38" w:rsidRPr="00044F38">
        <w:rPr>
          <w:color w:val="000000" w:themeColor="text1"/>
          <w:lang w:val="en-US"/>
        </w:rPr>
        <w:t xml:space="preserve"> emissions/fuel consumption)</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79EE302B" w:rsidR="005F1FB8" w:rsidRPr="00EE20EE" w:rsidRDefault="005F1FB8" w:rsidP="00EE20EE">
      <w:pPr>
        <w:pStyle w:val="SingleTxtG"/>
        <w:ind w:firstLine="567"/>
      </w:pPr>
      <w:bookmarkStart w:id="1" w:name="_Hlk80714824"/>
      <w:r w:rsidRPr="005F1FB8">
        <w:t>The text reproduced below was prepared by the expert from the International Organization of Motor Vehicle Manufacturers (OICA).</w:t>
      </w:r>
      <w:r w:rsidR="00CA5075">
        <w:t xml:space="preserve"> This document aims to harmonize the requirements for the determination of CO</w:t>
      </w:r>
      <w:r w:rsidR="00CA5075" w:rsidRPr="00D774A6">
        <w:rPr>
          <w:vertAlign w:val="subscript"/>
        </w:rPr>
        <w:t>2</w:t>
      </w:r>
      <w:r w:rsidR="00CA5075">
        <w:t xml:space="preserve">, fuel and electric energy consumption of the discharge requirement for OVC-HEV with an operating mode switch with its stop criterion. The preconditioning requirement is also harmonized </w:t>
      </w:r>
      <w:r w:rsidR="003B56D1">
        <w:t>between the</w:t>
      </w:r>
      <w:r w:rsidR="00CA5075">
        <w:t xml:space="preserve"> 01 series of amendments of UN Regulation No. 101 (Annex 9, determination of electric range) and 06 and 07 series of amendments of UN Regulation No. 83 (Annex 14, provisions for emissions test procedures for HEV). The modifications to the current text of the Regulation are marked in bold for new or strikethrough for deleted characters.</w:t>
      </w:r>
    </w:p>
    <w:bookmarkEnd w:id="1"/>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7B56C7FF" w14:textId="12738BC6" w:rsidR="00EE20EE" w:rsidRDefault="00EE20EE" w:rsidP="00EE20EE">
      <w:pPr>
        <w:pStyle w:val="SingleTxtG"/>
        <w:rPr>
          <w:i/>
          <w:iCs/>
          <w:lang w:val="en-US"/>
        </w:rPr>
      </w:pPr>
      <w:r>
        <w:rPr>
          <w:i/>
          <w:iCs/>
          <w:lang w:val="en-US"/>
        </w:rPr>
        <w:t>Annex 8, Paragraph 4.2.2.1</w:t>
      </w:r>
      <w:r w:rsidR="005832F8">
        <w:rPr>
          <w:i/>
          <w:iCs/>
          <w:lang w:val="en-US"/>
        </w:rPr>
        <w:t>.</w:t>
      </w:r>
      <w:r w:rsidR="00673CF2">
        <w:rPr>
          <w:i/>
          <w:iCs/>
          <w:lang w:val="en-US"/>
        </w:rPr>
        <w:t>,</w:t>
      </w:r>
      <w:r>
        <w:rPr>
          <w:i/>
          <w:iCs/>
          <w:lang w:val="en-US"/>
        </w:rPr>
        <w:t xml:space="preserve"> </w:t>
      </w:r>
      <w:r>
        <w:rPr>
          <w:lang w:val="en-US"/>
        </w:rPr>
        <w:t xml:space="preserve">amend </w:t>
      </w:r>
      <w:r w:rsidRPr="00AE3C95">
        <w:rPr>
          <w:lang w:val="en-US"/>
        </w:rPr>
        <w:t>to read:</w:t>
      </w:r>
    </w:p>
    <w:p w14:paraId="4B4383C9" w14:textId="35F3C193" w:rsidR="00EE20EE" w:rsidRDefault="00EE20EE" w:rsidP="00EE20EE">
      <w:pPr>
        <w:pStyle w:val="SingleTxtG"/>
        <w:ind w:left="2268" w:hanging="1134"/>
        <w:rPr>
          <w:rFonts w:eastAsia="MS Mincho"/>
        </w:rPr>
      </w:pPr>
      <w:r w:rsidRPr="004F58B3">
        <w:rPr>
          <w:rFonts w:eastAsia="MS Mincho"/>
        </w:rPr>
        <w:t>"</w:t>
      </w:r>
      <w:r w:rsidRPr="00327D8E">
        <w:rPr>
          <w:rFonts w:eastAsia="MS Mincho"/>
        </w:rPr>
        <w:t xml:space="preserve">4.2.2.1. </w:t>
      </w:r>
      <w:r>
        <w:rPr>
          <w:rFonts w:eastAsia="MS Mincho"/>
        </w:rPr>
        <w:tab/>
      </w:r>
      <w:r w:rsidRPr="00327D8E">
        <w:rPr>
          <w:rFonts w:eastAsia="MS Mincho"/>
        </w:rPr>
        <w:t>The electrical energy/power storage device of the vehicle is discharged while</w:t>
      </w:r>
      <w:r>
        <w:rPr>
          <w:rFonts w:eastAsia="MS Mincho"/>
        </w:rPr>
        <w:t xml:space="preserve"> </w:t>
      </w:r>
      <w:r w:rsidRPr="00327D8E">
        <w:rPr>
          <w:rFonts w:eastAsia="MS Mincho"/>
        </w:rPr>
        <w:t>driving with the switch in pure electric position (on the test track, on a chassis</w:t>
      </w:r>
      <w:r>
        <w:rPr>
          <w:rFonts w:eastAsia="MS Mincho"/>
        </w:rPr>
        <w:t xml:space="preserve"> </w:t>
      </w:r>
      <w:r w:rsidRPr="00327D8E">
        <w:rPr>
          <w:rFonts w:eastAsia="MS Mincho"/>
        </w:rPr>
        <w:t>dynamometer, etc.) at a steady speed of 70 per cent ± 5 per cent of the</w:t>
      </w:r>
      <w:r>
        <w:rPr>
          <w:rFonts w:eastAsia="MS Mincho"/>
        </w:rPr>
        <w:t xml:space="preserve"> </w:t>
      </w:r>
      <w:r w:rsidRPr="00327D8E">
        <w:rPr>
          <w:rFonts w:eastAsia="MS Mincho"/>
        </w:rPr>
        <w:t>maximum speed of the vehicle in pure electric mode, which is to be determined</w:t>
      </w:r>
      <w:r>
        <w:rPr>
          <w:rFonts w:eastAsia="MS Mincho"/>
        </w:rPr>
        <w:t xml:space="preserve"> </w:t>
      </w:r>
      <w:r w:rsidRPr="00327D8E">
        <w:rPr>
          <w:rFonts w:eastAsia="MS Mincho"/>
        </w:rPr>
        <w:t>according to the test procedure for electric vehicles defined in Regulation</w:t>
      </w:r>
      <w:r>
        <w:rPr>
          <w:rFonts w:eastAsia="MS Mincho"/>
        </w:rPr>
        <w:t xml:space="preserve"> </w:t>
      </w:r>
      <w:r w:rsidR="00673CF2">
        <w:rPr>
          <w:rFonts w:eastAsia="MS Mincho"/>
        </w:rPr>
        <w:br/>
      </w:r>
      <w:r w:rsidRPr="00327D8E">
        <w:rPr>
          <w:rFonts w:eastAsia="MS Mincho"/>
        </w:rPr>
        <w:t>No. 68.</w:t>
      </w:r>
      <w:r>
        <w:rPr>
          <w:rFonts w:eastAsia="MS Mincho"/>
        </w:rPr>
        <w:t xml:space="preserve"> </w:t>
      </w:r>
      <w:r w:rsidRPr="00CB314E">
        <w:rPr>
          <w:rFonts w:eastAsia="MS Mincho"/>
          <w:b/>
          <w:bCs/>
        </w:rPr>
        <w:t xml:space="preserve">At the request of the manufacturer a steady speed of 70 per cent ± 5 per cent of the maximum thirty minutes speed of the vehicle in pure electric mode </w:t>
      </w:r>
      <w:r>
        <w:rPr>
          <w:rFonts w:eastAsia="MS Mincho"/>
          <w:b/>
          <w:bCs/>
        </w:rPr>
        <w:t>may</w:t>
      </w:r>
      <w:r w:rsidRPr="00CB314E">
        <w:rPr>
          <w:rFonts w:eastAsia="MS Mincho"/>
          <w:b/>
          <w:bCs/>
        </w:rPr>
        <w:t xml:space="preserve"> be </w:t>
      </w:r>
      <w:r>
        <w:rPr>
          <w:rFonts w:eastAsia="MS Mincho"/>
          <w:b/>
          <w:bCs/>
        </w:rPr>
        <w:t>applied</w:t>
      </w:r>
      <w:r w:rsidRPr="00CB314E">
        <w:rPr>
          <w:rFonts w:eastAsia="MS Mincho"/>
          <w:b/>
          <w:bCs/>
        </w:rPr>
        <w:t>.</w:t>
      </w:r>
    </w:p>
    <w:p w14:paraId="7823A37D" w14:textId="77777777" w:rsidR="00EE20EE" w:rsidRDefault="00EE20EE" w:rsidP="00EE20EE">
      <w:pPr>
        <w:pStyle w:val="SingleTxtG"/>
        <w:ind w:left="2268"/>
        <w:rPr>
          <w:rFonts w:eastAsia="MS Mincho"/>
        </w:rPr>
      </w:pPr>
      <w:r w:rsidRPr="00327D8E">
        <w:rPr>
          <w:rFonts w:eastAsia="MS Mincho"/>
        </w:rPr>
        <w:t>Stopping the discharge occurs:</w:t>
      </w:r>
    </w:p>
    <w:p w14:paraId="0A43DAB7" w14:textId="542E96B7" w:rsidR="00EE20EE" w:rsidRDefault="00EE20EE" w:rsidP="00EE20EE">
      <w:pPr>
        <w:pStyle w:val="SingleTxtG"/>
        <w:ind w:left="2268"/>
        <w:rPr>
          <w:rFonts w:eastAsia="MS Mincho"/>
        </w:rPr>
      </w:pPr>
      <w:r w:rsidRPr="00327D8E">
        <w:rPr>
          <w:rFonts w:eastAsia="MS Mincho"/>
        </w:rPr>
        <w:t>(a)</w:t>
      </w:r>
      <w:r w:rsidR="00673CF2">
        <w:rPr>
          <w:rFonts w:eastAsia="MS Mincho"/>
        </w:rPr>
        <w:tab/>
      </w:r>
      <w:r w:rsidRPr="00327D8E">
        <w:rPr>
          <w:rFonts w:eastAsia="MS Mincho"/>
        </w:rPr>
        <w:t>When the vehicle is not able to run at 65 per cent of the maximum thirty</w:t>
      </w:r>
      <w:r>
        <w:rPr>
          <w:rFonts w:eastAsia="MS Mincho"/>
        </w:rPr>
        <w:t xml:space="preserve"> </w:t>
      </w:r>
      <w:r w:rsidRPr="00327D8E">
        <w:rPr>
          <w:rFonts w:eastAsia="MS Mincho"/>
        </w:rPr>
        <w:t>minutes speed; or</w:t>
      </w:r>
    </w:p>
    <w:p w14:paraId="682A4BF6" w14:textId="5B4505E4" w:rsidR="00EE20EE" w:rsidRDefault="00EE20EE" w:rsidP="00EE20EE">
      <w:pPr>
        <w:pStyle w:val="SingleTxtG"/>
        <w:ind w:left="2268"/>
        <w:rPr>
          <w:rFonts w:eastAsia="MS Mincho"/>
        </w:rPr>
      </w:pPr>
      <w:r w:rsidRPr="00327D8E">
        <w:rPr>
          <w:rFonts w:eastAsia="MS Mincho"/>
        </w:rPr>
        <w:t>(b)</w:t>
      </w:r>
      <w:r w:rsidR="00673CF2">
        <w:rPr>
          <w:rFonts w:eastAsia="MS Mincho"/>
        </w:rPr>
        <w:tab/>
      </w:r>
      <w:r w:rsidRPr="00327D8E">
        <w:rPr>
          <w:rFonts w:eastAsia="MS Mincho"/>
        </w:rPr>
        <w:t>When an indication to stop the vehicle is given to the driver by the</w:t>
      </w:r>
      <w:r>
        <w:rPr>
          <w:rFonts w:eastAsia="MS Mincho"/>
        </w:rPr>
        <w:t xml:space="preserve"> </w:t>
      </w:r>
      <w:r w:rsidRPr="00327D8E">
        <w:rPr>
          <w:rFonts w:eastAsia="MS Mincho"/>
        </w:rPr>
        <w:t>standard on-board instrumentation</w:t>
      </w:r>
      <w:r w:rsidR="00673CF2">
        <w:rPr>
          <w:rFonts w:eastAsia="MS Mincho"/>
        </w:rPr>
        <w:t>;</w:t>
      </w:r>
      <w:r w:rsidRPr="00327D8E">
        <w:rPr>
          <w:rFonts w:eastAsia="MS Mincho"/>
        </w:rPr>
        <w:t xml:space="preserve"> or</w:t>
      </w:r>
    </w:p>
    <w:p w14:paraId="39B10006" w14:textId="01FFD72B" w:rsidR="00EE20EE" w:rsidRDefault="00EE20EE" w:rsidP="00EE20EE">
      <w:pPr>
        <w:pStyle w:val="SingleTxtG"/>
        <w:ind w:left="2268"/>
        <w:rPr>
          <w:rFonts w:eastAsia="MS Mincho"/>
        </w:rPr>
      </w:pPr>
      <w:r w:rsidRPr="00327D8E">
        <w:rPr>
          <w:rFonts w:eastAsia="MS Mincho"/>
        </w:rPr>
        <w:t>(c)</w:t>
      </w:r>
      <w:r w:rsidR="00673CF2">
        <w:rPr>
          <w:rFonts w:eastAsia="MS Mincho"/>
        </w:rPr>
        <w:tab/>
      </w:r>
      <w:r w:rsidRPr="00327D8E">
        <w:rPr>
          <w:rFonts w:eastAsia="MS Mincho"/>
        </w:rPr>
        <w:t>After covering a distance of 100 km.</w:t>
      </w:r>
    </w:p>
    <w:p w14:paraId="565AAFFC" w14:textId="77777777" w:rsidR="00EE20EE" w:rsidRDefault="00EE20EE" w:rsidP="00EE20EE">
      <w:pPr>
        <w:pStyle w:val="SingleTxtG"/>
        <w:ind w:left="2268"/>
        <w:rPr>
          <w:rFonts w:eastAsia="MS Mincho"/>
        </w:rPr>
      </w:pPr>
      <w:r w:rsidRPr="00327D8E">
        <w:rPr>
          <w:rFonts w:eastAsia="MS Mincho"/>
        </w:rPr>
        <w:t>If the vehicle is not equipped with a pure electric mode, the electrical</w:t>
      </w:r>
      <w:r>
        <w:rPr>
          <w:rFonts w:eastAsia="MS Mincho"/>
        </w:rPr>
        <w:t xml:space="preserve"> </w:t>
      </w:r>
      <w:r w:rsidRPr="00327D8E">
        <w:rPr>
          <w:rFonts w:eastAsia="MS Mincho"/>
        </w:rPr>
        <w:t>energy/power storage device discharge shall be achieved by driving the vehicle</w:t>
      </w:r>
      <w:r>
        <w:rPr>
          <w:rFonts w:eastAsia="MS Mincho"/>
        </w:rPr>
        <w:t xml:space="preserve"> </w:t>
      </w:r>
      <w:r w:rsidRPr="00327D8E">
        <w:rPr>
          <w:rFonts w:eastAsia="MS Mincho"/>
        </w:rPr>
        <w:t>(on the test track, on a chassis dynamometer, etc.):</w:t>
      </w:r>
    </w:p>
    <w:p w14:paraId="701E2D29" w14:textId="2787D4F4" w:rsidR="00EE20EE" w:rsidRDefault="00EE20EE" w:rsidP="00EE20EE">
      <w:pPr>
        <w:pStyle w:val="SingleTxtG"/>
        <w:ind w:left="2268"/>
        <w:rPr>
          <w:rFonts w:eastAsia="MS Mincho"/>
        </w:rPr>
      </w:pPr>
      <w:r w:rsidRPr="00327D8E">
        <w:rPr>
          <w:rFonts w:eastAsia="MS Mincho"/>
        </w:rPr>
        <w:t>(a)</w:t>
      </w:r>
      <w:r w:rsidR="005B7174">
        <w:rPr>
          <w:rFonts w:eastAsia="MS Mincho"/>
        </w:rPr>
        <w:tab/>
      </w:r>
      <w:r w:rsidRPr="00327D8E">
        <w:rPr>
          <w:rFonts w:eastAsia="MS Mincho"/>
        </w:rPr>
        <w:t>At a steady speed of 50 km/h until the fuel consuming engine of the HEV</w:t>
      </w:r>
      <w:r>
        <w:rPr>
          <w:rFonts w:eastAsia="MS Mincho"/>
        </w:rPr>
        <w:t xml:space="preserve"> </w:t>
      </w:r>
      <w:r w:rsidRPr="00327D8E">
        <w:rPr>
          <w:rFonts w:eastAsia="MS Mincho"/>
        </w:rPr>
        <w:t>starts up</w:t>
      </w:r>
      <w:r w:rsidR="005B7174">
        <w:rPr>
          <w:rFonts w:eastAsia="MS Mincho"/>
        </w:rPr>
        <w:t>;</w:t>
      </w:r>
    </w:p>
    <w:p w14:paraId="50B77D32" w14:textId="4C0CD7FB" w:rsidR="00EE20EE" w:rsidRDefault="00A10AF8" w:rsidP="00EE20EE">
      <w:pPr>
        <w:pStyle w:val="SingleTxtG"/>
        <w:ind w:left="2268"/>
        <w:rPr>
          <w:rFonts w:eastAsia="MS Mincho"/>
        </w:rPr>
      </w:pPr>
      <w:r>
        <w:rPr>
          <w:rFonts w:eastAsia="MS Mincho"/>
        </w:rPr>
        <w:t>(b)</w:t>
      </w:r>
      <w:r w:rsidR="005B7174">
        <w:rPr>
          <w:rFonts w:eastAsia="MS Mincho"/>
        </w:rPr>
        <w:tab/>
      </w:r>
      <w:r>
        <w:rPr>
          <w:rFonts w:eastAsia="MS Mincho"/>
        </w:rPr>
        <w:t>Or if a vehicle can</w:t>
      </w:r>
      <w:r w:rsidR="00EE20EE" w:rsidRPr="00327D8E">
        <w:rPr>
          <w:rFonts w:eastAsia="MS Mincho"/>
        </w:rPr>
        <w:t>not reach a steady speed of 50 km/h without starting</w:t>
      </w:r>
      <w:r w:rsidR="00EE20EE">
        <w:rPr>
          <w:rFonts w:eastAsia="MS Mincho"/>
        </w:rPr>
        <w:t xml:space="preserve"> </w:t>
      </w:r>
      <w:r w:rsidR="00EE20EE" w:rsidRPr="00327D8E">
        <w:rPr>
          <w:rFonts w:eastAsia="MS Mincho"/>
        </w:rPr>
        <w:t>up the fuel consuming engine, the speed shall be reduced until the</w:t>
      </w:r>
      <w:r w:rsidR="00EE20EE">
        <w:rPr>
          <w:rFonts w:eastAsia="MS Mincho"/>
        </w:rPr>
        <w:t xml:space="preserve"> </w:t>
      </w:r>
      <w:r w:rsidR="00EE20EE" w:rsidRPr="00327D8E">
        <w:rPr>
          <w:rFonts w:eastAsia="MS Mincho"/>
        </w:rPr>
        <w:t>vehicle can run a lower steady speed where the fuel consuming engine</w:t>
      </w:r>
      <w:r w:rsidR="00EE20EE">
        <w:rPr>
          <w:rFonts w:eastAsia="MS Mincho"/>
        </w:rPr>
        <w:t xml:space="preserve"> </w:t>
      </w:r>
      <w:r w:rsidR="00EE20EE" w:rsidRPr="00327D8E">
        <w:rPr>
          <w:rFonts w:eastAsia="MS Mincho"/>
        </w:rPr>
        <w:t>just does not start up for a defined time/distance (to be specified between</w:t>
      </w:r>
      <w:r w:rsidR="00EE20EE">
        <w:rPr>
          <w:rFonts w:eastAsia="MS Mincho"/>
        </w:rPr>
        <w:t xml:space="preserve"> </w:t>
      </w:r>
      <w:r w:rsidR="00EE20EE" w:rsidRPr="00327D8E">
        <w:rPr>
          <w:rFonts w:eastAsia="MS Mincho"/>
        </w:rPr>
        <w:t>technical service and manufacturer)</w:t>
      </w:r>
      <w:r w:rsidR="005B7174">
        <w:rPr>
          <w:rFonts w:eastAsia="MS Mincho"/>
        </w:rPr>
        <w:t>;</w:t>
      </w:r>
    </w:p>
    <w:p w14:paraId="2A4AD862" w14:textId="23C68EE1" w:rsidR="00EE20EE" w:rsidRDefault="00EE20EE" w:rsidP="00EE20EE">
      <w:pPr>
        <w:pStyle w:val="SingleTxtG"/>
        <w:ind w:left="2268"/>
        <w:rPr>
          <w:rFonts w:eastAsia="MS Mincho"/>
        </w:rPr>
      </w:pPr>
      <w:r w:rsidRPr="00327D8E">
        <w:rPr>
          <w:rFonts w:eastAsia="MS Mincho"/>
        </w:rPr>
        <w:t>(c)</w:t>
      </w:r>
      <w:r w:rsidR="005B7174">
        <w:rPr>
          <w:rFonts w:eastAsia="MS Mincho"/>
        </w:rPr>
        <w:tab/>
      </w:r>
      <w:r w:rsidRPr="00327D8E">
        <w:rPr>
          <w:rFonts w:eastAsia="MS Mincho"/>
        </w:rPr>
        <w:t>Or with manufacturer’s recommendation.</w:t>
      </w:r>
    </w:p>
    <w:p w14:paraId="145BECB0" w14:textId="77777777" w:rsidR="00EE20EE" w:rsidRDefault="00EE20EE" w:rsidP="00EE20EE">
      <w:pPr>
        <w:pStyle w:val="SingleTxtG"/>
        <w:ind w:left="2268"/>
        <w:rPr>
          <w:rFonts w:eastAsia="MS Mincho"/>
        </w:rPr>
      </w:pPr>
      <w:r w:rsidRPr="00327D8E">
        <w:rPr>
          <w:rFonts w:eastAsia="MS Mincho"/>
        </w:rPr>
        <w:t>The fuel-consuming engine shall be stopped within 10 seconds of it being</w:t>
      </w:r>
      <w:r>
        <w:rPr>
          <w:rFonts w:eastAsia="MS Mincho"/>
        </w:rPr>
        <w:t xml:space="preserve"> </w:t>
      </w:r>
      <w:r w:rsidRPr="00327D8E">
        <w:rPr>
          <w:rFonts w:eastAsia="MS Mincho"/>
        </w:rPr>
        <w:t>automatically started.</w:t>
      </w:r>
      <w:r w:rsidRPr="004F58B3">
        <w:rPr>
          <w:rFonts w:eastAsia="MS Mincho"/>
        </w:rPr>
        <w:t>"</w:t>
      </w:r>
    </w:p>
    <w:p w14:paraId="25E87AC7" w14:textId="36152443"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0E999EAA" w14:textId="62C17630" w:rsidR="00EE20EE" w:rsidRDefault="00973ADB" w:rsidP="00973ADB">
      <w:pPr>
        <w:pStyle w:val="SingleTxtG"/>
        <w:ind w:right="1110"/>
        <w:rPr>
          <w:lang w:val="en-US"/>
        </w:rPr>
      </w:pPr>
      <w:r>
        <w:rPr>
          <w:lang w:val="en-US"/>
        </w:rPr>
        <w:t>1.</w:t>
      </w:r>
      <w:r>
        <w:rPr>
          <w:lang w:val="en-US"/>
        </w:rPr>
        <w:tab/>
      </w:r>
      <w:r w:rsidR="00EE20EE" w:rsidRPr="009C4623">
        <w:rPr>
          <w:lang w:val="en-US"/>
        </w:rPr>
        <w:t>The discharge speed (</w:t>
      </w:r>
      <w:r w:rsidR="00EE20EE" w:rsidRPr="009C4623">
        <w:rPr>
          <w:rFonts w:eastAsia="MS Mincho"/>
        </w:rPr>
        <w:t xml:space="preserve">70 per cent ± 5 per cent of the </w:t>
      </w:r>
      <w:r w:rsidR="00EE20EE" w:rsidRPr="009C4623">
        <w:rPr>
          <w:rFonts w:eastAsia="MS Mincho"/>
          <w:b/>
          <w:bCs/>
        </w:rPr>
        <w:t>maximum speed</w:t>
      </w:r>
      <w:r w:rsidR="00EE20EE" w:rsidRPr="009C4623">
        <w:rPr>
          <w:rFonts w:eastAsia="MS Mincho"/>
        </w:rPr>
        <w:t>)</w:t>
      </w:r>
      <w:r w:rsidR="00EE20EE" w:rsidRPr="009C4623">
        <w:rPr>
          <w:lang w:val="en-US"/>
        </w:rPr>
        <w:t xml:space="preserve"> requirement for Condition A and B</w:t>
      </w:r>
      <w:r w:rsidR="00EE20EE">
        <w:rPr>
          <w:lang w:val="en-US"/>
        </w:rPr>
        <w:t xml:space="preserve"> of OVC-HEV with an operating mode switch</w:t>
      </w:r>
      <w:r w:rsidR="00EE20EE" w:rsidRPr="009C4623">
        <w:rPr>
          <w:lang w:val="en-US"/>
        </w:rPr>
        <w:t xml:space="preserve"> in Annex 8 “Method of measuring the emissions of carbon dioxide, fuel consumption and the electric energy consumption of vehicles powered by a hybrid electric power train” in the 01 series of UN Regulation No. 101 does not fit to </w:t>
      </w:r>
      <w:r w:rsidR="00EE20EE">
        <w:rPr>
          <w:lang w:val="en-US"/>
        </w:rPr>
        <w:t xml:space="preserve">one of </w:t>
      </w:r>
      <w:r w:rsidR="00EE20EE" w:rsidRPr="009C4623">
        <w:rPr>
          <w:lang w:val="en-US"/>
        </w:rPr>
        <w:t xml:space="preserve">its stop criteria </w:t>
      </w:r>
      <w:r w:rsidR="00EE20EE">
        <w:rPr>
          <w:lang w:val="en-US"/>
        </w:rPr>
        <w:t>(</w:t>
      </w:r>
      <w:r w:rsidR="00EE20EE" w:rsidRPr="00327D8E">
        <w:rPr>
          <w:rFonts w:eastAsia="MS Mincho"/>
        </w:rPr>
        <w:t xml:space="preserve">65 per cent of the </w:t>
      </w:r>
      <w:r w:rsidR="00EE20EE" w:rsidRPr="009C4623">
        <w:rPr>
          <w:rFonts w:eastAsia="MS Mincho"/>
          <w:b/>
          <w:bCs/>
        </w:rPr>
        <w:t>maximum thirty minutes speed</w:t>
      </w:r>
      <w:r w:rsidR="00EE20EE">
        <w:rPr>
          <w:rFonts w:eastAsia="MS Mincho"/>
        </w:rPr>
        <w:t xml:space="preserve">). </w:t>
      </w:r>
    </w:p>
    <w:p w14:paraId="36688DEA" w14:textId="3EC69150" w:rsidR="00EE20EE" w:rsidRDefault="00973ADB" w:rsidP="00973ADB">
      <w:pPr>
        <w:pStyle w:val="SingleTxtG"/>
        <w:ind w:right="1110"/>
      </w:pPr>
      <w:r>
        <w:t>2.</w:t>
      </w:r>
      <w:r>
        <w:tab/>
      </w:r>
      <w:r w:rsidR="00EE20EE" w:rsidRPr="009C4623">
        <w:t>The</w:t>
      </w:r>
      <w:r w:rsidR="00EE20EE">
        <w:t xml:space="preserve"> discharge speed and speed stop requirement</w:t>
      </w:r>
      <w:r w:rsidR="003C0192">
        <w:t>:</w:t>
      </w:r>
      <w:r w:rsidR="00EE20EE">
        <w:t xml:space="preserve"> </w:t>
      </w:r>
    </w:p>
    <w:p w14:paraId="64191FA6" w14:textId="565966B8" w:rsidR="00EE20EE" w:rsidRPr="00952DDE" w:rsidRDefault="00973ADB" w:rsidP="00973ADB">
      <w:pPr>
        <w:pStyle w:val="SingleTxtG"/>
        <w:ind w:left="2061" w:right="1110" w:hanging="360"/>
        <w:rPr>
          <w:lang w:val="en-US"/>
        </w:rPr>
      </w:pPr>
      <w:r w:rsidRPr="00952DDE">
        <w:rPr>
          <w:lang w:val="en-US"/>
        </w:rPr>
        <w:t>(a)</w:t>
      </w:r>
      <w:r w:rsidRPr="00952DDE">
        <w:rPr>
          <w:lang w:val="en-US"/>
        </w:rPr>
        <w:tab/>
      </w:r>
      <w:r w:rsidR="00EE20EE">
        <w:t xml:space="preserve">for condition A of </w:t>
      </w:r>
      <w:r w:rsidR="00EE20EE" w:rsidRPr="00952DDE">
        <w:rPr>
          <w:lang w:val="en-US"/>
        </w:rPr>
        <w:t>OVC-HEV with an operating mode switch in</w:t>
      </w:r>
      <w:r w:rsidR="00EE20EE">
        <w:t xml:space="preserve"> Annex 9 “Method of measuring the electric range of vehicles powered by an electric power train only or by a hybrid electric power train”, paragraphs </w:t>
      </w:r>
      <w:r w:rsidR="00EE20EE" w:rsidRPr="00976687">
        <w:rPr>
          <w:lang w:val="en-US"/>
        </w:rPr>
        <w:t>4.1.1.3.2.</w:t>
      </w:r>
      <w:r w:rsidR="00EE20EE">
        <w:rPr>
          <w:lang w:val="en-US"/>
        </w:rPr>
        <w:t xml:space="preserve"> and</w:t>
      </w:r>
      <w:r w:rsidR="00EE20EE">
        <w:t xml:space="preserve"> </w:t>
      </w:r>
      <w:r w:rsidR="00EE20EE" w:rsidRPr="00976687">
        <w:rPr>
          <w:lang w:val="en-US"/>
        </w:rPr>
        <w:t>4.1.1.3.3.</w:t>
      </w:r>
      <w:r w:rsidR="00EE20EE">
        <w:t xml:space="preserve"> of the 01 series of amendments of UN Regulation No. 101</w:t>
      </w:r>
      <w:r w:rsidR="003C0192">
        <w:t>;</w:t>
      </w:r>
      <w:r w:rsidR="00EE20EE">
        <w:t xml:space="preserve"> and </w:t>
      </w:r>
    </w:p>
    <w:p w14:paraId="32E014BF" w14:textId="6BCDEF12" w:rsidR="00EE20EE" w:rsidRPr="00952DDE" w:rsidRDefault="00973ADB" w:rsidP="00973ADB">
      <w:pPr>
        <w:pStyle w:val="SingleTxtG"/>
        <w:ind w:left="2061" w:right="1110" w:hanging="360"/>
        <w:rPr>
          <w:lang w:val="en-US"/>
        </w:rPr>
      </w:pPr>
      <w:r w:rsidRPr="00952DDE">
        <w:rPr>
          <w:lang w:val="en-US"/>
        </w:rPr>
        <w:t>(b)</w:t>
      </w:r>
      <w:r w:rsidRPr="00952DDE">
        <w:rPr>
          <w:lang w:val="en-US"/>
        </w:rPr>
        <w:tab/>
      </w:r>
      <w:r w:rsidR="00EE20EE">
        <w:t xml:space="preserve">for condition A and B </w:t>
      </w:r>
      <w:r w:rsidR="00EE20EE" w:rsidRPr="00952DDE">
        <w:rPr>
          <w:lang w:val="en-US"/>
        </w:rPr>
        <w:t xml:space="preserve">OVC-HEV with an operating mode switch </w:t>
      </w:r>
      <w:r w:rsidR="00EE20EE">
        <w:rPr>
          <w:lang w:val="en-US"/>
        </w:rPr>
        <w:t>in</w:t>
      </w:r>
      <w:r w:rsidR="00EE20EE">
        <w:t xml:space="preserve"> Annex 14 “Emissions test procedure for hybrid electric vehicles (HEV)”, paragraphs </w:t>
      </w:r>
      <w:r w:rsidR="00EE20EE" w:rsidRPr="00976687">
        <w:rPr>
          <w:lang w:val="en-US"/>
        </w:rPr>
        <w:t>3.2.2.2.</w:t>
      </w:r>
      <w:r w:rsidR="00EE20EE">
        <w:rPr>
          <w:lang w:val="en-US"/>
        </w:rPr>
        <w:t xml:space="preserve"> and </w:t>
      </w:r>
      <w:r w:rsidR="00EE20EE" w:rsidRPr="00976687">
        <w:rPr>
          <w:lang w:val="en-US"/>
        </w:rPr>
        <w:t>3.2.3.2.</w:t>
      </w:r>
      <w:r w:rsidR="00EE20EE">
        <w:t xml:space="preserve"> of the 06 and 07 series of amendments of UN Regulation No. 83</w:t>
      </w:r>
    </w:p>
    <w:p w14:paraId="5988BD60" w14:textId="77777777" w:rsidR="00EE20EE" w:rsidRDefault="00EE20EE" w:rsidP="005832F8">
      <w:pPr>
        <w:pStyle w:val="SingleTxtG"/>
        <w:ind w:left="1494" w:right="1110" w:firstLine="567"/>
        <w:rPr>
          <w:lang w:val="en-US"/>
        </w:rPr>
      </w:pPr>
      <w:r>
        <w:t>are both referring to the maximum thirty minutes speed.</w:t>
      </w:r>
      <w:r>
        <w:rPr>
          <w:lang w:val="en-US"/>
        </w:rPr>
        <w:t xml:space="preserve"> </w:t>
      </w:r>
    </w:p>
    <w:p w14:paraId="3331001E" w14:textId="77777777" w:rsidR="008D616A" w:rsidRDefault="008D616A">
      <w:pPr>
        <w:suppressAutoHyphens w:val="0"/>
        <w:spacing w:line="240" w:lineRule="auto"/>
        <w:rPr>
          <w:lang w:val="en-US"/>
        </w:rPr>
      </w:pPr>
      <w:r>
        <w:rPr>
          <w:lang w:val="en-US"/>
        </w:rPr>
        <w:br w:type="page"/>
      </w:r>
    </w:p>
    <w:p w14:paraId="061D90C4" w14:textId="30E211B4" w:rsidR="00BF107A" w:rsidRPr="005832F8" w:rsidRDefault="00973ADB" w:rsidP="00973ADB">
      <w:pPr>
        <w:pStyle w:val="SingleTxtG"/>
        <w:rPr>
          <w:u w:val="single"/>
        </w:rPr>
      </w:pPr>
      <w:r w:rsidRPr="005832F8">
        <w:lastRenderedPageBreak/>
        <w:t>3.</w:t>
      </w:r>
      <w:r w:rsidRPr="005832F8">
        <w:tab/>
      </w:r>
      <w:r w:rsidR="00EE20EE" w:rsidRPr="00EE20EE">
        <w:rPr>
          <w:lang w:val="en-US"/>
        </w:rPr>
        <w:t xml:space="preserve">The preconditioning requirement of UN Regulation No. 101 and UN Regulation </w:t>
      </w:r>
      <w:r w:rsidR="00F011B1">
        <w:rPr>
          <w:lang w:val="en-US"/>
        </w:rPr>
        <w:br/>
      </w:r>
      <w:r w:rsidR="00EE20EE" w:rsidRPr="00EE20EE">
        <w:rPr>
          <w:lang w:val="en-US"/>
        </w:rPr>
        <w:t>No. 83 are harmonized with this proposal.</w:t>
      </w:r>
    </w:p>
    <w:p w14:paraId="174799D7" w14:textId="30E585D4" w:rsidR="008D616A" w:rsidRPr="005832F8" w:rsidRDefault="008D616A" w:rsidP="005832F8">
      <w:pPr>
        <w:spacing w:before="240"/>
        <w:jc w:val="center"/>
        <w:rPr>
          <w:u w:val="single"/>
        </w:rPr>
      </w:pPr>
      <w:r>
        <w:rPr>
          <w:u w:val="single"/>
        </w:rPr>
        <w:tab/>
      </w:r>
      <w:r>
        <w:rPr>
          <w:u w:val="single"/>
        </w:rPr>
        <w:tab/>
      </w:r>
      <w:r>
        <w:rPr>
          <w:u w:val="single"/>
        </w:rPr>
        <w:tab/>
      </w:r>
    </w:p>
    <w:sectPr w:rsidR="008D616A" w:rsidRPr="005832F8"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405B" w14:textId="77777777" w:rsidR="00F12FAA" w:rsidRDefault="00F12FAA"/>
  </w:endnote>
  <w:endnote w:type="continuationSeparator" w:id="0">
    <w:p w14:paraId="33AC7739" w14:textId="77777777" w:rsidR="00F12FAA" w:rsidRDefault="00F12FAA"/>
  </w:endnote>
  <w:endnote w:type="continuationNotice" w:id="1">
    <w:p w14:paraId="4E654B22" w14:textId="77777777" w:rsidR="00F12FAA" w:rsidRDefault="00F1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934715"/>
      <w:docPartObj>
        <w:docPartGallery w:val="Page Numbers (Bottom of Page)"/>
        <w:docPartUnique/>
      </w:docPartObj>
    </w:sdtPr>
    <w:sdtEndPr/>
    <w:sdtContent>
      <w:p w14:paraId="446D08A9" w14:textId="5EBFFDBF" w:rsidR="00897E5B" w:rsidRDefault="00897E5B">
        <w:pPr>
          <w:pStyle w:val="Footer"/>
        </w:pPr>
        <w:r w:rsidRPr="00897E5B">
          <w:rPr>
            <w:b/>
            <w:bCs/>
          </w:rPr>
          <w:fldChar w:fldCharType="begin"/>
        </w:r>
        <w:r w:rsidRPr="00897E5B">
          <w:rPr>
            <w:b/>
            <w:bCs/>
          </w:rPr>
          <w:instrText>PAGE   \* MERGEFORMAT</w:instrText>
        </w:r>
        <w:r w:rsidRPr="00897E5B">
          <w:rPr>
            <w:b/>
            <w:bCs/>
          </w:rPr>
          <w:fldChar w:fldCharType="separate"/>
        </w:r>
        <w:r w:rsidR="00A10AF8" w:rsidRPr="00A10AF8">
          <w:rPr>
            <w:b/>
            <w:bCs/>
            <w:noProof/>
            <w:lang w:val="fr-FR"/>
          </w:rPr>
          <w:t>2</w:t>
        </w:r>
        <w:r w:rsidRPr="00897E5B">
          <w:rPr>
            <w:b/>
            <w:bCs/>
          </w:rPr>
          <w:fldChar w:fldCharType="end"/>
        </w:r>
      </w:p>
    </w:sdtContent>
  </w:sdt>
  <w:p w14:paraId="77871681" w14:textId="55A20A2B" w:rsidR="00BB2263" w:rsidRPr="002E23DB" w:rsidRDefault="00BB2263" w:rsidP="002E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D281" w14:textId="27731870" w:rsidR="004F2CE0" w:rsidRDefault="00903399" w:rsidP="004F2CE0">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057D49BF" wp14:editId="3282DBA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A1BFB0" w14:textId="6132A45C" w:rsidR="004F2CE0" w:rsidRDefault="004F2CE0" w:rsidP="00903399">
    <w:pPr>
      <w:pStyle w:val="Footer"/>
      <w:ind w:right="1134"/>
      <w:rPr>
        <w:sz w:val="20"/>
      </w:rPr>
    </w:pPr>
  </w:p>
  <w:p w14:paraId="6ED84AD1" w14:textId="5C38E031" w:rsidR="00903399" w:rsidRPr="00903399" w:rsidRDefault="00903399" w:rsidP="00903399">
    <w:pPr>
      <w:pStyle w:val="Footer"/>
      <w:ind w:right="1134"/>
      <w:rPr>
        <w:sz w:val="20"/>
      </w:rPr>
    </w:pPr>
    <w:r>
      <w:rPr>
        <w:sz w:val="20"/>
      </w:rPr>
      <w:t>GE.22-04131(E)</w:t>
    </w:r>
    <w:r>
      <w:rPr>
        <w:noProof/>
        <w:sz w:val="20"/>
      </w:rPr>
      <w:drawing>
        <wp:anchor distT="0" distB="0" distL="114300" distR="114300" simplePos="0" relativeHeight="251660288" behindDoc="0" locked="0" layoutInCell="1" allowOverlap="1" wp14:anchorId="3A043770" wp14:editId="1DCE56D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E8E2" w14:textId="77777777" w:rsidR="00F12FAA" w:rsidRPr="000B175B" w:rsidRDefault="00F12FAA" w:rsidP="000B175B">
      <w:pPr>
        <w:tabs>
          <w:tab w:val="right" w:pos="2155"/>
        </w:tabs>
        <w:spacing w:after="80"/>
        <w:ind w:left="680"/>
        <w:rPr>
          <w:u w:val="single"/>
        </w:rPr>
      </w:pPr>
      <w:r>
        <w:rPr>
          <w:u w:val="single"/>
        </w:rPr>
        <w:tab/>
      </w:r>
    </w:p>
  </w:footnote>
  <w:footnote w:type="continuationSeparator" w:id="0">
    <w:p w14:paraId="4C7A9977" w14:textId="77777777" w:rsidR="00F12FAA" w:rsidRPr="00FC68B7" w:rsidRDefault="00F12FAA" w:rsidP="00FC68B7">
      <w:pPr>
        <w:tabs>
          <w:tab w:val="left" w:pos="2155"/>
        </w:tabs>
        <w:spacing w:after="80"/>
        <w:ind w:left="680"/>
        <w:rPr>
          <w:u w:val="single"/>
        </w:rPr>
      </w:pPr>
      <w:r>
        <w:rPr>
          <w:u w:val="single"/>
        </w:rPr>
        <w:tab/>
      </w:r>
    </w:p>
  </w:footnote>
  <w:footnote w:type="continuationNotice" w:id="1">
    <w:p w14:paraId="396BF7F4" w14:textId="77777777" w:rsidR="00F12FAA" w:rsidRDefault="00F12FAA"/>
  </w:footnote>
  <w:footnote w:id="2">
    <w:p w14:paraId="35545F5F" w14:textId="29E734F8"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C93B8C">
        <w:rPr>
          <w:szCs w:val="18"/>
          <w:lang w:val="en-US"/>
        </w:rPr>
        <w:t>2</w:t>
      </w:r>
      <w:r w:rsidRPr="005936E3">
        <w:rPr>
          <w:szCs w:val="18"/>
          <w:lang w:val="en-US"/>
        </w:rPr>
        <w:t xml:space="preserve"> as outlined in proposed programme budget for 202</w:t>
      </w:r>
      <w:r w:rsidR="00B40197">
        <w:rPr>
          <w:szCs w:val="18"/>
          <w:lang w:val="en-US"/>
        </w:rPr>
        <w:t>2</w:t>
      </w:r>
      <w:r w:rsidRPr="005936E3">
        <w:rPr>
          <w:szCs w:val="18"/>
          <w:lang w:val="en-US"/>
        </w:rPr>
        <w:t xml:space="preserve"> (</w:t>
      </w:r>
      <w:r w:rsidR="00B40197">
        <w:t>A/76/6 (Sect.20), para 20.76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702502D8" w:rsidR="00897E5B" w:rsidRPr="00CB7D4A" w:rsidRDefault="00897E5B" w:rsidP="00897E5B">
    <w:pPr>
      <w:pStyle w:val="Header"/>
      <w:rPr>
        <w:lang w:val="en-US"/>
      </w:rPr>
    </w:pPr>
    <w:r w:rsidRPr="00CB7D4A">
      <w:rPr>
        <w:lang w:val="en-US"/>
      </w:rPr>
      <w:t>ECE/TRANS/WP.29/GRPE/2022/</w:t>
    </w:r>
    <w:r w:rsidR="00DF1855">
      <w:rPr>
        <w:lang w:val="en-US"/>
      </w:rPr>
      <w:t>17</w:t>
    </w:r>
  </w:p>
  <w:p w14:paraId="0CAD69FB" w14:textId="79A41F02" w:rsidR="00BB2263" w:rsidRPr="002E23DB" w:rsidRDefault="00BB2263" w:rsidP="002E2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284696F9" w:rsidR="00897E5B" w:rsidRPr="003E02FC" w:rsidRDefault="00897E5B" w:rsidP="00897E5B">
    <w:pPr>
      <w:pStyle w:val="Header"/>
      <w:jc w:val="right"/>
      <w:rPr>
        <w:lang w:val="fr-CH"/>
      </w:rPr>
    </w:pPr>
    <w:r>
      <w:rPr>
        <w:lang w:val="fr-CH"/>
      </w:rPr>
      <w:t>ECE/TRANS/WP.29/GRPE/2022/</w:t>
    </w:r>
    <w:r w:rsidR="00F9611B">
      <w:rPr>
        <w:lang w:val="fr-CH"/>
      </w:rPr>
      <w:t>17</w:t>
    </w:r>
  </w:p>
  <w:p w14:paraId="128EC476" w14:textId="2D75D833" w:rsidR="00BB2263" w:rsidRPr="002E23DB" w:rsidRDefault="00BB2263" w:rsidP="002E2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5C8D596A"/>
    <w:multiLevelType w:val="hybridMultilevel"/>
    <w:tmpl w:val="21D080C6"/>
    <w:lvl w:ilvl="0" w:tplc="F0C8D9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2"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3" w15:restartNumberingAfterBreak="0">
    <w:nsid w:val="7B18254A"/>
    <w:multiLevelType w:val="hybridMultilevel"/>
    <w:tmpl w:val="AC20B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062"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6"/>
  </w:num>
  <w:num w:numId="18">
    <w:abstractNumId w:val="30"/>
  </w:num>
  <w:num w:numId="19">
    <w:abstractNumId w:val="12"/>
  </w:num>
  <w:num w:numId="20">
    <w:abstractNumId w:val="24"/>
  </w:num>
  <w:num w:numId="21">
    <w:abstractNumId w:val="11"/>
  </w:num>
  <w:num w:numId="22">
    <w:abstractNumId w:val="28"/>
  </w:num>
  <w:num w:numId="23">
    <w:abstractNumId w:val="22"/>
  </w:num>
  <w:num w:numId="24">
    <w:abstractNumId w:val="31"/>
  </w:num>
  <w:num w:numId="25">
    <w:abstractNumId w:val="29"/>
  </w:num>
  <w:num w:numId="26">
    <w:abstractNumId w:val="34"/>
  </w:num>
  <w:num w:numId="27">
    <w:abstractNumId w:val="23"/>
  </w:num>
  <w:num w:numId="28">
    <w:abstractNumId w:val="21"/>
  </w:num>
  <w:num w:numId="29">
    <w:abstractNumId w:val="32"/>
  </w:num>
  <w:num w:numId="30">
    <w:abstractNumId w:val="20"/>
  </w:num>
  <w:num w:numId="31">
    <w:abstractNumId w:val="16"/>
  </w:num>
  <w:num w:numId="32">
    <w:abstractNumId w:val="18"/>
  </w:num>
  <w:num w:numId="33">
    <w:abstractNumId w:val="27"/>
  </w:num>
  <w:num w:numId="34">
    <w:abstractNumId w:val="33"/>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27624"/>
    <w:rsid w:val="00032880"/>
    <w:rsid w:val="0004030B"/>
    <w:rsid w:val="00044F38"/>
    <w:rsid w:val="00050F6B"/>
    <w:rsid w:val="000563AD"/>
    <w:rsid w:val="000678CD"/>
    <w:rsid w:val="00071150"/>
    <w:rsid w:val="00072C8C"/>
    <w:rsid w:val="00081CE0"/>
    <w:rsid w:val="00081CF0"/>
    <w:rsid w:val="00084D30"/>
    <w:rsid w:val="000876DA"/>
    <w:rsid w:val="00090320"/>
    <w:rsid w:val="0009262F"/>
    <w:rsid w:val="000931C0"/>
    <w:rsid w:val="00094785"/>
    <w:rsid w:val="00097003"/>
    <w:rsid w:val="000A2E09"/>
    <w:rsid w:val="000B175B"/>
    <w:rsid w:val="000B37A6"/>
    <w:rsid w:val="000B3A0F"/>
    <w:rsid w:val="000B795E"/>
    <w:rsid w:val="000E0415"/>
    <w:rsid w:val="000F5263"/>
    <w:rsid w:val="000F7715"/>
    <w:rsid w:val="001011A5"/>
    <w:rsid w:val="00107B37"/>
    <w:rsid w:val="0012173E"/>
    <w:rsid w:val="00146C9C"/>
    <w:rsid w:val="00156B99"/>
    <w:rsid w:val="00166124"/>
    <w:rsid w:val="00184DDA"/>
    <w:rsid w:val="001900CD"/>
    <w:rsid w:val="001A0452"/>
    <w:rsid w:val="001B4B04"/>
    <w:rsid w:val="001B5875"/>
    <w:rsid w:val="001C2F49"/>
    <w:rsid w:val="001C4B9C"/>
    <w:rsid w:val="001C6663"/>
    <w:rsid w:val="001C7895"/>
    <w:rsid w:val="001D1614"/>
    <w:rsid w:val="001D26DF"/>
    <w:rsid w:val="001E725F"/>
    <w:rsid w:val="001F1599"/>
    <w:rsid w:val="001F19C4"/>
    <w:rsid w:val="001F2C7C"/>
    <w:rsid w:val="002043F0"/>
    <w:rsid w:val="00211E0B"/>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6E53"/>
    <w:rsid w:val="002E23DB"/>
    <w:rsid w:val="002E243B"/>
    <w:rsid w:val="002E511A"/>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94C13"/>
    <w:rsid w:val="003A3344"/>
    <w:rsid w:val="003A46BB"/>
    <w:rsid w:val="003A4EC7"/>
    <w:rsid w:val="003A7295"/>
    <w:rsid w:val="003A7D3F"/>
    <w:rsid w:val="003B1F60"/>
    <w:rsid w:val="003B2388"/>
    <w:rsid w:val="003B56D1"/>
    <w:rsid w:val="003C0192"/>
    <w:rsid w:val="003C2CC4"/>
    <w:rsid w:val="003C3FBC"/>
    <w:rsid w:val="003D4B23"/>
    <w:rsid w:val="003D6041"/>
    <w:rsid w:val="003D6D4C"/>
    <w:rsid w:val="003E278A"/>
    <w:rsid w:val="003F2BAC"/>
    <w:rsid w:val="003F6816"/>
    <w:rsid w:val="00406E3F"/>
    <w:rsid w:val="00413520"/>
    <w:rsid w:val="00415CF4"/>
    <w:rsid w:val="00420B8C"/>
    <w:rsid w:val="004325CB"/>
    <w:rsid w:val="00432A1D"/>
    <w:rsid w:val="00440A07"/>
    <w:rsid w:val="004518AB"/>
    <w:rsid w:val="00452A9C"/>
    <w:rsid w:val="00462880"/>
    <w:rsid w:val="00476F24"/>
    <w:rsid w:val="00487B3D"/>
    <w:rsid w:val="004A5D33"/>
    <w:rsid w:val="004C55B0"/>
    <w:rsid w:val="004D5465"/>
    <w:rsid w:val="004F1221"/>
    <w:rsid w:val="004F2CE0"/>
    <w:rsid w:val="004F6BA0"/>
    <w:rsid w:val="00503BEA"/>
    <w:rsid w:val="0050471D"/>
    <w:rsid w:val="00533616"/>
    <w:rsid w:val="00535ABA"/>
    <w:rsid w:val="0053768B"/>
    <w:rsid w:val="005408AD"/>
    <w:rsid w:val="005420F2"/>
    <w:rsid w:val="0054285C"/>
    <w:rsid w:val="00571739"/>
    <w:rsid w:val="0057634F"/>
    <w:rsid w:val="00577875"/>
    <w:rsid w:val="005832F8"/>
    <w:rsid w:val="00584173"/>
    <w:rsid w:val="00585FBD"/>
    <w:rsid w:val="005936E3"/>
    <w:rsid w:val="00595520"/>
    <w:rsid w:val="00595A56"/>
    <w:rsid w:val="005977F0"/>
    <w:rsid w:val="005A44B9"/>
    <w:rsid w:val="005A6A7C"/>
    <w:rsid w:val="005A77DD"/>
    <w:rsid w:val="005B1BA0"/>
    <w:rsid w:val="005B3DB3"/>
    <w:rsid w:val="005B7174"/>
    <w:rsid w:val="005C0268"/>
    <w:rsid w:val="005C086D"/>
    <w:rsid w:val="005D15CA"/>
    <w:rsid w:val="005D2077"/>
    <w:rsid w:val="005D420B"/>
    <w:rsid w:val="005F08DF"/>
    <w:rsid w:val="005F1FB8"/>
    <w:rsid w:val="005F3066"/>
    <w:rsid w:val="005F3E61"/>
    <w:rsid w:val="00604DDD"/>
    <w:rsid w:val="006115CC"/>
    <w:rsid w:val="00611FC4"/>
    <w:rsid w:val="006176FB"/>
    <w:rsid w:val="006256F5"/>
    <w:rsid w:val="00630FCB"/>
    <w:rsid w:val="006369CF"/>
    <w:rsid w:val="00640B26"/>
    <w:rsid w:val="0065766B"/>
    <w:rsid w:val="00673CF2"/>
    <w:rsid w:val="006770B2"/>
    <w:rsid w:val="00686A48"/>
    <w:rsid w:val="0068763C"/>
    <w:rsid w:val="006940E1"/>
    <w:rsid w:val="006A2413"/>
    <w:rsid w:val="006A3C72"/>
    <w:rsid w:val="006A7392"/>
    <w:rsid w:val="006B03A1"/>
    <w:rsid w:val="006B67D9"/>
    <w:rsid w:val="006C0B13"/>
    <w:rsid w:val="006C5535"/>
    <w:rsid w:val="006D0589"/>
    <w:rsid w:val="006D13B8"/>
    <w:rsid w:val="006D59F3"/>
    <w:rsid w:val="006D6F6F"/>
    <w:rsid w:val="006E564B"/>
    <w:rsid w:val="006E7154"/>
    <w:rsid w:val="007003CD"/>
    <w:rsid w:val="0070701E"/>
    <w:rsid w:val="00710573"/>
    <w:rsid w:val="00712DB0"/>
    <w:rsid w:val="0072198B"/>
    <w:rsid w:val="0072632A"/>
    <w:rsid w:val="00733EC1"/>
    <w:rsid w:val="007358E8"/>
    <w:rsid w:val="00736ECE"/>
    <w:rsid w:val="0074533B"/>
    <w:rsid w:val="00746FA2"/>
    <w:rsid w:val="00757431"/>
    <w:rsid w:val="007633B5"/>
    <w:rsid w:val="007643BC"/>
    <w:rsid w:val="00771FE7"/>
    <w:rsid w:val="00773B1B"/>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6A10"/>
    <w:rsid w:val="00817090"/>
    <w:rsid w:val="008175E9"/>
    <w:rsid w:val="008242D7"/>
    <w:rsid w:val="0082577B"/>
    <w:rsid w:val="00825CB5"/>
    <w:rsid w:val="00827C0D"/>
    <w:rsid w:val="00844EDF"/>
    <w:rsid w:val="008554CB"/>
    <w:rsid w:val="00857D4A"/>
    <w:rsid w:val="00861590"/>
    <w:rsid w:val="00866893"/>
    <w:rsid w:val="00866A75"/>
    <w:rsid w:val="00866F02"/>
    <w:rsid w:val="00867D18"/>
    <w:rsid w:val="00871F9A"/>
    <w:rsid w:val="00871FD5"/>
    <w:rsid w:val="008771E0"/>
    <w:rsid w:val="00880A97"/>
    <w:rsid w:val="0088172E"/>
    <w:rsid w:val="00881EFA"/>
    <w:rsid w:val="008879CB"/>
    <w:rsid w:val="00895C1F"/>
    <w:rsid w:val="00896ED9"/>
    <w:rsid w:val="008979B1"/>
    <w:rsid w:val="00897E5B"/>
    <w:rsid w:val="008A0AF5"/>
    <w:rsid w:val="008A2A18"/>
    <w:rsid w:val="008A3A94"/>
    <w:rsid w:val="008A6B25"/>
    <w:rsid w:val="008A6C4F"/>
    <w:rsid w:val="008B389E"/>
    <w:rsid w:val="008B4B03"/>
    <w:rsid w:val="008D045E"/>
    <w:rsid w:val="008D0A79"/>
    <w:rsid w:val="008D3F25"/>
    <w:rsid w:val="008D4B48"/>
    <w:rsid w:val="008D4D82"/>
    <w:rsid w:val="008D5741"/>
    <w:rsid w:val="008D616A"/>
    <w:rsid w:val="008E0E46"/>
    <w:rsid w:val="008E7116"/>
    <w:rsid w:val="008F143B"/>
    <w:rsid w:val="008F3882"/>
    <w:rsid w:val="008F4B7C"/>
    <w:rsid w:val="00901ADF"/>
    <w:rsid w:val="00903399"/>
    <w:rsid w:val="00922034"/>
    <w:rsid w:val="00922E9C"/>
    <w:rsid w:val="00923061"/>
    <w:rsid w:val="00926E47"/>
    <w:rsid w:val="00947162"/>
    <w:rsid w:val="009610D0"/>
    <w:rsid w:val="0096375C"/>
    <w:rsid w:val="009662E6"/>
    <w:rsid w:val="0097095E"/>
    <w:rsid w:val="00973ADB"/>
    <w:rsid w:val="0097520E"/>
    <w:rsid w:val="0097623C"/>
    <w:rsid w:val="0098592B"/>
    <w:rsid w:val="00985FC4"/>
    <w:rsid w:val="00990766"/>
    <w:rsid w:val="00991261"/>
    <w:rsid w:val="009964C4"/>
    <w:rsid w:val="009A0BB2"/>
    <w:rsid w:val="009A7B81"/>
    <w:rsid w:val="009B7EB7"/>
    <w:rsid w:val="009D01C0"/>
    <w:rsid w:val="009D6A08"/>
    <w:rsid w:val="009E0A16"/>
    <w:rsid w:val="009E1F35"/>
    <w:rsid w:val="009E6CB7"/>
    <w:rsid w:val="009E7970"/>
    <w:rsid w:val="009F2EAC"/>
    <w:rsid w:val="009F57E3"/>
    <w:rsid w:val="00A01A56"/>
    <w:rsid w:val="00A10AF8"/>
    <w:rsid w:val="00A10F4F"/>
    <w:rsid w:val="00A11067"/>
    <w:rsid w:val="00A120A3"/>
    <w:rsid w:val="00A1704A"/>
    <w:rsid w:val="00A232DA"/>
    <w:rsid w:val="00A36AC2"/>
    <w:rsid w:val="00A425EB"/>
    <w:rsid w:val="00A57093"/>
    <w:rsid w:val="00A70384"/>
    <w:rsid w:val="00A72F22"/>
    <w:rsid w:val="00A733BC"/>
    <w:rsid w:val="00A748A6"/>
    <w:rsid w:val="00A74C04"/>
    <w:rsid w:val="00A76A69"/>
    <w:rsid w:val="00A879A4"/>
    <w:rsid w:val="00AA0FF8"/>
    <w:rsid w:val="00AB2881"/>
    <w:rsid w:val="00AB4C03"/>
    <w:rsid w:val="00AB708F"/>
    <w:rsid w:val="00AC0F2C"/>
    <w:rsid w:val="00AC23DC"/>
    <w:rsid w:val="00AC502A"/>
    <w:rsid w:val="00AD4902"/>
    <w:rsid w:val="00AE1E26"/>
    <w:rsid w:val="00AE5807"/>
    <w:rsid w:val="00AF2790"/>
    <w:rsid w:val="00AF30D3"/>
    <w:rsid w:val="00AF58C1"/>
    <w:rsid w:val="00AF7D93"/>
    <w:rsid w:val="00B04A3F"/>
    <w:rsid w:val="00B05006"/>
    <w:rsid w:val="00B06643"/>
    <w:rsid w:val="00B07E9A"/>
    <w:rsid w:val="00B10846"/>
    <w:rsid w:val="00B15055"/>
    <w:rsid w:val="00B20551"/>
    <w:rsid w:val="00B30179"/>
    <w:rsid w:val="00B31E0B"/>
    <w:rsid w:val="00B33FC7"/>
    <w:rsid w:val="00B37B15"/>
    <w:rsid w:val="00B40197"/>
    <w:rsid w:val="00B4162A"/>
    <w:rsid w:val="00B41F61"/>
    <w:rsid w:val="00B45C02"/>
    <w:rsid w:val="00B67A34"/>
    <w:rsid w:val="00B70B63"/>
    <w:rsid w:val="00B72A1E"/>
    <w:rsid w:val="00B81E12"/>
    <w:rsid w:val="00BA339B"/>
    <w:rsid w:val="00BB2263"/>
    <w:rsid w:val="00BB23CC"/>
    <w:rsid w:val="00BC1E7E"/>
    <w:rsid w:val="00BC2425"/>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BF683E"/>
    <w:rsid w:val="00C044E2"/>
    <w:rsid w:val="00C048CB"/>
    <w:rsid w:val="00C066F3"/>
    <w:rsid w:val="00C22CDB"/>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5075"/>
    <w:rsid w:val="00CA5DEF"/>
    <w:rsid w:val="00CB348D"/>
    <w:rsid w:val="00CB7D4A"/>
    <w:rsid w:val="00CD1893"/>
    <w:rsid w:val="00CD46F5"/>
    <w:rsid w:val="00CE3708"/>
    <w:rsid w:val="00CE4A8F"/>
    <w:rsid w:val="00CF071D"/>
    <w:rsid w:val="00D0123D"/>
    <w:rsid w:val="00D13DCF"/>
    <w:rsid w:val="00D14B0E"/>
    <w:rsid w:val="00D15B04"/>
    <w:rsid w:val="00D2031B"/>
    <w:rsid w:val="00D25FE2"/>
    <w:rsid w:val="00D37DA9"/>
    <w:rsid w:val="00D406A7"/>
    <w:rsid w:val="00D43252"/>
    <w:rsid w:val="00D44D86"/>
    <w:rsid w:val="00D50B7D"/>
    <w:rsid w:val="00D52012"/>
    <w:rsid w:val="00D609DC"/>
    <w:rsid w:val="00D7024E"/>
    <w:rsid w:val="00D704E5"/>
    <w:rsid w:val="00D72727"/>
    <w:rsid w:val="00D774A6"/>
    <w:rsid w:val="00D8282E"/>
    <w:rsid w:val="00D92643"/>
    <w:rsid w:val="00D93FA0"/>
    <w:rsid w:val="00D978C6"/>
    <w:rsid w:val="00DA0956"/>
    <w:rsid w:val="00DA31A1"/>
    <w:rsid w:val="00DA357F"/>
    <w:rsid w:val="00DA3E12"/>
    <w:rsid w:val="00DB2B65"/>
    <w:rsid w:val="00DC18AD"/>
    <w:rsid w:val="00DC75A1"/>
    <w:rsid w:val="00DE45AA"/>
    <w:rsid w:val="00DE6870"/>
    <w:rsid w:val="00DF1855"/>
    <w:rsid w:val="00DF1EC9"/>
    <w:rsid w:val="00DF7CAE"/>
    <w:rsid w:val="00E210E8"/>
    <w:rsid w:val="00E24C2D"/>
    <w:rsid w:val="00E31539"/>
    <w:rsid w:val="00E36CA7"/>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5EC6"/>
    <w:rsid w:val="00E96630"/>
    <w:rsid w:val="00EA0653"/>
    <w:rsid w:val="00EC1D66"/>
    <w:rsid w:val="00EC52B1"/>
    <w:rsid w:val="00EC5991"/>
    <w:rsid w:val="00ED099C"/>
    <w:rsid w:val="00ED18DC"/>
    <w:rsid w:val="00ED6201"/>
    <w:rsid w:val="00ED7A2A"/>
    <w:rsid w:val="00EE20EE"/>
    <w:rsid w:val="00EF1D7F"/>
    <w:rsid w:val="00EF2250"/>
    <w:rsid w:val="00F011B1"/>
    <w:rsid w:val="00F0137E"/>
    <w:rsid w:val="00F04E44"/>
    <w:rsid w:val="00F12FAA"/>
    <w:rsid w:val="00F17FE1"/>
    <w:rsid w:val="00F21786"/>
    <w:rsid w:val="00F25D06"/>
    <w:rsid w:val="00F31CFF"/>
    <w:rsid w:val="00F357B0"/>
    <w:rsid w:val="00F364B8"/>
    <w:rsid w:val="00F3742B"/>
    <w:rsid w:val="00F378AB"/>
    <w:rsid w:val="00F41FDB"/>
    <w:rsid w:val="00F455C0"/>
    <w:rsid w:val="00F50597"/>
    <w:rsid w:val="00F56D63"/>
    <w:rsid w:val="00F609A9"/>
    <w:rsid w:val="00F61CAB"/>
    <w:rsid w:val="00F753A8"/>
    <w:rsid w:val="00F80C99"/>
    <w:rsid w:val="00F867EC"/>
    <w:rsid w:val="00F91B2B"/>
    <w:rsid w:val="00F92A7F"/>
    <w:rsid w:val="00F9611B"/>
    <w:rsid w:val="00F97B5A"/>
    <w:rsid w:val="00FC03CD"/>
    <w:rsid w:val="00FC0646"/>
    <w:rsid w:val="00FC68B7"/>
    <w:rsid w:val="00FD0636"/>
    <w:rsid w:val="00FD1BA8"/>
    <w:rsid w:val="00FD454B"/>
    <w:rsid w:val="00FE6985"/>
    <w:rsid w:val="76DCF0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35171-51A3-42BF-879E-C35A32079D76}">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cccb6d4-dbe5-46d2-b4d3-5733603d8cc6"/>
    <ds:schemaRef ds:uri="http://www.w3.org/XML/1998/namespace"/>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2B60E999-A08F-4903-B5D6-C8EEC655FA9B}">
  <ds:schemaRefs>
    <ds:schemaRef ds:uri="http://schemas.openxmlformats.org/officeDocument/2006/bibliography"/>
  </ds:schemaRefs>
</ds:datastoreItem>
</file>

<file path=customXml/itemProps4.xml><?xml version="1.0" encoding="utf-8"?>
<ds:datastoreItem xmlns:ds="http://schemas.openxmlformats.org/officeDocument/2006/customXml" ds:itemID="{DDACE97A-0F5E-4207-BE7B-382107B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3758</Characters>
  <Application>Microsoft Office Word</Application>
  <DocSecurity>0</DocSecurity>
  <Lines>88</Lines>
  <Paragraphs>36</Paragraphs>
  <ScaleCrop>false</ScaleCrop>
  <HeadingPairs>
    <vt:vector size="2" baseType="variant">
      <vt:variant>
        <vt:lpstr>Title</vt:lpstr>
      </vt:variant>
      <vt:variant>
        <vt:i4>1</vt:i4>
      </vt:variant>
    </vt:vector>
  </HeadingPairs>
  <TitlesOfParts>
    <vt:vector size="1" baseType="lpstr">
      <vt:lpstr>ECE/TRANS/WP.29/GRPE/2022/17</vt:lpstr>
    </vt:vector>
  </TitlesOfParts>
  <Company>CSD</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ECE/TRANS/WP.29/GRPE/2022/17</dc:title>
  <dc:subject>2204131</dc:subject>
  <dc:creator>Admin</dc:creator>
  <cp:keywords/>
  <dc:description/>
  <cp:lastModifiedBy>Anni Vi Tirol</cp:lastModifiedBy>
  <cp:revision>2</cp:revision>
  <cp:lastPrinted>2021-10-26T11:58:00Z</cp:lastPrinted>
  <dcterms:created xsi:type="dcterms:W3CDTF">2022-03-22T08:54:00Z</dcterms:created>
  <dcterms:modified xsi:type="dcterms:W3CDTF">2022-03-22T08:54:00Z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ies>
</file>