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36780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320456" w14:textId="77777777" w:rsidR="002D5AAC" w:rsidRDefault="002D5AAC" w:rsidP="00517F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DD195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218D4D" w14:textId="0C2CC21C" w:rsidR="002D5AAC" w:rsidRDefault="00517F02" w:rsidP="00517F02">
            <w:pPr>
              <w:jc w:val="right"/>
            </w:pPr>
            <w:r w:rsidRPr="00517F02">
              <w:rPr>
                <w:sz w:val="40"/>
              </w:rPr>
              <w:t>ECE</w:t>
            </w:r>
            <w:r>
              <w:t>/TRANS/WP.29/GRPE/2022/15</w:t>
            </w:r>
          </w:p>
        </w:tc>
      </w:tr>
      <w:tr w:rsidR="002D5AAC" w:rsidRPr="00517F02" w14:paraId="4E84F2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A748B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BE913A" wp14:editId="6BD6248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9E23D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2FD454" w14:textId="77777777" w:rsidR="002D5AAC" w:rsidRDefault="00517F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DF229F" w14:textId="77777777" w:rsidR="00517F02" w:rsidRDefault="00517F02" w:rsidP="00517F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March 2022</w:t>
            </w:r>
          </w:p>
          <w:p w14:paraId="4C4A6363" w14:textId="77777777" w:rsidR="00517F02" w:rsidRDefault="00517F02" w:rsidP="00517F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D2F81C" w14:textId="40E66529" w:rsidR="00517F02" w:rsidRPr="008D53B6" w:rsidRDefault="00517F02" w:rsidP="00517F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518E8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F0201FE" w14:textId="65BC5EF6" w:rsidR="00517F02" w:rsidRPr="00B91FF9" w:rsidRDefault="00517F02" w:rsidP="00517F02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B91FF9">
        <w:rPr>
          <w:sz w:val="28"/>
          <w:szCs w:val="28"/>
        </w:rPr>
        <w:t>Комитет по внутреннему транспорту</w:t>
      </w:r>
    </w:p>
    <w:p w14:paraId="2B13283E" w14:textId="77777777" w:rsidR="00517F02" w:rsidRPr="00B91FF9" w:rsidRDefault="00517F02" w:rsidP="00517F02">
      <w:pPr>
        <w:tabs>
          <w:tab w:val="left" w:pos="567"/>
          <w:tab w:val="left" w:pos="1134"/>
        </w:tabs>
        <w:spacing w:before="120"/>
        <w:rPr>
          <w:rFonts w:eastAsia="MS Mincho"/>
          <w:sz w:val="22"/>
        </w:rPr>
      </w:pPr>
      <w:r w:rsidRPr="00B91FF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91FF9">
        <w:rPr>
          <w:b/>
          <w:bCs/>
          <w:sz w:val="24"/>
          <w:szCs w:val="24"/>
        </w:rPr>
        <w:br/>
        <w:t>в области транспортных средств</w:t>
      </w:r>
    </w:p>
    <w:p w14:paraId="18FBAA7E" w14:textId="6E85DCA6" w:rsidR="00517F02" w:rsidRPr="00B91FF9" w:rsidRDefault="00517F02" w:rsidP="00517F02">
      <w:pPr>
        <w:tabs>
          <w:tab w:val="left" w:pos="567"/>
          <w:tab w:val="left" w:pos="1134"/>
        </w:tabs>
        <w:spacing w:before="120" w:after="120"/>
        <w:rPr>
          <w:b/>
        </w:rPr>
      </w:pPr>
      <w:r w:rsidRPr="00B91FF9">
        <w:rPr>
          <w:b/>
        </w:rPr>
        <w:t xml:space="preserve">Рабочая группа по проблемам энергии </w:t>
      </w:r>
      <w:r w:rsidRPr="00B91FF9">
        <w:rPr>
          <w:b/>
          <w:bCs/>
          <w:sz w:val="24"/>
          <w:szCs w:val="24"/>
        </w:rPr>
        <w:br/>
      </w:r>
      <w:r w:rsidRPr="00B91FF9">
        <w:rPr>
          <w:b/>
        </w:rPr>
        <w:t>и загрязнения окружающей среды</w:t>
      </w:r>
    </w:p>
    <w:p w14:paraId="09C860B2" w14:textId="77777777" w:rsidR="00517F02" w:rsidRPr="00B91FF9" w:rsidRDefault="00517F02" w:rsidP="00517F02">
      <w:pPr>
        <w:rPr>
          <w:rFonts w:eastAsia="MS Mincho"/>
          <w:b/>
        </w:rPr>
      </w:pPr>
      <w:r w:rsidRPr="00B91FF9">
        <w:rPr>
          <w:rFonts w:eastAsia="MS Mincho"/>
          <w:b/>
        </w:rPr>
        <w:t xml:space="preserve">Восемьдесят шестая </w:t>
      </w:r>
      <w:r w:rsidRPr="00B91FF9">
        <w:rPr>
          <w:rFonts w:asciiTheme="majorBidi" w:hAnsiTheme="majorBidi" w:cstheme="majorBidi"/>
          <w:b/>
        </w:rPr>
        <w:t>сессия</w:t>
      </w:r>
    </w:p>
    <w:p w14:paraId="673233A0" w14:textId="5127BCE8" w:rsidR="00517F02" w:rsidRPr="00B91FF9" w:rsidRDefault="00517F02" w:rsidP="00517F02">
      <w:bookmarkStart w:id="0" w:name="_Hlk80714809"/>
      <w:r w:rsidRPr="00B91FF9">
        <w:rPr>
          <w:rFonts w:asciiTheme="majorBidi" w:hAnsiTheme="majorBidi" w:cstheme="majorBidi"/>
        </w:rPr>
        <w:t>Женева</w:t>
      </w:r>
      <w:r w:rsidRPr="00B91FF9">
        <w:rPr>
          <w:rFonts w:eastAsia="MS Mincho"/>
          <w:bCs/>
        </w:rPr>
        <w:t xml:space="preserve">, 30 мая </w:t>
      </w:r>
      <w:r>
        <w:rPr>
          <w:rFonts w:cs="Times New Roman"/>
          <w:bCs/>
        </w:rPr>
        <w:t>—</w:t>
      </w:r>
      <w:r w:rsidRPr="00B91FF9">
        <w:rPr>
          <w:bCs/>
        </w:rPr>
        <w:t xml:space="preserve"> </w:t>
      </w:r>
      <w:r w:rsidRPr="00B91FF9">
        <w:rPr>
          <w:rFonts w:eastAsia="MS Mincho"/>
          <w:bCs/>
        </w:rPr>
        <w:t>2 июня 2022 года</w:t>
      </w:r>
    </w:p>
    <w:p w14:paraId="0BF36C5A" w14:textId="77777777" w:rsidR="00517F02" w:rsidRPr="00B91FF9" w:rsidRDefault="00517F02" w:rsidP="00517F02">
      <w:r w:rsidRPr="00B91FF9">
        <w:t>Пункт 3 a)</w:t>
      </w:r>
      <w:r w:rsidRPr="00B91FF9">
        <w:rPr>
          <w:bCs/>
        </w:rPr>
        <w:t xml:space="preserve"> </w:t>
      </w:r>
      <w:r w:rsidRPr="00B91FF9">
        <w:t>предварительной повестки дня</w:t>
      </w:r>
    </w:p>
    <w:bookmarkEnd w:id="0"/>
    <w:p w14:paraId="14906967" w14:textId="37A2F622" w:rsidR="00517F02" w:rsidRPr="00B91FF9" w:rsidRDefault="00517F02" w:rsidP="00517F02">
      <w:pPr>
        <w:rPr>
          <w:b/>
        </w:rPr>
      </w:pPr>
      <w:r w:rsidRPr="00B91FF9">
        <w:rPr>
          <w:b/>
          <w:bCs/>
        </w:rPr>
        <w:t xml:space="preserve">Транспортные средства малой грузоподъемности: правила ООН </w:t>
      </w:r>
      <w:r w:rsidRPr="00B91FF9">
        <w:rPr>
          <w:b/>
        </w:rPr>
        <w:br/>
      </w:r>
      <w:r w:rsidRPr="00B91FF9">
        <w:rPr>
          <w:b/>
          <w:bCs/>
        </w:rPr>
        <w:t xml:space="preserve">№ 68 (измерение максимальной скорости, включая электромобили), </w:t>
      </w:r>
      <w:r w:rsidRPr="00B91FF9">
        <w:rPr>
          <w:b/>
        </w:rPr>
        <w:br/>
      </w:r>
      <w:r w:rsidRPr="00B91FF9">
        <w:rPr>
          <w:b/>
          <w:bCs/>
        </w:rPr>
        <w:t xml:space="preserve">№ 83 (выбросы загрязняющих веществ транспортными средствами </w:t>
      </w:r>
      <w:r w:rsidRPr="00B91FF9">
        <w:rPr>
          <w:b/>
        </w:rPr>
        <w:br/>
      </w:r>
      <w:r w:rsidRPr="00B91FF9">
        <w:rPr>
          <w:b/>
          <w:bCs/>
        </w:rPr>
        <w:t>категорий M</w:t>
      </w:r>
      <w:r w:rsidRPr="00B91FF9">
        <w:rPr>
          <w:b/>
          <w:bCs/>
          <w:vertAlign w:val="subscript"/>
        </w:rPr>
        <w:t>1</w:t>
      </w:r>
      <w:r w:rsidRPr="00B91FF9">
        <w:rPr>
          <w:b/>
          <w:bCs/>
        </w:rPr>
        <w:t xml:space="preserve"> и N</w:t>
      </w:r>
      <w:r w:rsidRPr="00B91FF9">
        <w:rPr>
          <w:b/>
          <w:bCs/>
          <w:vertAlign w:val="subscript"/>
        </w:rPr>
        <w:t>1</w:t>
      </w:r>
      <w:r w:rsidRPr="00B91FF9">
        <w:rPr>
          <w:b/>
          <w:bCs/>
        </w:rPr>
        <w:t>), № 101 (выбросы СО</w:t>
      </w:r>
      <w:r w:rsidRPr="00B91FF9">
        <w:rPr>
          <w:b/>
          <w:bCs/>
          <w:vertAlign w:val="subscript"/>
        </w:rPr>
        <w:t>2</w:t>
      </w:r>
      <w:r w:rsidRPr="00B91FF9">
        <w:rPr>
          <w:b/>
          <w:bCs/>
        </w:rPr>
        <w:t xml:space="preserve">/расход топлива), </w:t>
      </w:r>
      <w:r w:rsidRPr="00B91FF9">
        <w:rPr>
          <w:b/>
        </w:rPr>
        <w:br/>
      </w:r>
      <w:r w:rsidRPr="00B91FF9">
        <w:rPr>
          <w:b/>
          <w:bCs/>
        </w:rPr>
        <w:t xml:space="preserve">№ 103 (сменные устройства для предотвращения загрязнения) </w:t>
      </w:r>
      <w:r w:rsidRPr="00B91FF9">
        <w:rPr>
          <w:b/>
        </w:rPr>
        <w:br/>
      </w:r>
      <w:r w:rsidRPr="00B91FF9">
        <w:rPr>
          <w:b/>
          <w:bCs/>
        </w:rPr>
        <w:t xml:space="preserve">и № 154 (всемирные согласованные процедуры испытания </w:t>
      </w:r>
      <w:r w:rsidRPr="00B91FF9">
        <w:rPr>
          <w:b/>
        </w:rPr>
        <w:br/>
      </w:r>
      <w:r w:rsidRPr="00B91FF9">
        <w:rPr>
          <w:b/>
          <w:bCs/>
        </w:rPr>
        <w:t>транспортных средств малой грузоподъемности (ВПИМ))</w:t>
      </w:r>
    </w:p>
    <w:p w14:paraId="0C8BA0B3" w14:textId="0DDE460E" w:rsidR="00517F02" w:rsidRPr="00517F02" w:rsidRDefault="00517F02" w:rsidP="00517F02">
      <w:pPr>
        <w:pStyle w:val="HChG"/>
      </w:pPr>
      <w:r w:rsidRPr="00517F02">
        <w:tab/>
      </w:r>
      <w:r>
        <w:tab/>
      </w:r>
      <w:r>
        <w:tab/>
      </w:r>
      <w:r w:rsidRPr="00517F02">
        <w:t>Предложение по новому дополнению к поправкам серии</w:t>
      </w:r>
      <w:r>
        <w:rPr>
          <w:lang w:val="en-US"/>
        </w:rPr>
        <w:t> </w:t>
      </w:r>
      <w:r w:rsidRPr="00517F02">
        <w:t>01 к Правилам № 101 ООН (</w:t>
      </w:r>
      <w:r w:rsidRPr="00517F02">
        <w:rPr>
          <w:bCs/>
        </w:rPr>
        <w:t>выбросы СО</w:t>
      </w:r>
      <w:r w:rsidRPr="00517F02">
        <w:rPr>
          <w:bCs/>
          <w:vertAlign w:val="subscript"/>
        </w:rPr>
        <w:t>2</w:t>
      </w:r>
      <w:r w:rsidRPr="00517F02">
        <w:rPr>
          <w:bCs/>
        </w:rPr>
        <w:t>/расход топлива</w:t>
      </w:r>
      <w:r w:rsidRPr="00517F02">
        <w:t>)</w:t>
      </w:r>
    </w:p>
    <w:p w14:paraId="63A09C03" w14:textId="77777777" w:rsidR="00517F02" w:rsidRPr="00517F02" w:rsidRDefault="00517F02" w:rsidP="00517F02">
      <w:pPr>
        <w:pStyle w:val="H1G"/>
      </w:pPr>
      <w:r w:rsidRPr="00517F02">
        <w:tab/>
      </w:r>
      <w:r w:rsidRPr="00517F02">
        <w:tab/>
        <w:t>Представлено экспертом от Международной организации предприятий автомобильной промышленности</w:t>
      </w:r>
      <w:r w:rsidRPr="00517F02">
        <w:rPr>
          <w:b w:val="0"/>
          <w:bCs/>
          <w:sz w:val="20"/>
          <w:szCs w:val="16"/>
        </w:rPr>
        <w:footnoteReference w:customMarkFollows="1" w:id="1"/>
        <w:t>*</w:t>
      </w:r>
    </w:p>
    <w:p w14:paraId="2DD34378" w14:textId="52A5316C" w:rsidR="00517F02" w:rsidRDefault="00517F02" w:rsidP="00517F02">
      <w:pPr>
        <w:pStyle w:val="SingleTxtG"/>
      </w:pPr>
      <w:r>
        <w:tab/>
      </w:r>
      <w:r w:rsidRPr="00517F02"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обеспечение </w:t>
      </w:r>
      <w:bookmarkStart w:id="1" w:name="_Hlk96624359"/>
      <w:r w:rsidRPr="00517F02">
        <w:t xml:space="preserve">большей согласованности </w:t>
      </w:r>
      <w:r>
        <w:t>—</w:t>
      </w:r>
      <w:r w:rsidRPr="00517F02">
        <w:t xml:space="preserve"> с введением поправок серии 08 к Правилам № 48 ООН </w:t>
      </w:r>
      <w:r>
        <w:t>—</w:t>
      </w:r>
      <w:r w:rsidRPr="00517F02">
        <w:t xml:space="preserve"> условий испытания на официальное утверждение типа. Изменения к действующему тексту Правил выделены жирным шрифтом в случае новых или зачеркиванием </w:t>
      </w:r>
      <w:r>
        <w:t>—</w:t>
      </w:r>
      <w:r w:rsidRPr="00517F02">
        <w:t xml:space="preserve"> в случае исключенных элементов</w:t>
      </w:r>
      <w:bookmarkEnd w:id="1"/>
      <w:r w:rsidRPr="00517F02">
        <w:t>.</w:t>
      </w:r>
    </w:p>
    <w:p w14:paraId="6E5A5DDA" w14:textId="712FF4E7" w:rsidR="00517F02" w:rsidRDefault="00517F0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6D36615" w14:textId="77777777" w:rsidR="00517F02" w:rsidRPr="00B91FF9" w:rsidRDefault="00517F02" w:rsidP="00517F02">
      <w:pPr>
        <w:pStyle w:val="HChG"/>
        <w:rPr>
          <w:lang w:eastAsia="en-US"/>
        </w:rPr>
      </w:pPr>
      <w:r w:rsidRPr="00B91FF9">
        <w:rPr>
          <w:rFonts w:eastAsia="MS Mincho"/>
          <w:lang w:eastAsia="en-US"/>
        </w:rPr>
        <w:lastRenderedPageBreak/>
        <w:tab/>
        <w:t>I.</w:t>
      </w:r>
      <w:r w:rsidRPr="00B91FF9">
        <w:rPr>
          <w:rFonts w:eastAsia="MS Mincho"/>
          <w:lang w:eastAsia="en-US"/>
        </w:rPr>
        <w:tab/>
      </w:r>
      <w:r w:rsidRPr="00B91FF9">
        <w:rPr>
          <w:rFonts w:hint="eastAsia"/>
        </w:rPr>
        <w:t>П</w:t>
      </w:r>
      <w:r w:rsidRPr="00B91FF9">
        <w:t>редложение</w:t>
      </w:r>
    </w:p>
    <w:p w14:paraId="76FFF3EA" w14:textId="77777777" w:rsidR="00517F02" w:rsidRPr="00B91FF9" w:rsidRDefault="00517F02" w:rsidP="00517F02">
      <w:pPr>
        <w:spacing w:after="120"/>
        <w:ind w:left="1134" w:right="1134"/>
        <w:rPr>
          <w:rFonts w:eastAsia="MS Mincho"/>
          <w:i/>
        </w:rPr>
      </w:pPr>
      <w:r w:rsidRPr="00B91FF9">
        <w:rPr>
          <w:rFonts w:eastAsia="MS Mincho"/>
          <w:i/>
        </w:rPr>
        <w:t>К</w:t>
      </w:r>
      <w:r w:rsidRPr="00517F02">
        <w:rPr>
          <w:rFonts w:eastAsia="MS Mincho"/>
          <w:i/>
        </w:rPr>
        <w:t xml:space="preserve"> </w:t>
      </w:r>
      <w:r w:rsidRPr="00B91FF9">
        <w:rPr>
          <w:rFonts w:eastAsia="MS Mincho"/>
          <w:i/>
        </w:rPr>
        <w:t>поправкам</w:t>
      </w:r>
      <w:r w:rsidRPr="00517F02">
        <w:rPr>
          <w:rFonts w:eastAsia="MS Mincho"/>
          <w:i/>
        </w:rPr>
        <w:t xml:space="preserve"> </w:t>
      </w:r>
      <w:r w:rsidRPr="00B91FF9">
        <w:rPr>
          <w:rFonts w:eastAsia="MS Mincho"/>
          <w:i/>
        </w:rPr>
        <w:t>серии</w:t>
      </w:r>
      <w:r w:rsidRPr="00517F02">
        <w:rPr>
          <w:rFonts w:eastAsia="MS Mincho"/>
          <w:i/>
        </w:rPr>
        <w:t xml:space="preserve"> </w:t>
      </w:r>
      <w:r w:rsidRPr="00B91FF9">
        <w:rPr>
          <w:rFonts w:eastAsia="MS Mincho"/>
          <w:i/>
        </w:rPr>
        <w:t>01</w:t>
      </w:r>
    </w:p>
    <w:p w14:paraId="543D525D" w14:textId="77777777" w:rsidR="00517F02" w:rsidRPr="00B91FF9" w:rsidRDefault="00517F02" w:rsidP="00517F02">
      <w:pPr>
        <w:pStyle w:val="SingleTxtG"/>
        <w:rPr>
          <w:i/>
          <w:iCs/>
        </w:rPr>
      </w:pPr>
      <w:r w:rsidRPr="00B91FF9">
        <w:rPr>
          <w:i/>
          <w:iCs/>
        </w:rPr>
        <w:t>Пункт 5.1.2</w:t>
      </w:r>
      <w:r w:rsidRPr="00B91FF9">
        <w:t xml:space="preserve"> </w:t>
      </w:r>
      <w:r w:rsidRPr="00B91FF9">
        <w:rPr>
          <w:bCs/>
          <w:iCs/>
        </w:rPr>
        <w:t>изменить следующим образом</w:t>
      </w:r>
      <w:r w:rsidRPr="00B91FF9">
        <w:t>:</w:t>
      </w:r>
    </w:p>
    <w:p w14:paraId="4F8DAB73" w14:textId="3FDB617A" w:rsidR="00517F02" w:rsidRPr="00B91FF9" w:rsidRDefault="00517F02" w:rsidP="00517F02">
      <w:pPr>
        <w:pStyle w:val="SingleTxtG"/>
        <w:ind w:left="2268" w:hanging="1134"/>
        <w:rPr>
          <w:shd w:val="clear" w:color="auto" w:fill="FFFFFF"/>
        </w:rPr>
      </w:pPr>
      <w:r w:rsidRPr="00B91FF9">
        <w:rPr>
          <w:rFonts w:eastAsia="MS Mincho"/>
        </w:rPr>
        <w:t xml:space="preserve">«5.1.2 </w:t>
      </w:r>
      <w:r>
        <w:rPr>
          <w:rFonts w:eastAsia="MS Mincho"/>
        </w:rPr>
        <w:tab/>
      </w:r>
      <w:r w:rsidRPr="00B91FF9">
        <w:rPr>
          <w:rFonts w:eastAsia="MS Mincho"/>
        </w:rPr>
        <w:tab/>
      </w:r>
      <w:r w:rsidRPr="00B91FF9">
        <w:rPr>
          <w:strike/>
          <w:shd w:val="clear" w:color="auto" w:fill="FFFFFF"/>
        </w:rPr>
        <w:t>Если транспортное средство должно быть оснащено дневными ходовыми огнями, как указано в пункте 5.22 Правил № 48, то во время проведения цикла испытания дневные ходовые огни транспортного средства, определение которых содержится в пункте 2 Правил № 48, должны быть включены. Испытываемое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огней, устанавливаемыми изготовителем на транспортные средства, относящиеся к группе, представляемой транспортным средством, в отношении которого предоставлено официальное утверждение типа. Изготовитель передает органам, отвечающим за официальное утверждение типа, надлежащую техническую документацию в данном отношении.</w:t>
      </w:r>
    </w:p>
    <w:p w14:paraId="08F749AD" w14:textId="77777777" w:rsidR="00517F02" w:rsidRPr="00B91FF9" w:rsidRDefault="00517F02" w:rsidP="00517F02">
      <w:pPr>
        <w:pStyle w:val="SingleTxtG"/>
        <w:ind w:left="2268"/>
        <w:rPr>
          <w:b/>
          <w:bCs/>
          <w:shd w:val="clear" w:color="auto" w:fill="FFFFFF"/>
        </w:rPr>
      </w:pPr>
      <w:r w:rsidRPr="00B91FF9">
        <w:rPr>
          <w:rFonts w:eastAsia="MS Mincho"/>
          <w:b/>
          <w:bCs/>
        </w:rPr>
        <w:t xml:space="preserve">Подлежащее испытанию </w:t>
      </w:r>
      <w:r w:rsidRPr="00B91FF9">
        <w:rPr>
          <w:b/>
          <w:bCs/>
          <w:shd w:val="clear" w:color="auto" w:fill="FFFFFF"/>
        </w:rPr>
        <w:t>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огней, устанавливаемыми изготовителем на транспортные средства, относящиеся к группе, представленной транспортным средством официально утвержденного типа. Изготовитель передает органам по официальному утверждению типа надлежащую техническую документацию в данном отношении.</w:t>
      </w:r>
    </w:p>
    <w:p w14:paraId="11D21EBC" w14:textId="77777777" w:rsidR="00517F02" w:rsidRPr="00B91FF9" w:rsidRDefault="00517F02" w:rsidP="00517F02">
      <w:pPr>
        <w:pStyle w:val="SingleTxtG"/>
        <w:ind w:left="2268"/>
        <w:rPr>
          <w:b/>
          <w:bCs/>
          <w:shd w:val="clear" w:color="auto" w:fill="FFFFFF"/>
        </w:rPr>
      </w:pPr>
      <w:r w:rsidRPr="00B91FF9">
        <w:rPr>
          <w:b/>
          <w:bCs/>
          <w:shd w:val="clear" w:color="auto" w:fill="FFFFFF"/>
        </w:rPr>
        <w:t>Дневные ходовые огни, определение которых содержится в пункте 2 Правил № 48, во время проведения цикла испытания должны быть ВКЛЮЧЕНЫ</w:t>
      </w:r>
      <w:r w:rsidRPr="00B91FF9">
        <w:rPr>
          <w:shd w:val="clear" w:color="auto" w:fill="FFFFFF"/>
        </w:rPr>
        <w:t>».</w:t>
      </w:r>
    </w:p>
    <w:p w14:paraId="44F1BE34" w14:textId="77777777" w:rsidR="00517F02" w:rsidRPr="00B91FF9" w:rsidRDefault="00517F02" w:rsidP="00517F02">
      <w:pPr>
        <w:spacing w:after="120"/>
        <w:ind w:left="1134" w:right="1134"/>
      </w:pPr>
      <w:r w:rsidRPr="00B91FF9">
        <w:rPr>
          <w:shd w:val="clear" w:color="auto" w:fill="FFFFFF"/>
        </w:rPr>
        <w:t xml:space="preserve">Добавить новый пункт </w:t>
      </w:r>
      <w:r w:rsidRPr="00B91FF9">
        <w:t>5.1.2.1</w:t>
      </w:r>
      <w:r w:rsidRPr="00B91FF9">
        <w:rPr>
          <w:i/>
          <w:iCs/>
        </w:rPr>
        <w:t xml:space="preserve"> </w:t>
      </w:r>
      <w:r w:rsidRPr="00B91FF9">
        <w:rPr>
          <w:shd w:val="clear" w:color="auto" w:fill="FFFFFF"/>
        </w:rPr>
        <w:t>следующего содержания</w:t>
      </w:r>
      <w:r w:rsidRPr="00B91FF9">
        <w:t>:</w:t>
      </w:r>
    </w:p>
    <w:p w14:paraId="091ABBAB" w14:textId="6605DBD9" w:rsidR="00517F02" w:rsidRPr="00B91FF9" w:rsidRDefault="00517F02" w:rsidP="00517F02">
      <w:pPr>
        <w:spacing w:after="120"/>
        <w:ind w:left="2268" w:right="1134" w:hanging="1134"/>
        <w:jc w:val="both"/>
        <w:rPr>
          <w:b/>
          <w:bCs/>
        </w:rPr>
      </w:pPr>
      <w:r w:rsidRPr="00B91FF9">
        <w:rPr>
          <w:rFonts w:eastAsia="MS Mincho"/>
        </w:rPr>
        <w:t>«</w:t>
      </w:r>
      <w:r w:rsidRPr="00B91FF9">
        <w:rPr>
          <w:b/>
          <w:bCs/>
        </w:rPr>
        <w:t>5.1.2.1</w:t>
      </w:r>
      <w:r w:rsidRPr="00B91FF9">
        <w:rPr>
          <w:b/>
          <w:bCs/>
        </w:rPr>
        <w:tab/>
        <w:t xml:space="preserve">Если </w:t>
      </w:r>
      <w:r w:rsidRPr="00B91FF9">
        <w:rPr>
          <w:b/>
          <w:bCs/>
          <w:sz w:val="21"/>
          <w:szCs w:val="21"/>
          <w:shd w:val="clear" w:color="auto" w:fill="FFFFFF"/>
        </w:rPr>
        <w:t xml:space="preserve">задние габаритные огни и другие огни согласно пункту 5.11 поправок серии 08 к Правилам № 48 ООН </w:t>
      </w:r>
      <w:r w:rsidRPr="00B91FF9">
        <w:rPr>
          <w:b/>
          <w:bCs/>
          <w:sz w:val="21"/>
          <w:szCs w:val="21"/>
        </w:rPr>
        <w:t xml:space="preserve">ВЫКЛЮЧАЮТСЯ, </w:t>
      </w:r>
      <w:r w:rsidRPr="00B91FF9">
        <w:rPr>
          <w:b/>
          <w:bCs/>
          <w:sz w:val="21"/>
          <w:szCs w:val="21"/>
          <w:shd w:val="clear" w:color="auto" w:fill="FFFFFF"/>
        </w:rPr>
        <w:t xml:space="preserve">когда показатель окружающих условий освещенности за пределами транспортного средства превышает 7000 </w:t>
      </w:r>
      <w:proofErr w:type="spellStart"/>
      <w:r w:rsidRPr="00B91FF9">
        <w:rPr>
          <w:b/>
          <w:bCs/>
          <w:sz w:val="21"/>
          <w:szCs w:val="21"/>
          <w:shd w:val="clear" w:color="auto" w:fill="FFFFFF"/>
        </w:rPr>
        <w:t>лк</w:t>
      </w:r>
      <w:proofErr w:type="spellEnd"/>
      <w:r w:rsidRPr="00B91FF9">
        <w:rPr>
          <w:b/>
          <w:bCs/>
          <w:sz w:val="21"/>
          <w:szCs w:val="21"/>
          <w:shd w:val="clear" w:color="auto" w:fill="FFFFFF"/>
        </w:rPr>
        <w:t xml:space="preserve"> (</w:t>
      </w:r>
      <w:r w:rsidRPr="00B91FF9">
        <w:rPr>
          <w:b/>
          <w:bCs/>
          <w:sz w:val="21"/>
          <w:szCs w:val="21"/>
        </w:rPr>
        <w:t>как определено в пункте 6.19.7.5 поправок серии 08 к Правилам № 48 ООН</w:t>
      </w:r>
      <w:r w:rsidRPr="00B91FF9">
        <w:rPr>
          <w:b/>
          <w:bCs/>
          <w:sz w:val="21"/>
          <w:szCs w:val="21"/>
          <w:shd w:val="clear" w:color="auto" w:fill="FFFFFF"/>
        </w:rPr>
        <w:t xml:space="preserve">), то </w:t>
      </w:r>
      <w:r w:rsidRPr="00B91FF9">
        <w:rPr>
          <w:b/>
          <w:bCs/>
          <w:sz w:val="21"/>
          <w:szCs w:val="21"/>
        </w:rPr>
        <w:t>в</w:t>
      </w:r>
      <w:r w:rsidRPr="00B91FF9">
        <w:rPr>
          <w:b/>
          <w:bCs/>
          <w:i/>
          <w:iCs/>
          <w:sz w:val="21"/>
          <w:szCs w:val="21"/>
        </w:rPr>
        <w:t xml:space="preserve"> </w:t>
      </w:r>
      <w:r w:rsidRPr="00B91FF9">
        <w:rPr>
          <w:b/>
          <w:bCs/>
          <w:sz w:val="21"/>
          <w:szCs w:val="21"/>
          <w:shd w:val="clear" w:color="auto" w:fill="FFFFFF"/>
        </w:rPr>
        <w:t>режим работы транспортного средства на динамометре</w:t>
      </w:r>
      <w:r w:rsidRPr="00B91FF9">
        <w:rPr>
          <w:b/>
          <w:bCs/>
          <w:i/>
          <w:iCs/>
          <w:sz w:val="21"/>
          <w:szCs w:val="21"/>
        </w:rPr>
        <w:t xml:space="preserve"> </w:t>
      </w:r>
      <w:r w:rsidRPr="00B91FF9">
        <w:rPr>
          <w:b/>
          <w:bCs/>
          <w:sz w:val="21"/>
          <w:szCs w:val="21"/>
        </w:rPr>
        <w:t>может быть заложена функция, воспроизводящая</w:t>
      </w:r>
      <w:r w:rsidRPr="00B91FF9">
        <w:rPr>
          <w:b/>
          <w:bCs/>
          <w:i/>
          <w:iCs/>
          <w:sz w:val="21"/>
          <w:szCs w:val="21"/>
        </w:rPr>
        <w:t xml:space="preserve"> </w:t>
      </w:r>
      <w:r w:rsidRPr="00B91FF9">
        <w:rPr>
          <w:b/>
          <w:bCs/>
          <w:sz w:val="21"/>
          <w:szCs w:val="21"/>
          <w:shd w:val="clear" w:color="auto" w:fill="FFFFFF"/>
        </w:rPr>
        <w:t>показатель окружающих условий освещенности за пределами транспортного средства</w:t>
      </w:r>
      <w:r w:rsidRPr="00B91FF9">
        <w:rPr>
          <w:b/>
          <w:bCs/>
          <w:sz w:val="21"/>
          <w:szCs w:val="21"/>
        </w:rPr>
        <w:t>, превышающий 7000 лк</w:t>
      </w:r>
      <w:r w:rsidRPr="00B91FF9">
        <w:rPr>
          <w:sz w:val="21"/>
          <w:szCs w:val="21"/>
        </w:rPr>
        <w:t>».</w:t>
      </w:r>
    </w:p>
    <w:p w14:paraId="619E3C60" w14:textId="77777777" w:rsidR="00517F02" w:rsidRPr="00B91FF9" w:rsidRDefault="00517F02" w:rsidP="00517F02">
      <w:pPr>
        <w:pStyle w:val="HChG"/>
        <w:rPr>
          <w:rFonts w:eastAsia="MS Mincho"/>
          <w:lang w:eastAsia="en-US"/>
        </w:rPr>
      </w:pPr>
      <w:r w:rsidRPr="00B91FF9">
        <w:rPr>
          <w:rFonts w:eastAsia="MS Mincho"/>
          <w:lang w:eastAsia="en-US"/>
        </w:rPr>
        <w:tab/>
        <w:t>II.</w:t>
      </w:r>
      <w:r w:rsidRPr="00B91FF9">
        <w:rPr>
          <w:rFonts w:eastAsia="MS Mincho"/>
          <w:lang w:eastAsia="en-US"/>
        </w:rPr>
        <w:tab/>
        <w:t>Обоснование</w:t>
      </w:r>
    </w:p>
    <w:p w14:paraId="0E7F23FE" w14:textId="2D235988" w:rsidR="00517F02" w:rsidRPr="00B91FF9" w:rsidRDefault="00517F02" w:rsidP="00517F02">
      <w:pPr>
        <w:pStyle w:val="SingleTxtG"/>
        <w:spacing w:line="240" w:lineRule="auto"/>
      </w:pPr>
      <w:r w:rsidRPr="00B91FF9">
        <w:t>1.</w:t>
      </w:r>
      <w:r w:rsidRPr="00B91FF9">
        <w:tab/>
        <w:t>Цель поправок н</w:t>
      </w:r>
      <w:r w:rsidRPr="00B91FF9">
        <w:rPr>
          <w:shd w:val="clear" w:color="auto" w:fill="FFFFFF"/>
        </w:rPr>
        <w:t xml:space="preserve">овой серии 08 к Правилам № 48 ООН состоит в том, чтобы </w:t>
      </w:r>
      <w:r>
        <w:t>—</w:t>
      </w:r>
      <w:r w:rsidRPr="00B91FF9">
        <w:rPr>
          <w:shd w:val="clear" w:color="auto" w:fill="FFFFFF"/>
        </w:rPr>
        <w:t xml:space="preserve"> во избежание излишнего расхода топлива </w:t>
      </w:r>
      <w:r>
        <w:t>—</w:t>
      </w:r>
      <w:r w:rsidRPr="00B91FF9">
        <w:rPr>
          <w:shd w:val="clear" w:color="auto" w:fill="FFFFFF"/>
        </w:rPr>
        <w:t xml:space="preserve"> предусмотреть возможность ВЫКЛЮЧЕНИЯ задних габаритных огней и других огней, когда показатель окружающих условий освещенности за пределами транспортного средства превышает 7000 люкс.</w:t>
      </w:r>
    </w:p>
    <w:p w14:paraId="3E947714" w14:textId="402E75A5" w:rsidR="00517F02" w:rsidRPr="00B91FF9" w:rsidRDefault="00517F02" w:rsidP="00517F02">
      <w:pPr>
        <w:pStyle w:val="SingleTxtG"/>
      </w:pPr>
      <w:r w:rsidRPr="00B91FF9">
        <w:t>2.</w:t>
      </w:r>
      <w:r w:rsidRPr="00B91FF9">
        <w:tab/>
        <w:t>Регулировочные н</w:t>
      </w:r>
      <w:r w:rsidRPr="00B91FF9">
        <w:rPr>
          <w:shd w:val="clear" w:color="auto" w:fill="FFFFFF"/>
        </w:rPr>
        <w:t>астройки транспортного средства для целей работы на динамометре не должны зависеть от условий освещенности на станции. Поэтому предлагается осуществлять прогон с воспроизведением показателя окружающих условий освещенности, превышающего 7000 люкс.</w:t>
      </w:r>
    </w:p>
    <w:p w14:paraId="60A90FC2" w14:textId="093E7A28" w:rsidR="00517F02" w:rsidRPr="00B91FF9" w:rsidRDefault="00517F02" w:rsidP="00517F02">
      <w:pPr>
        <w:pStyle w:val="SingleTxtG"/>
      </w:pPr>
      <w:r w:rsidRPr="00B91FF9">
        <w:t>3.</w:t>
      </w:r>
      <w:r w:rsidRPr="00B91FF9">
        <w:tab/>
        <w:t xml:space="preserve">Текст пункта 5.1.2 приведен в соответствие с учетом изменений, внесенных в пункт 3.2.7 приложения 4А </w:t>
      </w:r>
      <w:r>
        <w:t>—</w:t>
      </w:r>
      <w:r w:rsidRPr="00B91FF9">
        <w:t xml:space="preserve"> Испытание типа </w:t>
      </w:r>
      <w:r w:rsidRPr="00B91FF9">
        <w:rPr>
          <w:lang w:val="en-US"/>
        </w:rPr>
        <w:t>I</w:t>
      </w:r>
      <w:r w:rsidRPr="00B91FF9">
        <w:t xml:space="preserve"> к Правилам № 83 ООН. </w:t>
      </w:r>
    </w:p>
    <w:p w14:paraId="3533C72C" w14:textId="371618A6" w:rsidR="00517F02" w:rsidRPr="00517F02" w:rsidRDefault="00517F02" w:rsidP="00517F0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7F02" w:rsidRPr="00517F02" w:rsidSect="00517F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7338" w14:textId="77777777" w:rsidR="001A02BF" w:rsidRPr="00A312BC" w:rsidRDefault="001A02BF" w:rsidP="00A312BC"/>
  </w:endnote>
  <w:endnote w:type="continuationSeparator" w:id="0">
    <w:p w14:paraId="5914643B" w14:textId="77777777" w:rsidR="001A02BF" w:rsidRPr="00A312BC" w:rsidRDefault="001A02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7484" w14:textId="6E2A8E19" w:rsidR="00517F02" w:rsidRPr="00517F02" w:rsidRDefault="00517F02">
    <w:pPr>
      <w:pStyle w:val="a8"/>
    </w:pPr>
    <w:r w:rsidRPr="00517F02">
      <w:rPr>
        <w:b/>
        <w:sz w:val="18"/>
      </w:rPr>
      <w:fldChar w:fldCharType="begin"/>
    </w:r>
    <w:r w:rsidRPr="00517F02">
      <w:rPr>
        <w:b/>
        <w:sz w:val="18"/>
      </w:rPr>
      <w:instrText xml:space="preserve"> PAGE  \* MERGEFORMAT </w:instrText>
    </w:r>
    <w:r w:rsidRPr="00517F02">
      <w:rPr>
        <w:b/>
        <w:sz w:val="18"/>
      </w:rPr>
      <w:fldChar w:fldCharType="separate"/>
    </w:r>
    <w:r w:rsidRPr="00517F02">
      <w:rPr>
        <w:b/>
        <w:noProof/>
        <w:sz w:val="18"/>
      </w:rPr>
      <w:t>2</w:t>
    </w:r>
    <w:r w:rsidRPr="00517F02">
      <w:rPr>
        <w:b/>
        <w:sz w:val="18"/>
      </w:rPr>
      <w:fldChar w:fldCharType="end"/>
    </w:r>
    <w:r>
      <w:rPr>
        <w:b/>
        <w:sz w:val="18"/>
      </w:rPr>
      <w:tab/>
    </w:r>
    <w:r>
      <w:t>GE.22-04127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4A71" w14:textId="2D1C65AA" w:rsidR="00517F02" w:rsidRPr="00517F02" w:rsidRDefault="00517F02" w:rsidP="00517F02">
    <w:pPr>
      <w:pStyle w:val="a8"/>
      <w:tabs>
        <w:tab w:val="clear" w:pos="9639"/>
        <w:tab w:val="right" w:pos="9638"/>
      </w:tabs>
      <w:rPr>
        <w:b/>
        <w:sz w:val="18"/>
      </w:rPr>
    </w:pPr>
    <w:r>
      <w:t>GE.22-04127</w:t>
    </w:r>
    <w:r>
      <w:tab/>
    </w:r>
    <w:r w:rsidRPr="00517F02">
      <w:rPr>
        <w:b/>
        <w:sz w:val="18"/>
      </w:rPr>
      <w:fldChar w:fldCharType="begin"/>
    </w:r>
    <w:r w:rsidRPr="00517F02">
      <w:rPr>
        <w:b/>
        <w:sz w:val="18"/>
      </w:rPr>
      <w:instrText xml:space="preserve"> PAGE  \* MERGEFORMAT </w:instrText>
    </w:r>
    <w:r w:rsidRPr="00517F02">
      <w:rPr>
        <w:b/>
        <w:sz w:val="18"/>
      </w:rPr>
      <w:fldChar w:fldCharType="separate"/>
    </w:r>
    <w:r w:rsidRPr="00517F02">
      <w:rPr>
        <w:b/>
        <w:noProof/>
        <w:sz w:val="18"/>
      </w:rPr>
      <w:t>3</w:t>
    </w:r>
    <w:r w:rsidRPr="00517F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7E7A" w14:textId="26C876CC" w:rsidR="00042B72" w:rsidRPr="00517F02" w:rsidRDefault="00517F02" w:rsidP="00517F0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555691" wp14:editId="2DF594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BACDFF" wp14:editId="1A065D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040422  040422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38D1" w14:textId="77777777" w:rsidR="001A02BF" w:rsidRPr="001075E9" w:rsidRDefault="001A02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E31681" w14:textId="77777777" w:rsidR="001A02BF" w:rsidRDefault="001A02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A19C78" w14:textId="77777777" w:rsidR="00517F02" w:rsidRPr="004C540E" w:rsidRDefault="00517F02" w:rsidP="00517F02">
      <w:pPr>
        <w:pStyle w:val="ad"/>
      </w:pPr>
      <w:r>
        <w:tab/>
      </w:r>
      <w:r w:rsidRPr="00517F02">
        <w:rPr>
          <w:rStyle w:val="aa"/>
          <w:sz w:val="20"/>
          <w:vertAlign w:val="baseline"/>
        </w:rPr>
        <w:t>*</w:t>
      </w:r>
      <w:r w:rsidRPr="00B4387F">
        <w:rPr>
          <w:sz w:val="20"/>
        </w:rPr>
        <w:tab/>
      </w:r>
      <w:r w:rsidRPr="00B31026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4C540E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EB1" w14:textId="7F877FAC" w:rsidR="00517F02" w:rsidRPr="00517F02" w:rsidRDefault="00517F02">
    <w:pPr>
      <w:pStyle w:val="a5"/>
    </w:pPr>
    <w:fldSimple w:instr=" TITLE  \* MERGEFORMAT ">
      <w:r w:rsidR="000E31E5">
        <w:t>ECE/TRANS/WP.29/GRPE/2022/15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22A9" w14:textId="23FABFCB" w:rsidR="00517F02" w:rsidRPr="00517F02" w:rsidRDefault="00517F02" w:rsidP="00517F02">
    <w:pPr>
      <w:pStyle w:val="a5"/>
      <w:jc w:val="right"/>
    </w:pPr>
    <w:fldSimple w:instr=" TITLE  \* MERGEFORMAT ">
      <w:r w:rsidR="000E31E5">
        <w:t>ECE/TRANS/WP.29/GRPE/2022/15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BF"/>
    <w:rsid w:val="00033EE1"/>
    <w:rsid w:val="00042B72"/>
    <w:rsid w:val="000558BD"/>
    <w:rsid w:val="000B57E7"/>
    <w:rsid w:val="000B6373"/>
    <w:rsid w:val="000E31E5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02BF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4F4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17F02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22E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9DC5DB"/>
  <w15:docId w15:val="{11895169-D677-4BA5-8B53-72A9656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17F02"/>
    <w:rPr>
      <w:lang w:val="ru-RU" w:eastAsia="en-US"/>
    </w:rPr>
  </w:style>
  <w:style w:type="character" w:customStyle="1" w:styleId="HChGChar">
    <w:name w:val="_ H _Ch_G Char"/>
    <w:link w:val="HChG"/>
    <w:rsid w:val="00517F0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531</Words>
  <Characters>3720</Characters>
  <Application>Microsoft Office Word</Application>
  <DocSecurity>0</DocSecurity>
  <Lines>338</Lines>
  <Paragraphs>141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ECE/TRANS/WP.29/GRPE/2022/15</dc:title>
  <dc:subject/>
  <dc:creator>Anna PETELINA</dc:creator>
  <cp:keywords/>
  <cp:lastModifiedBy>Anna Petelina</cp:lastModifiedBy>
  <cp:revision>3</cp:revision>
  <cp:lastPrinted>2022-04-04T15:14:00Z</cp:lastPrinted>
  <dcterms:created xsi:type="dcterms:W3CDTF">2022-04-04T15:14:00Z</dcterms:created>
  <dcterms:modified xsi:type="dcterms:W3CDTF">2022-04-04T15:14:00Z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