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0BFE81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A8A1ED" w14:textId="77777777" w:rsidR="00F35BAF" w:rsidRPr="00DB58B5" w:rsidRDefault="00F35BAF" w:rsidP="007A375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58BDA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700D6D" w14:textId="068BD3E5" w:rsidR="00F35BAF" w:rsidRPr="00DB58B5" w:rsidRDefault="007A375F" w:rsidP="007A375F">
            <w:pPr>
              <w:jc w:val="right"/>
            </w:pPr>
            <w:r w:rsidRPr="007A375F">
              <w:rPr>
                <w:sz w:val="40"/>
              </w:rPr>
              <w:t>ECE</w:t>
            </w:r>
            <w:r>
              <w:t>/TRANS/WP.29/GRPE/2022/14</w:t>
            </w:r>
          </w:p>
        </w:tc>
      </w:tr>
      <w:tr w:rsidR="00F35BAF" w:rsidRPr="00DB58B5" w14:paraId="1A19B98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36830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D17F28E" wp14:editId="1AC12C9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4CAB5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7B5336" w14:textId="77777777" w:rsidR="00F35BAF" w:rsidRDefault="007A375F" w:rsidP="00C97039">
            <w:pPr>
              <w:spacing w:before="240"/>
            </w:pPr>
            <w:r>
              <w:t>Distr. générale</w:t>
            </w:r>
          </w:p>
          <w:p w14:paraId="67BD3FF5" w14:textId="77777777" w:rsidR="007A375F" w:rsidRDefault="007A375F" w:rsidP="007A375F">
            <w:pPr>
              <w:spacing w:line="240" w:lineRule="exact"/>
            </w:pPr>
            <w:r>
              <w:t>21 mars 2022</w:t>
            </w:r>
          </w:p>
          <w:p w14:paraId="7A677388" w14:textId="77777777" w:rsidR="007A375F" w:rsidRDefault="007A375F" w:rsidP="007A375F">
            <w:pPr>
              <w:spacing w:line="240" w:lineRule="exact"/>
            </w:pPr>
            <w:r>
              <w:t>Français</w:t>
            </w:r>
          </w:p>
          <w:p w14:paraId="0B56C03E" w14:textId="2EF96664" w:rsidR="007A375F" w:rsidRPr="00DB58B5" w:rsidRDefault="007A375F" w:rsidP="007A375F">
            <w:pPr>
              <w:spacing w:line="240" w:lineRule="exact"/>
            </w:pPr>
            <w:r>
              <w:t>Original : anglais</w:t>
            </w:r>
          </w:p>
        </w:tc>
      </w:tr>
    </w:tbl>
    <w:p w14:paraId="67EE5F6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ECFE96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D8A2BA0" w14:textId="77777777" w:rsidR="007A375F" w:rsidRDefault="007A375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8B8852C" w14:textId="77777777" w:rsidR="007A375F" w:rsidRDefault="007A375F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l’énergie</w:t>
      </w:r>
    </w:p>
    <w:p w14:paraId="29DB8B23" w14:textId="77777777" w:rsidR="007A375F" w:rsidRPr="00D17F8A" w:rsidRDefault="007A375F" w:rsidP="007A375F">
      <w:pPr>
        <w:rPr>
          <w:rFonts w:eastAsia="MS Mincho"/>
          <w:b/>
          <w:lang w:val="fr-FR"/>
        </w:rPr>
      </w:pPr>
      <w:r>
        <w:rPr>
          <w:b/>
          <w:bCs/>
          <w:lang w:val="fr-FR"/>
        </w:rPr>
        <w:t>Quatre-vingt-sixième session</w:t>
      </w:r>
    </w:p>
    <w:p w14:paraId="667573F6" w14:textId="77777777" w:rsidR="007A375F" w:rsidRPr="00D17F8A" w:rsidRDefault="007A375F" w:rsidP="007A375F">
      <w:pPr>
        <w:rPr>
          <w:lang w:val="fr-FR"/>
        </w:rPr>
      </w:pPr>
      <w:bookmarkStart w:id="0" w:name="_Hlk80714809"/>
      <w:r>
        <w:rPr>
          <w:lang w:val="fr-FR"/>
        </w:rPr>
        <w:t>Genève, 30 mai-2 juin 2022</w:t>
      </w:r>
    </w:p>
    <w:p w14:paraId="42EE91B0" w14:textId="7AF55345" w:rsidR="007A375F" w:rsidRDefault="007A375F" w:rsidP="007A375F">
      <w:pPr>
        <w:rPr>
          <w:lang w:val="fr-FR"/>
        </w:rPr>
      </w:pPr>
      <w:r>
        <w:rPr>
          <w:lang w:val="fr-FR"/>
        </w:rPr>
        <w:t xml:space="preserve">Point 3 a) de l’ordre du jour provisoire </w:t>
      </w:r>
      <w:r>
        <w:rPr>
          <w:lang w:val="fr-FR"/>
        </w:rPr>
        <w:br/>
      </w:r>
      <w:r>
        <w:rPr>
          <w:b/>
          <w:bCs/>
          <w:lang w:val="fr-FR"/>
        </w:rPr>
        <w:t>Véhicules légers : Règlements ONU 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 xml:space="preserve"> 68 (Mesure de la vitesse maximale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des véhicules à moteur, y compris les véhicules électriques purs),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83 (Émissions polluantes des véhicules des catégories M</w:t>
      </w:r>
      <w:r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 xml:space="preserve"> et N</w:t>
      </w:r>
      <w:r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 xml:space="preserve">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101 (Émissions de CO</w:t>
      </w:r>
      <w:r>
        <w:rPr>
          <w:b/>
          <w:bCs/>
          <w:vertAlign w:val="subscript"/>
          <w:lang w:val="fr-FR"/>
        </w:rPr>
        <w:t>2</w:t>
      </w:r>
      <w:r>
        <w:rPr>
          <w:b/>
          <w:bCs/>
          <w:lang w:val="fr-FR"/>
        </w:rPr>
        <w:t xml:space="preserve">/consommation de carburant),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103 (Dispositifs antipollution de remplacement)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et 154 (Procédure d’essai mondiale harmonisée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pour les voitures particulières et les véhicules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utilitaires légers (WLTP))</w:t>
      </w:r>
      <w:bookmarkEnd w:id="0"/>
    </w:p>
    <w:p w14:paraId="5557E74D" w14:textId="59D7CA9C" w:rsidR="007A375F" w:rsidRPr="00D17F8A" w:rsidRDefault="007A375F" w:rsidP="007A375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nouveau complément aux séries 06 et 07 d’amendements au Règlement ONU n</w:t>
      </w:r>
      <w:r w:rsidRPr="00E94092">
        <w:rPr>
          <w:vertAlign w:val="superscript"/>
          <w:lang w:val="fr-FR"/>
        </w:rPr>
        <w:t>o</w:t>
      </w:r>
      <w:r>
        <w:rPr>
          <w:lang w:val="fr-FR"/>
        </w:rPr>
        <w:t> 83 (Émissions polluantes des véhicules des catégories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>)</w:t>
      </w:r>
    </w:p>
    <w:p w14:paraId="28515110" w14:textId="0A03C8B1" w:rsidR="007A375F" w:rsidRPr="00D17F8A" w:rsidRDefault="007A375F" w:rsidP="007A375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de l’Organisation internationale </w:t>
      </w:r>
      <w:r>
        <w:rPr>
          <w:lang w:val="fr-FR"/>
        </w:rPr>
        <w:br/>
      </w:r>
      <w:r>
        <w:rPr>
          <w:lang w:val="fr-FR"/>
        </w:rPr>
        <w:t>des constructeurs d’automobiles</w:t>
      </w:r>
      <w:r w:rsidRPr="007A375F">
        <w:rPr>
          <w:b w:val="0"/>
          <w:bCs/>
          <w:sz w:val="20"/>
          <w:lang w:val="fr-FR"/>
        </w:rPr>
        <w:footnoteReference w:customMarkFollows="1" w:id="2"/>
        <w:t>*</w:t>
      </w:r>
    </w:p>
    <w:p w14:paraId="529F8F5B" w14:textId="6C9C3DCC" w:rsidR="007A375F" w:rsidRPr="00D17F8A" w:rsidRDefault="007A375F" w:rsidP="007A375F">
      <w:pPr>
        <w:pStyle w:val="SingleTxtG"/>
        <w:rPr>
          <w:bCs/>
          <w:lang w:val="fr-FR"/>
        </w:rPr>
      </w:pPr>
      <w:bookmarkStart w:id="1" w:name="_Hlk80714824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ci-après, établi par l’expert de l’Organisation internationale des constructeurs d’automobiles (OICA)</w:t>
      </w:r>
      <w:r w:rsidRPr="00E94092">
        <w:rPr>
          <w:lang w:val="fr-FR"/>
        </w:rPr>
        <w:t>,</w:t>
      </w:r>
      <w:r>
        <w:rPr>
          <w:lang w:val="fr-FR"/>
        </w:rPr>
        <w:t xml:space="preserve"> vise à harmoniser les prescriptions des séries 06 et 07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83 et à </w:t>
      </w:r>
      <w:r w:rsidRPr="003421F0">
        <w:rPr>
          <w:lang w:val="fr-FR"/>
        </w:rPr>
        <w:t>faire en sorte que les conditions des essais d</w:t>
      </w:r>
      <w:r>
        <w:rPr>
          <w:lang w:val="fr-FR"/>
        </w:rPr>
        <w:t>’</w:t>
      </w:r>
      <w:r w:rsidRPr="003421F0">
        <w:rPr>
          <w:lang w:val="fr-FR"/>
        </w:rPr>
        <w:t>homologation de type soient en cohérence</w:t>
      </w:r>
      <w:r w:rsidRPr="00E45B20">
        <w:rPr>
          <w:lang w:val="fr-FR"/>
        </w:rPr>
        <w:t xml:space="preserve"> </w:t>
      </w:r>
      <w:r>
        <w:rPr>
          <w:lang w:val="fr-FR"/>
        </w:rPr>
        <w:t>avec l’introduction de la série 08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83 figurent en caractères gras pour les ajouts et biffés pour les suppressions.</w:t>
      </w:r>
    </w:p>
    <w:bookmarkEnd w:id="1"/>
    <w:p w14:paraId="4E4B66E8" w14:textId="77777777" w:rsidR="007A375F" w:rsidRPr="00D17F8A" w:rsidRDefault="007A375F" w:rsidP="007A375F">
      <w:pPr>
        <w:pStyle w:val="HChG"/>
        <w:tabs>
          <w:tab w:val="clear" w:pos="851"/>
        </w:tabs>
        <w:ind w:hanging="567"/>
        <w:rPr>
          <w:b w:val="0"/>
          <w:bCs/>
          <w:lang w:val="fr-FR" w:eastAsia="en-GB"/>
        </w:rPr>
      </w:pPr>
      <w:r w:rsidRPr="00D17F8A">
        <w:rPr>
          <w:lang w:val="fr-FR"/>
        </w:rPr>
        <w:br w:type="page"/>
      </w:r>
    </w:p>
    <w:p w14:paraId="3DB7ABBF" w14:textId="77777777" w:rsidR="007A375F" w:rsidRPr="00D17F8A" w:rsidRDefault="007A375F" w:rsidP="007A375F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4A449394" w14:textId="77777777" w:rsidR="007A375F" w:rsidRPr="007A375F" w:rsidRDefault="007A375F" w:rsidP="007A375F">
      <w:pPr>
        <w:pStyle w:val="SingleTxtG"/>
        <w:rPr>
          <w:rFonts w:eastAsia="MS Mincho"/>
          <w:i/>
          <w:iCs/>
          <w:lang w:val="fr-FR"/>
        </w:rPr>
      </w:pPr>
      <w:r w:rsidRPr="007A375F">
        <w:rPr>
          <w:i/>
          <w:iCs/>
          <w:lang w:val="fr-FR"/>
        </w:rPr>
        <w:t>Dans la série 06 d’amendements</w:t>
      </w:r>
    </w:p>
    <w:p w14:paraId="43DE82C3" w14:textId="76391714" w:rsidR="007A375F" w:rsidRPr="00D17F8A" w:rsidRDefault="007A375F" w:rsidP="007A375F">
      <w:pPr>
        <w:pStyle w:val="SingleTxtG"/>
        <w:rPr>
          <w:lang w:val="fr-FR"/>
        </w:rPr>
      </w:pPr>
      <w:r>
        <w:rPr>
          <w:i/>
          <w:iCs/>
          <w:lang w:val="fr-FR"/>
        </w:rPr>
        <w:t>Annexe 4A </w:t>
      </w:r>
      <w:r>
        <w:rPr>
          <w:i/>
          <w:iCs/>
          <w:lang w:val="fr-FR"/>
        </w:rPr>
        <w:t>−</w:t>
      </w:r>
      <w:r>
        <w:rPr>
          <w:i/>
          <w:iCs/>
          <w:lang w:val="fr-FR"/>
        </w:rPr>
        <w:t xml:space="preserve"> Essai du type I</w:t>
      </w:r>
      <w:r>
        <w:rPr>
          <w:lang w:val="fr-FR"/>
        </w:rPr>
        <w:t>, ajouter le nouveau paragraphe 3.2.7 libellé comme suit :</w:t>
      </w:r>
    </w:p>
    <w:p w14:paraId="4A4B3F31" w14:textId="0737645D" w:rsidR="007A375F" w:rsidRPr="00D17F8A" w:rsidRDefault="007A375F" w:rsidP="007A375F">
      <w:pPr>
        <w:pStyle w:val="SingleTxtG"/>
        <w:ind w:left="2268" w:hanging="1134"/>
        <w:rPr>
          <w:rFonts w:eastAsia="MS Mincho"/>
          <w:b/>
          <w:bCs/>
          <w:lang w:val="fr-FR"/>
        </w:rPr>
      </w:pPr>
      <w:r>
        <w:rPr>
          <w:lang w:val="fr-FR"/>
        </w:rPr>
        <w:t>« </w:t>
      </w:r>
      <w:r>
        <w:rPr>
          <w:b/>
          <w:bCs/>
          <w:lang w:val="fr-FR"/>
        </w:rPr>
        <w:t>3.2.7</w:t>
      </w:r>
      <w:r>
        <w:rPr>
          <w:lang w:val="fr-FR"/>
        </w:rPr>
        <w:tab/>
      </w:r>
      <w:r>
        <w:rPr>
          <w:b/>
          <w:bCs/>
          <w:lang w:val="fr-FR"/>
        </w:rPr>
        <w:t>Le véhicule soumis aux essais doit être équipé du système de feux de circulation diurne qui a la plus grande consommation d’énergie électrique parmi ceux qui sont installés par le constructeur sur les véhicules du groupe représenté par le véhicule faisant l’objet d’une homologation de type.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 constructeur doit fournir à cet égard la documentation technique appropriée aux autorités d’homologation de type.</w:t>
      </w:r>
      <w:r>
        <w:rPr>
          <w:lang w:val="fr-FR"/>
        </w:rPr>
        <w:t xml:space="preserve"> </w:t>
      </w:r>
    </w:p>
    <w:p w14:paraId="43C41829" w14:textId="77777777" w:rsidR="007A375F" w:rsidRPr="00D17F8A" w:rsidRDefault="007A375F" w:rsidP="007A375F">
      <w:pPr>
        <w:pStyle w:val="SingleTxtG"/>
        <w:ind w:left="2268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Les feux de circulation diurne définis au paragraphe 2 du Règlement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48 doivent être allumés durant le cycle d’essai.</w:t>
      </w:r>
      <w:r>
        <w:rPr>
          <w:lang w:val="fr-FR"/>
        </w:rPr>
        <w:t> ».</w:t>
      </w:r>
    </w:p>
    <w:p w14:paraId="54DFC32C" w14:textId="77777777" w:rsidR="007A375F" w:rsidRPr="00D17F8A" w:rsidRDefault="007A375F" w:rsidP="007A375F">
      <w:pPr>
        <w:pStyle w:val="SingleTxtG"/>
        <w:rPr>
          <w:rFonts w:eastAsia="MS Mincho"/>
          <w:i/>
          <w:lang w:val="fr-FR"/>
        </w:rPr>
      </w:pPr>
      <w:r>
        <w:rPr>
          <w:i/>
          <w:iCs/>
          <w:lang w:val="fr-FR"/>
        </w:rPr>
        <w:t>Dans la série 07 d’amendements</w:t>
      </w:r>
    </w:p>
    <w:p w14:paraId="274F4681" w14:textId="77777777" w:rsidR="007A375F" w:rsidRPr="00D17F8A" w:rsidRDefault="007A375F" w:rsidP="007A375F">
      <w:pPr>
        <w:pStyle w:val="SingleTxtG"/>
        <w:rPr>
          <w:lang w:val="fr-FR"/>
        </w:rPr>
      </w:pPr>
      <w:r>
        <w:rPr>
          <w:i/>
          <w:iCs/>
          <w:lang w:val="fr-FR"/>
        </w:rPr>
        <w:t>Annexe 4A – Essai du type I, paragraphe 3.2.7</w:t>
      </w:r>
      <w:r>
        <w:rPr>
          <w:lang w:val="fr-FR"/>
        </w:rPr>
        <w:t>, lire :</w:t>
      </w:r>
    </w:p>
    <w:p w14:paraId="27507C56" w14:textId="77777777" w:rsidR="007A375F" w:rsidRPr="00D17F8A" w:rsidRDefault="007A375F" w:rsidP="007A375F">
      <w:pPr>
        <w:pStyle w:val="SingleTxtG"/>
        <w:ind w:left="2268" w:hanging="1134"/>
        <w:rPr>
          <w:lang w:val="fr-FR"/>
        </w:rPr>
      </w:pPr>
      <w:r>
        <w:rPr>
          <w:b/>
          <w:bCs/>
          <w:lang w:val="fr-FR"/>
        </w:rPr>
        <w:t>« </w:t>
      </w:r>
      <w:r>
        <w:rPr>
          <w:lang w:val="fr-FR"/>
        </w:rPr>
        <w:t>3.2.7</w:t>
      </w:r>
      <w:r>
        <w:rPr>
          <w:lang w:val="fr-FR"/>
        </w:rPr>
        <w:tab/>
      </w:r>
      <w:r>
        <w:rPr>
          <w:strike/>
          <w:lang w:val="fr-FR"/>
        </w:rPr>
        <w:t>Les feux de circulation diurne du véhicule définis au paragraphe 2 du Règlement n</w:t>
      </w:r>
      <w:r>
        <w:rPr>
          <w:strike/>
          <w:vertAlign w:val="superscript"/>
          <w:lang w:val="fr-FR"/>
        </w:rPr>
        <w:t>o</w:t>
      </w:r>
      <w:r>
        <w:rPr>
          <w:strike/>
          <w:lang w:val="fr-FR"/>
        </w:rPr>
        <w:t> 48 doivent être allumés durant le cycle d’essai.</w:t>
      </w:r>
      <w:r>
        <w:rPr>
          <w:lang w:val="fr-FR"/>
        </w:rPr>
        <w:t xml:space="preserve"> </w:t>
      </w:r>
      <w:r>
        <w:rPr>
          <w:strike/>
          <w:lang w:val="fr-FR"/>
        </w:rPr>
        <w:t>Le véhicule soumis aux essais doit être équipé du système de feux de circulation diurne qui a la plus grande consommation d’énergie électrique parmi ceux qui sont installés par le constructeur sur les véhicules du groupe représenté par le véhicule faisant l’objet d’une homologation de type.</w:t>
      </w:r>
      <w:r>
        <w:rPr>
          <w:lang w:val="fr-FR"/>
        </w:rPr>
        <w:t xml:space="preserve"> </w:t>
      </w:r>
      <w:r>
        <w:rPr>
          <w:strike/>
          <w:lang w:val="fr-FR"/>
        </w:rPr>
        <w:t>Le constructeur doit fournir à cet égard la documentation technique appropriée aux autorités d’homologation de type.</w:t>
      </w:r>
    </w:p>
    <w:p w14:paraId="55BEAEEE" w14:textId="77777777" w:rsidR="007A375F" w:rsidRPr="00D17F8A" w:rsidRDefault="007A375F" w:rsidP="007A375F">
      <w:pPr>
        <w:pStyle w:val="SingleTxtG"/>
        <w:ind w:left="2268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Le véhicule soumis aux essais doit être équipé du système de feux de circulation diurne qui a la plus grande consommation d’énergie électrique parmi ceux qui sont installés par le constructeur sur les véhicules du groupe représenté par le véhicule faisant l’objet d’une homologation de type.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 constructeur doit fournir à cet égard la documentation technique appropriée aux autorités d’homologation de type.</w:t>
      </w:r>
    </w:p>
    <w:p w14:paraId="0F49C970" w14:textId="77777777" w:rsidR="007A375F" w:rsidRPr="00D17F8A" w:rsidRDefault="007A375F" w:rsidP="007A375F">
      <w:pPr>
        <w:pStyle w:val="SingleTxtG"/>
        <w:ind w:left="2268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Les feux de circulation diurne définis au paragraphe 2 du Règlement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48 doivent être allumés durant le cycle d’essai.</w:t>
      </w:r>
      <w:r>
        <w:rPr>
          <w:lang w:val="fr-FR"/>
        </w:rPr>
        <w:t> ».</w:t>
      </w:r>
    </w:p>
    <w:p w14:paraId="1CC19386" w14:textId="77777777" w:rsidR="007A375F" w:rsidRPr="00D17F8A" w:rsidRDefault="007A375F" w:rsidP="007A375F">
      <w:pPr>
        <w:pStyle w:val="SingleTxtG"/>
        <w:rPr>
          <w:rFonts w:eastAsia="MS Mincho"/>
          <w:i/>
          <w:lang w:val="fr-FR"/>
        </w:rPr>
      </w:pPr>
      <w:r>
        <w:rPr>
          <w:i/>
          <w:iCs/>
          <w:lang w:val="fr-FR"/>
        </w:rPr>
        <w:t>Dans les séries 06 et 07 d’amendements</w:t>
      </w:r>
    </w:p>
    <w:p w14:paraId="49453A3F" w14:textId="77777777" w:rsidR="007A375F" w:rsidRPr="00D17F8A" w:rsidRDefault="007A375F" w:rsidP="007A375F">
      <w:pPr>
        <w:pStyle w:val="SingleTxtG"/>
        <w:rPr>
          <w:lang w:val="fr-FR"/>
        </w:rPr>
      </w:pPr>
      <w:r>
        <w:rPr>
          <w:i/>
          <w:iCs/>
          <w:lang w:val="fr-FR"/>
        </w:rPr>
        <w:t>Annexe 4A – Essai du type I</w:t>
      </w:r>
      <w:r>
        <w:rPr>
          <w:lang w:val="fr-FR"/>
        </w:rPr>
        <w:t>, ajouter le nouveau paragraphe 3.2.8 libellé comme suit :</w:t>
      </w:r>
    </w:p>
    <w:p w14:paraId="7FD8500F" w14:textId="77777777" w:rsidR="007A375F" w:rsidRPr="00D17F8A" w:rsidRDefault="007A375F" w:rsidP="007A375F">
      <w:pPr>
        <w:pStyle w:val="SingleTxtG"/>
        <w:ind w:left="2268" w:hanging="1134"/>
        <w:rPr>
          <w:b/>
          <w:bCs/>
          <w:color w:val="000000" w:themeColor="text1"/>
          <w:lang w:val="fr-FR"/>
        </w:rPr>
      </w:pPr>
      <w:r>
        <w:rPr>
          <w:lang w:val="fr-FR"/>
        </w:rPr>
        <w:t>« </w:t>
      </w:r>
      <w:r>
        <w:rPr>
          <w:b/>
          <w:bCs/>
          <w:lang w:val="fr-FR"/>
        </w:rPr>
        <w:t>3.2.8</w:t>
      </w:r>
      <w:r>
        <w:rPr>
          <w:lang w:val="fr-FR"/>
        </w:rPr>
        <w:tab/>
      </w:r>
      <w:r>
        <w:rPr>
          <w:b/>
          <w:bCs/>
          <w:lang w:val="fr-FR"/>
        </w:rPr>
        <w:t>Dans les cas où les feux de position arrière et d’autres feux visés au paragraphe 5.11 de la série 08 d’amendements au 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48 sont éteints lorsque la luminosité ambiante à l’extérieur du véhicule est supérieure à 7 000 lux (conformément au paragraphe 6.19.7.5 de la série 08 d’amendements au 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48), une fonction permettant de reproduire une luminosité ambiante supérieure à 7 000 lux à l’extérieur du véhicule peut être prévue lors du fonctionnement du banc à rouleaux.</w:t>
      </w:r>
      <w:r>
        <w:rPr>
          <w:lang w:val="fr-FR"/>
        </w:rPr>
        <w:t> ».</w:t>
      </w:r>
    </w:p>
    <w:p w14:paraId="2884531A" w14:textId="77777777" w:rsidR="007A375F" w:rsidRPr="000A3CBB" w:rsidRDefault="007A375F" w:rsidP="007A375F">
      <w:pPr>
        <w:pStyle w:val="HChG"/>
        <w:rPr>
          <w:rFonts w:eastAsia="MS Mincho"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7774C576" w14:textId="77777777" w:rsidR="007A375F" w:rsidRPr="00D17F8A" w:rsidRDefault="007A375F" w:rsidP="007A375F">
      <w:pPr>
        <w:pStyle w:val="SingleTxtG"/>
        <w:rPr>
          <w:lang w:val="fr-FR"/>
        </w:rPr>
      </w:pPr>
      <w:r w:rsidRPr="00D17F8A">
        <w:rPr>
          <w:lang w:val="fr-FR"/>
        </w:rPr>
        <w:t>1.</w:t>
      </w:r>
      <w:r w:rsidRPr="00D17F8A">
        <w:rPr>
          <w:lang w:val="fr-FR"/>
        </w:rPr>
        <w:tab/>
      </w:r>
      <w:r>
        <w:rPr>
          <w:lang w:val="fr-FR"/>
        </w:rPr>
        <w:t>Le paragraphe 3.2.7 est ajouté à la série 06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83 afin d’harmoniser les séries 06 et 07 d’amendements. Il a été modifié de façon à ce que le libellé corresponde à celui figurant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48.</w:t>
      </w:r>
    </w:p>
    <w:p w14:paraId="55C848D6" w14:textId="77777777" w:rsidR="007A375F" w:rsidRPr="00D17F8A" w:rsidRDefault="007A375F" w:rsidP="007A375F">
      <w:pPr>
        <w:pStyle w:val="SingleTxtG"/>
        <w:rPr>
          <w:lang w:val="fr-FR"/>
        </w:rPr>
      </w:pPr>
      <w:r w:rsidRPr="00D17F8A">
        <w:rPr>
          <w:lang w:val="fr-FR"/>
        </w:rPr>
        <w:t>2.</w:t>
      </w:r>
      <w:r w:rsidRPr="00D17F8A">
        <w:rPr>
          <w:lang w:val="fr-FR"/>
        </w:rPr>
        <w:tab/>
      </w:r>
      <w:r>
        <w:rPr>
          <w:lang w:val="fr-FR"/>
        </w:rPr>
        <w:t>La nouvelle série 08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 vise à permettre d’éteindre les feux de position arrière et d’autres feux lorsque la luminosité ambiante à l’extérieur du véhicule est supérieure à 7 000 lux afin d’éviter une consommation inutile de carburant.</w:t>
      </w:r>
    </w:p>
    <w:p w14:paraId="7F9F1514" w14:textId="77777777" w:rsidR="007A375F" w:rsidRPr="00D17F8A" w:rsidRDefault="007A375F" w:rsidP="007A375F">
      <w:pPr>
        <w:pStyle w:val="SingleTxtG"/>
        <w:rPr>
          <w:lang w:val="fr-FR"/>
        </w:rPr>
      </w:pPr>
      <w:r w:rsidRPr="00D17F8A">
        <w:rPr>
          <w:lang w:val="fr-FR"/>
        </w:rPr>
        <w:lastRenderedPageBreak/>
        <w:t>3.</w:t>
      </w:r>
      <w:r w:rsidRPr="00D17F8A">
        <w:rPr>
          <w:lang w:val="fr-FR"/>
        </w:rPr>
        <w:tab/>
      </w:r>
      <w:r>
        <w:rPr>
          <w:lang w:val="fr-FR"/>
        </w:rPr>
        <w:t>Les réglages du véhicule pour le fonctionnement du banc à rouleaux doivent être indépendants de la luminosité dans le laboratoire. Il est donc proposé qu’un trajet soit effectué en reproduisant une luminosité ambiante supérieure à 7 000 lux.</w:t>
      </w:r>
    </w:p>
    <w:p w14:paraId="40FD5950" w14:textId="6C43A8FF" w:rsidR="00F9573C" w:rsidRPr="005858C6" w:rsidRDefault="005858C6" w:rsidP="005858C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5858C6" w:rsidSect="007A37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0C33" w14:textId="77777777" w:rsidR="00C07756" w:rsidRDefault="00C07756" w:rsidP="00F95C08">
      <w:pPr>
        <w:spacing w:line="240" w:lineRule="auto"/>
      </w:pPr>
    </w:p>
  </w:endnote>
  <w:endnote w:type="continuationSeparator" w:id="0">
    <w:p w14:paraId="69232A9D" w14:textId="77777777" w:rsidR="00C07756" w:rsidRPr="00AC3823" w:rsidRDefault="00C07756" w:rsidP="00AC3823">
      <w:pPr>
        <w:pStyle w:val="Pieddepage"/>
      </w:pPr>
    </w:p>
  </w:endnote>
  <w:endnote w:type="continuationNotice" w:id="1">
    <w:p w14:paraId="39AFF59A" w14:textId="77777777" w:rsidR="00C07756" w:rsidRDefault="00C077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2A45" w14:textId="6CBD189C" w:rsidR="007A375F" w:rsidRPr="007A375F" w:rsidRDefault="007A375F" w:rsidP="007A375F">
    <w:pPr>
      <w:pStyle w:val="Pieddepage"/>
      <w:tabs>
        <w:tab w:val="right" w:pos="9638"/>
      </w:tabs>
    </w:pPr>
    <w:r w:rsidRPr="007A375F">
      <w:rPr>
        <w:b/>
        <w:sz w:val="18"/>
      </w:rPr>
      <w:fldChar w:fldCharType="begin"/>
    </w:r>
    <w:r w:rsidRPr="007A375F">
      <w:rPr>
        <w:b/>
        <w:sz w:val="18"/>
      </w:rPr>
      <w:instrText xml:space="preserve"> PAGE  \* MERGEFORMAT </w:instrText>
    </w:r>
    <w:r w:rsidRPr="007A375F">
      <w:rPr>
        <w:b/>
        <w:sz w:val="18"/>
      </w:rPr>
      <w:fldChar w:fldCharType="separate"/>
    </w:r>
    <w:r w:rsidRPr="007A375F">
      <w:rPr>
        <w:b/>
        <w:noProof/>
        <w:sz w:val="18"/>
      </w:rPr>
      <w:t>2</w:t>
    </w:r>
    <w:r w:rsidRPr="007A375F">
      <w:rPr>
        <w:b/>
        <w:sz w:val="18"/>
      </w:rPr>
      <w:fldChar w:fldCharType="end"/>
    </w:r>
    <w:r>
      <w:rPr>
        <w:b/>
        <w:sz w:val="18"/>
      </w:rPr>
      <w:tab/>
    </w:r>
    <w:r>
      <w:t>GE.22-04125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1932" w14:textId="310E2F39" w:rsidR="007A375F" w:rsidRPr="007A375F" w:rsidRDefault="007A375F" w:rsidP="007A375F">
    <w:pPr>
      <w:pStyle w:val="Pieddepage"/>
      <w:tabs>
        <w:tab w:val="right" w:pos="9638"/>
      </w:tabs>
      <w:rPr>
        <w:b/>
        <w:sz w:val="18"/>
      </w:rPr>
    </w:pPr>
    <w:r>
      <w:t>GE.22-04125</w:t>
    </w:r>
    <w:r>
      <w:tab/>
    </w:r>
    <w:r w:rsidRPr="007A375F">
      <w:rPr>
        <w:b/>
        <w:sz w:val="18"/>
      </w:rPr>
      <w:fldChar w:fldCharType="begin"/>
    </w:r>
    <w:r w:rsidRPr="007A375F">
      <w:rPr>
        <w:b/>
        <w:sz w:val="18"/>
      </w:rPr>
      <w:instrText xml:space="preserve"> PAGE  \* MERGEFORMAT </w:instrText>
    </w:r>
    <w:r w:rsidRPr="007A375F">
      <w:rPr>
        <w:b/>
        <w:sz w:val="18"/>
      </w:rPr>
      <w:fldChar w:fldCharType="separate"/>
    </w:r>
    <w:r w:rsidRPr="007A375F">
      <w:rPr>
        <w:b/>
        <w:noProof/>
        <w:sz w:val="18"/>
      </w:rPr>
      <w:t>3</w:t>
    </w:r>
    <w:r w:rsidRPr="007A37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7D2" w14:textId="2A42FF90" w:rsidR="007F20FA" w:rsidRPr="007A375F" w:rsidRDefault="007A375F" w:rsidP="007A375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307DF3B" wp14:editId="602A0A1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22-04125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9E6D2B" wp14:editId="199041D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110422    110422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8D20" w14:textId="77777777" w:rsidR="00C07756" w:rsidRPr="00AC3823" w:rsidRDefault="00C0775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523A7C" w14:textId="77777777" w:rsidR="00C07756" w:rsidRPr="00AC3823" w:rsidRDefault="00C0775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51DEFE" w14:textId="77777777" w:rsidR="00C07756" w:rsidRPr="00AC3823" w:rsidRDefault="00C07756">
      <w:pPr>
        <w:spacing w:line="240" w:lineRule="auto"/>
        <w:rPr>
          <w:sz w:val="2"/>
          <w:szCs w:val="2"/>
        </w:rPr>
      </w:pPr>
    </w:p>
  </w:footnote>
  <w:footnote w:id="2">
    <w:p w14:paraId="14F88A38" w14:textId="77777777" w:rsidR="007A375F" w:rsidRPr="00D17F8A" w:rsidRDefault="007A375F" w:rsidP="007A375F">
      <w:pPr>
        <w:pStyle w:val="Notedebasdepage"/>
        <w:rPr>
          <w:lang w:val="fr-FR"/>
        </w:rPr>
      </w:pPr>
      <w:r>
        <w:rPr>
          <w:lang w:val="fr-FR"/>
        </w:rPr>
        <w:tab/>
      </w:r>
      <w:r w:rsidRPr="007A375F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 2022 (A/76/6 (Sect. 20), par. 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DC85" w14:textId="64648A1B" w:rsidR="007A375F" w:rsidRPr="007A375F" w:rsidRDefault="007A375F">
    <w:pPr>
      <w:pStyle w:val="En-tte"/>
    </w:pPr>
    <w:fldSimple w:instr=" TITLE  \* MERGEFORMAT ">
      <w:r>
        <w:t>ECE/TRANS/WP.29/GRPE/2022/14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84B5" w14:textId="370C524E" w:rsidR="007A375F" w:rsidRPr="007A375F" w:rsidRDefault="007A375F" w:rsidP="007A375F">
    <w:pPr>
      <w:pStyle w:val="En-tte"/>
      <w:jc w:val="right"/>
    </w:pPr>
    <w:fldSimple w:instr=" TITLE  \* MERGEFORMAT ">
      <w:r>
        <w:t>ECE/TRANS/WP.29/GRPE/2022/14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5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1F6F8E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58C6"/>
    <w:rsid w:val="00586ED3"/>
    <w:rsid w:val="00596AA9"/>
    <w:rsid w:val="0071601D"/>
    <w:rsid w:val="007A375F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07756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2F790D"/>
  <w15:docId w15:val="{B40D45AA-2EA6-415E-A137-C33B7B0C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A375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A375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A375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762</Words>
  <Characters>4105</Characters>
  <Application>Microsoft Office Word</Application>
  <DocSecurity>0</DocSecurity>
  <Lines>88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ECE/TRANS/WP.29/GRPE/2022/14</vt:lpstr>
    </vt:vector>
  </TitlesOfParts>
  <Company>DCM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ECE/TRANS/WP.29/GRPE/2022/14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2022-04-12T05:25:00Z</dcterms:created>
  <dcterms:modified xsi:type="dcterms:W3CDTF">2022-04-12T05:25:00Z</dcterms:modified>
</cp:coreProperties>
</file>