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RPr="002602DA" w14:paraId="7E4F395E" w14:textId="77777777" w:rsidTr="0009478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17A1021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2C9B52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F3779FA" w14:textId="46361BFE" w:rsidR="009E6CB7" w:rsidRPr="002602DA" w:rsidRDefault="00035742" w:rsidP="002602DA">
            <w:pPr>
              <w:jc w:val="right"/>
              <w:rPr>
                <w:lang w:val="pl-PL"/>
              </w:rPr>
            </w:pPr>
            <w:r w:rsidRPr="00035742">
              <w:rPr>
                <w:sz w:val="40"/>
                <w:lang w:val="pl-PL"/>
              </w:rPr>
              <w:t>ECE</w:t>
            </w:r>
            <w:r>
              <w:rPr>
                <w:lang w:val="pl-PL"/>
              </w:rPr>
              <w:t>/TRANS/WP.29/GRPE/2022/13</w:t>
            </w:r>
          </w:p>
        </w:tc>
      </w:tr>
      <w:tr w:rsidR="009E6CB7" w14:paraId="7B783395" w14:textId="77777777" w:rsidTr="0009478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058CB47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zh-CN"/>
              </w:rPr>
              <w:drawing>
                <wp:inline distT="0" distB="0" distL="0" distR="0" wp14:anchorId="4334ABEE" wp14:editId="56B49BA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97B2DA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592FE63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233607F0" w14:textId="4DCCD2B8" w:rsidR="007B02AA" w:rsidRPr="00D95E7B" w:rsidRDefault="005F02D5" w:rsidP="002602DA">
            <w:pPr>
              <w:spacing w:line="240" w:lineRule="exact"/>
            </w:pPr>
            <w:r>
              <w:t>21</w:t>
            </w:r>
            <w:r w:rsidR="00D95E7B" w:rsidRPr="00D95E7B">
              <w:t xml:space="preserve"> March 2022</w:t>
            </w:r>
          </w:p>
          <w:p w14:paraId="6ADB5249" w14:textId="77777777" w:rsidR="007B02AA" w:rsidRDefault="007B02AA" w:rsidP="007B02AA">
            <w:pPr>
              <w:spacing w:line="240" w:lineRule="exact"/>
            </w:pPr>
          </w:p>
          <w:p w14:paraId="7AF09B06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4D5FC574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6E26C363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60229B68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2AB0DB18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5DD1FA4A" w14:textId="46A0DA14" w:rsidR="007B02AA" w:rsidRPr="00113319" w:rsidRDefault="007B02AA" w:rsidP="007B02AA">
      <w:pPr>
        <w:rPr>
          <w:rFonts w:eastAsia="MS Mincho"/>
          <w:b/>
        </w:rPr>
      </w:pPr>
      <w:r w:rsidRPr="00A80DF1">
        <w:rPr>
          <w:rFonts w:eastAsia="MS Mincho"/>
          <w:b/>
          <w:color w:val="000000" w:themeColor="text1"/>
        </w:rPr>
        <w:t>Eight</w:t>
      </w:r>
      <w:r w:rsidR="00DE6870" w:rsidRPr="00A80DF1">
        <w:rPr>
          <w:rFonts w:eastAsia="MS Mincho"/>
          <w:b/>
          <w:color w:val="000000" w:themeColor="text1"/>
        </w:rPr>
        <w:t>y-</w:t>
      </w:r>
      <w:r w:rsidR="009C5EEC" w:rsidRPr="00A80DF1">
        <w:rPr>
          <w:rFonts w:eastAsia="MS Mincho"/>
          <w:b/>
          <w:color w:val="000000" w:themeColor="text1"/>
        </w:rPr>
        <w:t>six</w:t>
      </w:r>
      <w:r w:rsidR="00107C3A">
        <w:rPr>
          <w:rFonts w:eastAsia="MS Mincho"/>
          <w:b/>
          <w:color w:val="000000" w:themeColor="text1"/>
        </w:rPr>
        <w:t>th</w:t>
      </w:r>
      <w:r w:rsidRPr="00113319">
        <w:rPr>
          <w:rFonts w:eastAsia="MS Mincho"/>
          <w:b/>
        </w:rPr>
        <w:t xml:space="preserve"> session</w:t>
      </w:r>
    </w:p>
    <w:p w14:paraId="5B7BC92A" w14:textId="156DB509" w:rsidR="007B02AA" w:rsidRPr="00113319" w:rsidRDefault="007B02AA" w:rsidP="002602DA">
      <w:bookmarkStart w:id="0" w:name="_Hlk80714809"/>
      <w:r w:rsidRPr="00113319">
        <w:rPr>
          <w:rFonts w:eastAsia="MS Mincho"/>
        </w:rPr>
        <w:t>Geneva</w:t>
      </w:r>
      <w:r>
        <w:rPr>
          <w:rFonts w:eastAsia="MS Mincho"/>
          <w:bCs/>
        </w:rPr>
        <w:t xml:space="preserve">, </w:t>
      </w:r>
      <w:r w:rsidR="009C5EEC">
        <w:rPr>
          <w:rFonts w:eastAsia="MS Mincho"/>
          <w:bCs/>
        </w:rPr>
        <w:t>30 May</w:t>
      </w:r>
      <w:r w:rsidR="00A6662C" w:rsidRPr="000E31C1">
        <w:rPr>
          <w:bCs/>
        </w:rPr>
        <w:t>–</w:t>
      </w:r>
      <w:r w:rsidR="009C5EEC">
        <w:rPr>
          <w:rFonts w:eastAsia="MS Mincho"/>
          <w:bCs/>
        </w:rPr>
        <w:t>2</w:t>
      </w:r>
      <w:r w:rsidR="003F6816">
        <w:rPr>
          <w:rFonts w:eastAsia="MS Mincho"/>
          <w:bCs/>
        </w:rPr>
        <w:t xml:space="preserve"> </w:t>
      </w:r>
      <w:r w:rsidR="009C5EEC">
        <w:rPr>
          <w:rFonts w:eastAsia="MS Mincho"/>
          <w:bCs/>
        </w:rPr>
        <w:t>June</w:t>
      </w:r>
      <w:r w:rsidRPr="00113319">
        <w:rPr>
          <w:rFonts w:eastAsia="MS Mincho"/>
          <w:bCs/>
        </w:rPr>
        <w:t xml:space="preserve"> 20</w:t>
      </w:r>
      <w:r w:rsidR="003F6816">
        <w:rPr>
          <w:rFonts w:eastAsia="MS Mincho"/>
          <w:bCs/>
        </w:rPr>
        <w:t>2</w:t>
      </w:r>
      <w:r w:rsidR="00312E52">
        <w:rPr>
          <w:rFonts w:eastAsia="MS Mincho"/>
          <w:bCs/>
        </w:rPr>
        <w:t>2</w:t>
      </w:r>
    </w:p>
    <w:p w14:paraId="36E139C2" w14:textId="2CC6DED5" w:rsidR="00C42E88" w:rsidRPr="00094785" w:rsidRDefault="00C42E88" w:rsidP="00C42E88">
      <w:r w:rsidRPr="00DE6870">
        <w:t xml:space="preserve">Item </w:t>
      </w:r>
      <w:r w:rsidR="003608E8">
        <w:t>3(a)</w:t>
      </w:r>
      <w:r w:rsidRPr="00DE6870">
        <w:rPr>
          <w:bCs/>
        </w:rPr>
        <w:t xml:space="preserve"> </w:t>
      </w:r>
      <w:r w:rsidRPr="00094785">
        <w:t>of the provisional agenda</w:t>
      </w:r>
    </w:p>
    <w:bookmarkEnd w:id="0"/>
    <w:p w14:paraId="77C1FB41" w14:textId="77777777" w:rsidR="008C6185" w:rsidRPr="00E03A64" w:rsidRDefault="008C6185" w:rsidP="008C6185">
      <w:pPr>
        <w:rPr>
          <w:b/>
          <w:bCs/>
        </w:rPr>
      </w:pPr>
      <w:r w:rsidRPr="00094785">
        <w:rPr>
          <w:b/>
        </w:rPr>
        <w:t xml:space="preserve">Light vehicles: UN Regulations Nos. 68 (Measurement of the </w:t>
      </w:r>
      <w:r w:rsidRPr="00094785">
        <w:rPr>
          <w:b/>
        </w:rPr>
        <w:br/>
        <w:t xml:space="preserve">maximum speed, including electric vehicles), 83 (Emissions of </w:t>
      </w:r>
      <w:r w:rsidRPr="00094785">
        <w:rPr>
          <w:b/>
        </w:rPr>
        <w:br/>
        <w:t>M</w:t>
      </w:r>
      <w:r w:rsidRPr="00094785">
        <w:rPr>
          <w:b/>
          <w:vertAlign w:val="subscript"/>
        </w:rPr>
        <w:t>1</w:t>
      </w:r>
      <w:r w:rsidRPr="00094785">
        <w:rPr>
          <w:b/>
        </w:rPr>
        <w:t xml:space="preserve"> and N</w:t>
      </w:r>
      <w:r w:rsidRPr="00094785">
        <w:rPr>
          <w:b/>
          <w:vertAlign w:val="subscript"/>
        </w:rPr>
        <w:t>1</w:t>
      </w:r>
      <w:r w:rsidRPr="00094785">
        <w:rPr>
          <w:b/>
        </w:rPr>
        <w:t xml:space="preserve"> vehicles), 101 (CO</w:t>
      </w:r>
      <w:r w:rsidRPr="00094785">
        <w:rPr>
          <w:b/>
          <w:vertAlign w:val="subscript"/>
        </w:rPr>
        <w:t>2</w:t>
      </w:r>
      <w:r w:rsidRPr="00094785">
        <w:rPr>
          <w:b/>
        </w:rPr>
        <w:t xml:space="preserve"> emissions/fuel consumption) </w:t>
      </w:r>
      <w:r>
        <w:rPr>
          <w:b/>
        </w:rPr>
        <w:br/>
      </w:r>
      <w:r w:rsidRPr="00146C9C">
        <w:rPr>
          <w:b/>
        </w:rPr>
        <w:t>103 (Replacement poll</w:t>
      </w:r>
      <w:r>
        <w:rPr>
          <w:b/>
        </w:rPr>
        <w:t>ution control devices) and 154</w:t>
      </w:r>
      <w:r w:rsidRPr="00146C9C">
        <w:rPr>
          <w:b/>
        </w:rPr>
        <w:t xml:space="preserve"> </w:t>
      </w:r>
      <w:r>
        <w:rPr>
          <w:b/>
        </w:rPr>
        <w:br/>
      </w:r>
      <w:r w:rsidRPr="00146C9C">
        <w:rPr>
          <w:b/>
        </w:rPr>
        <w:t>(Worldwide harmonized Light vehicles Test Procedures (WLTP))</w:t>
      </w:r>
    </w:p>
    <w:p w14:paraId="15D682A7" w14:textId="5F1FD814" w:rsidR="005F1FB8" w:rsidRPr="009C5EEC" w:rsidRDefault="00C42E88" w:rsidP="00255646">
      <w:pPr>
        <w:pStyle w:val="HChG"/>
        <w:tabs>
          <w:tab w:val="clear" w:pos="851"/>
        </w:tabs>
        <w:ind w:firstLine="0"/>
        <w:rPr>
          <w:color w:val="FF0000"/>
          <w:lang w:val="en-US"/>
        </w:rPr>
      </w:pPr>
      <w:r w:rsidRPr="009C5EEC">
        <w:rPr>
          <w:color w:val="FF0000"/>
        </w:rPr>
        <w:tab/>
      </w:r>
      <w:r w:rsidR="005F1FB8" w:rsidRPr="006A6F71">
        <w:rPr>
          <w:color w:val="000000" w:themeColor="text1"/>
          <w:lang w:val="en-US"/>
        </w:rPr>
        <w:t>Proposal for</w:t>
      </w:r>
      <w:r w:rsidR="00E407C7" w:rsidRPr="006A6F71">
        <w:rPr>
          <w:color w:val="000000" w:themeColor="text1"/>
          <w:lang w:val="en-US"/>
        </w:rPr>
        <w:t xml:space="preserve"> a</w:t>
      </w:r>
      <w:r w:rsidR="005F1FB8" w:rsidRPr="006A6F71">
        <w:rPr>
          <w:color w:val="000000" w:themeColor="text1"/>
          <w:lang w:val="en-US"/>
        </w:rPr>
        <w:t xml:space="preserve"> </w:t>
      </w:r>
      <w:r w:rsidR="003831F7" w:rsidRPr="006A6F71">
        <w:rPr>
          <w:color w:val="000000" w:themeColor="text1"/>
          <w:lang w:val="en-US"/>
        </w:rPr>
        <w:t>new</w:t>
      </w:r>
      <w:r w:rsidR="005F1FB8" w:rsidRPr="006A6F71">
        <w:rPr>
          <w:color w:val="000000" w:themeColor="text1"/>
          <w:lang w:val="en-US"/>
        </w:rPr>
        <w:t xml:space="preserve"> </w:t>
      </w:r>
      <w:r w:rsidR="00897E5B" w:rsidRPr="006A6F71">
        <w:rPr>
          <w:color w:val="000000" w:themeColor="text1"/>
          <w:lang w:val="en-US"/>
        </w:rPr>
        <w:t>S</w:t>
      </w:r>
      <w:r w:rsidR="00783E93" w:rsidRPr="006A6F71">
        <w:rPr>
          <w:color w:val="000000" w:themeColor="text1"/>
          <w:lang w:val="en-US"/>
        </w:rPr>
        <w:t xml:space="preserve">upplement to the </w:t>
      </w:r>
      <w:r w:rsidR="006A6F71" w:rsidRPr="006A6F71">
        <w:rPr>
          <w:color w:val="000000" w:themeColor="text1"/>
          <w:lang w:val="en-US"/>
        </w:rPr>
        <w:t xml:space="preserve">05, </w:t>
      </w:r>
      <w:r w:rsidR="00255646" w:rsidRPr="006A6F71">
        <w:rPr>
          <w:color w:val="000000" w:themeColor="text1"/>
          <w:lang w:val="en-US"/>
        </w:rPr>
        <w:t>06</w:t>
      </w:r>
      <w:r w:rsidR="00E407C7" w:rsidRPr="006A6F71">
        <w:rPr>
          <w:color w:val="000000" w:themeColor="text1"/>
          <w:lang w:val="en-US"/>
        </w:rPr>
        <w:t xml:space="preserve"> and </w:t>
      </w:r>
      <w:r w:rsidR="00783E93" w:rsidRPr="006A6F71">
        <w:rPr>
          <w:color w:val="000000" w:themeColor="text1"/>
          <w:lang w:val="en-US"/>
        </w:rPr>
        <w:t>0</w:t>
      </w:r>
      <w:r w:rsidR="00255646" w:rsidRPr="006A6F71">
        <w:rPr>
          <w:color w:val="000000" w:themeColor="text1"/>
          <w:lang w:val="en-US"/>
        </w:rPr>
        <w:t>7</w:t>
      </w:r>
      <w:r w:rsidR="005F1FB8" w:rsidRPr="006A6F71">
        <w:rPr>
          <w:color w:val="000000" w:themeColor="text1"/>
        </w:rPr>
        <w:t xml:space="preserve"> series </w:t>
      </w:r>
      <w:r w:rsidR="005F1FB8" w:rsidRPr="006A6F71">
        <w:rPr>
          <w:color w:val="000000" w:themeColor="text1"/>
          <w:lang w:val="en-US"/>
        </w:rPr>
        <w:t>of amendments to UN Regulation No. 83</w:t>
      </w:r>
      <w:r w:rsidR="00452A9C" w:rsidRPr="006A6F71">
        <w:rPr>
          <w:color w:val="000000" w:themeColor="text1"/>
          <w:lang w:val="en-US"/>
        </w:rPr>
        <w:t xml:space="preserve"> </w:t>
      </w:r>
      <w:r w:rsidR="005F1FB8" w:rsidRPr="006A6F71">
        <w:rPr>
          <w:color w:val="000000" w:themeColor="text1"/>
          <w:lang w:val="en-US"/>
        </w:rPr>
        <w:t>(Emissions of M</w:t>
      </w:r>
      <w:r w:rsidR="005F1FB8" w:rsidRPr="006A6F71">
        <w:rPr>
          <w:color w:val="000000" w:themeColor="text1"/>
          <w:vertAlign w:val="subscript"/>
          <w:lang w:val="en-US"/>
        </w:rPr>
        <w:t>1</w:t>
      </w:r>
      <w:r w:rsidR="005F1FB8" w:rsidRPr="006A6F71">
        <w:rPr>
          <w:color w:val="000000" w:themeColor="text1"/>
          <w:lang w:val="en-US"/>
        </w:rPr>
        <w:t xml:space="preserve"> and N</w:t>
      </w:r>
      <w:r w:rsidR="005F1FB8" w:rsidRPr="006A6F71">
        <w:rPr>
          <w:color w:val="000000" w:themeColor="text1"/>
          <w:vertAlign w:val="subscript"/>
          <w:lang w:val="en-US"/>
        </w:rPr>
        <w:t>1</w:t>
      </w:r>
      <w:r w:rsidR="005F1FB8" w:rsidRPr="006A6F71">
        <w:rPr>
          <w:color w:val="000000" w:themeColor="text1"/>
          <w:lang w:val="en-US"/>
        </w:rPr>
        <w:t xml:space="preserve"> vehicles)</w:t>
      </w:r>
    </w:p>
    <w:p w14:paraId="615F109D" w14:textId="77777777" w:rsidR="005F1FB8" w:rsidRPr="005F1FB8" w:rsidRDefault="005F1FB8" w:rsidP="005F1FB8">
      <w:pPr>
        <w:pStyle w:val="H1G"/>
      </w:pPr>
      <w:r w:rsidRPr="005F1FB8">
        <w:tab/>
      </w:r>
      <w:r w:rsidRPr="005F1FB8">
        <w:tab/>
        <w:t>Submitted by the expert from the International Organization of Motor Vehicle Manufacturers</w:t>
      </w:r>
      <w:r w:rsidRPr="005F1FB8">
        <w:rPr>
          <w:rStyle w:val="H1GChar"/>
        </w:rPr>
        <w:footnoteReference w:customMarkFollows="1" w:id="2"/>
        <w:t>*</w:t>
      </w:r>
    </w:p>
    <w:p w14:paraId="170D4FF9" w14:textId="0DBE249E" w:rsidR="005F1FB8" w:rsidRPr="009C5EEC" w:rsidRDefault="005F1FB8" w:rsidP="00E31539">
      <w:pPr>
        <w:pStyle w:val="SingleTxtG"/>
        <w:ind w:firstLine="567"/>
        <w:rPr>
          <w:bCs/>
          <w:color w:val="FF0000"/>
        </w:rPr>
      </w:pPr>
      <w:bookmarkStart w:id="1" w:name="_Hlk80714824"/>
      <w:r w:rsidRPr="006A6F71">
        <w:rPr>
          <w:color w:val="000000" w:themeColor="text1"/>
        </w:rPr>
        <w:t xml:space="preserve">The text reproduced below was prepared by the expert from the International Organization of Motor Vehicle Manufacturers (OICA). </w:t>
      </w:r>
      <w:r w:rsidR="006A6F71" w:rsidRPr="006A6F71">
        <w:rPr>
          <w:color w:val="000000" w:themeColor="text1"/>
        </w:rPr>
        <w:t xml:space="preserve">This document aims to </w:t>
      </w:r>
      <w:r w:rsidR="009B6270">
        <w:rPr>
          <w:color w:val="000000" w:themeColor="text1"/>
        </w:rPr>
        <w:t xml:space="preserve">allow measurement equipment compliant with the technical requirements of UN Regulation No. 154 to be used for </w:t>
      </w:r>
      <w:r w:rsidR="0031607E">
        <w:rPr>
          <w:color w:val="000000" w:themeColor="text1"/>
        </w:rPr>
        <w:t xml:space="preserve">test to </w:t>
      </w:r>
      <w:r w:rsidR="009B6270">
        <w:rPr>
          <w:color w:val="000000" w:themeColor="text1"/>
        </w:rPr>
        <w:t>UN Regulations No. 83 and 101</w:t>
      </w:r>
      <w:r w:rsidR="00E16FDD" w:rsidRPr="00E16FDD">
        <w:rPr>
          <w:color w:val="000000" w:themeColor="text1"/>
        </w:rPr>
        <w:t xml:space="preserve">. </w:t>
      </w:r>
      <w:r w:rsidR="006A6F71" w:rsidRPr="006A6F71">
        <w:rPr>
          <w:color w:val="000000" w:themeColor="text1"/>
        </w:rPr>
        <w:t xml:space="preserve"> </w:t>
      </w:r>
      <w:r w:rsidR="006C0B13" w:rsidRPr="006A6F71">
        <w:rPr>
          <w:color w:val="000000" w:themeColor="text1"/>
        </w:rPr>
        <w:t>The modifications to the current text of the Regulation are marked in bold for new or strikethrough for deleted characters.</w:t>
      </w:r>
    </w:p>
    <w:bookmarkEnd w:id="1"/>
    <w:p w14:paraId="124F7D63" w14:textId="09D22BC9" w:rsidR="00452A9C" w:rsidRDefault="005F1FB8" w:rsidP="00272179">
      <w:pPr>
        <w:pStyle w:val="HChG"/>
        <w:tabs>
          <w:tab w:val="clear" w:pos="851"/>
        </w:tabs>
        <w:ind w:hanging="567"/>
        <w:rPr>
          <w:b w:val="0"/>
          <w:bCs/>
          <w:lang w:val="en-US" w:eastAsia="en-GB"/>
        </w:rPr>
      </w:pPr>
      <w:r w:rsidRPr="00FD4196">
        <w:br w:type="page"/>
      </w:r>
    </w:p>
    <w:p w14:paraId="6246983C" w14:textId="5ABA0220" w:rsidR="00272179" w:rsidRPr="00922034" w:rsidRDefault="00324EC2" w:rsidP="00324EC2">
      <w:pPr>
        <w:pStyle w:val="HChG"/>
        <w:rPr>
          <w:lang w:eastAsia="en-US"/>
        </w:rPr>
      </w:pPr>
      <w:r>
        <w:rPr>
          <w:rFonts w:eastAsia="MS Mincho"/>
          <w:lang w:eastAsia="en-US"/>
        </w:rPr>
        <w:lastRenderedPageBreak/>
        <w:tab/>
      </w:r>
      <w:r w:rsidR="00922034" w:rsidRPr="00D12748">
        <w:rPr>
          <w:rFonts w:eastAsia="MS Mincho"/>
          <w:lang w:eastAsia="en-US"/>
        </w:rPr>
        <w:t>I.</w:t>
      </w:r>
      <w:r w:rsidR="00922034" w:rsidRPr="00D12748">
        <w:rPr>
          <w:rFonts w:eastAsia="MS Mincho"/>
          <w:lang w:eastAsia="en-US"/>
        </w:rPr>
        <w:tab/>
      </w:r>
      <w:r w:rsidR="00272179" w:rsidRPr="00922034">
        <w:rPr>
          <w:rFonts w:hint="eastAsia"/>
        </w:rPr>
        <w:t>Proposal</w:t>
      </w:r>
    </w:p>
    <w:p w14:paraId="3CE3A8FB" w14:textId="77777777" w:rsidR="00897382" w:rsidRDefault="0031607E" w:rsidP="00097313">
      <w:pPr>
        <w:adjustRightInd w:val="0"/>
        <w:spacing w:after="120"/>
        <w:ind w:left="1134" w:right="1134"/>
        <w:jc w:val="both"/>
        <w:rPr>
          <w:rFonts w:eastAsia="MS Mincho"/>
          <w:bCs/>
          <w:i/>
          <w:iCs/>
        </w:rPr>
      </w:pPr>
      <w:r w:rsidRPr="00FF1E3E">
        <w:rPr>
          <w:rFonts w:eastAsia="MS Mincho"/>
          <w:bCs/>
          <w:i/>
          <w:iCs/>
        </w:rPr>
        <w:t>Annex 4a</w:t>
      </w:r>
    </w:p>
    <w:p w14:paraId="2375EA87" w14:textId="35A2A608" w:rsidR="0031607E" w:rsidRPr="005E5AF6" w:rsidRDefault="0031607E" w:rsidP="00097313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FF1E3E">
        <w:rPr>
          <w:rFonts w:eastAsia="MS Mincho"/>
          <w:bCs/>
          <w:i/>
          <w:iCs/>
        </w:rPr>
        <w:t>Appendix 1</w:t>
      </w:r>
      <w:r w:rsidR="00350963">
        <w:rPr>
          <w:i/>
          <w:iCs/>
          <w:lang w:val="en-US"/>
        </w:rPr>
        <w:t>,</w:t>
      </w:r>
      <w:r w:rsidR="00350963" w:rsidRPr="005E5AF6">
        <w:rPr>
          <w:i/>
          <w:iCs/>
          <w:lang w:val="en-US"/>
        </w:rPr>
        <w:t xml:space="preserve"> </w:t>
      </w:r>
      <w:r w:rsidR="00135B88">
        <w:rPr>
          <w:i/>
          <w:iCs/>
          <w:lang w:val="en-US"/>
        </w:rPr>
        <w:t xml:space="preserve">Paragraph 1., </w:t>
      </w:r>
      <w:r w:rsidR="00350963" w:rsidRPr="005E5AF6">
        <w:rPr>
          <w:lang w:val="en-US"/>
        </w:rPr>
        <w:t>amend to read:</w:t>
      </w:r>
    </w:p>
    <w:p w14:paraId="7DB303D9" w14:textId="77777777" w:rsidR="0031607E" w:rsidRPr="00622705" w:rsidRDefault="0031607E" w:rsidP="00097313">
      <w:pPr>
        <w:pStyle w:val="ListParagraph"/>
        <w:adjustRightInd w:val="0"/>
        <w:spacing w:after="120"/>
        <w:ind w:left="2268" w:right="1134" w:hanging="1134"/>
        <w:rPr>
          <w:sz w:val="20"/>
          <w:szCs w:val="20"/>
        </w:rPr>
      </w:pPr>
      <w:r w:rsidRPr="0006586B">
        <w:t>"</w:t>
      </w: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Pr="00622705">
        <w:rPr>
          <w:sz w:val="20"/>
          <w:szCs w:val="20"/>
        </w:rPr>
        <w:t>Specification</w:t>
      </w:r>
    </w:p>
    <w:p w14:paraId="57A78E9F" w14:textId="77777777" w:rsidR="0031607E" w:rsidRPr="005E5AF6" w:rsidRDefault="0031607E" w:rsidP="00097313">
      <w:pPr>
        <w:pStyle w:val="Default"/>
        <w:spacing w:after="120"/>
        <w:ind w:left="2268" w:right="1134" w:hanging="1134"/>
        <w:jc w:val="both"/>
        <w:rPr>
          <w:bCs/>
          <w:sz w:val="20"/>
          <w:szCs w:val="20"/>
          <w:lang w:val="en-US" w:eastAsia="ja-JP"/>
        </w:rPr>
      </w:pPr>
      <w:r w:rsidRPr="005E5AF6">
        <w:rPr>
          <w:sz w:val="20"/>
          <w:szCs w:val="20"/>
          <w:lang w:val="en-US"/>
        </w:rPr>
        <w:t xml:space="preserve">1.1. </w:t>
      </w:r>
      <w:r>
        <w:rPr>
          <w:sz w:val="20"/>
          <w:szCs w:val="20"/>
          <w:lang w:val="en-US"/>
        </w:rPr>
        <w:tab/>
      </w:r>
      <w:r w:rsidRPr="005E5AF6">
        <w:rPr>
          <w:sz w:val="20"/>
          <w:szCs w:val="20"/>
          <w:lang w:val="en-US"/>
        </w:rPr>
        <w:t>General requirements</w:t>
      </w:r>
    </w:p>
    <w:p w14:paraId="52174E17" w14:textId="77777777" w:rsidR="0031607E" w:rsidRPr="005E5AF6" w:rsidRDefault="0031607E" w:rsidP="00097313">
      <w:pPr>
        <w:spacing w:after="120"/>
        <w:ind w:leftChars="1134" w:left="2268" w:right="1110"/>
        <w:jc w:val="both"/>
        <w:rPr>
          <w:rFonts w:eastAsia="MS PGothic"/>
          <w:b/>
          <w:bCs/>
          <w:color w:val="000000"/>
        </w:rPr>
      </w:pPr>
      <w:r w:rsidRPr="005E5AF6">
        <w:rPr>
          <w:b/>
          <w:bCs/>
          <w:color w:val="000000"/>
        </w:rPr>
        <w:t xml:space="preserve">For test and measurement equipment that is compliant with the technical requirements of </w:t>
      </w:r>
      <w:r>
        <w:rPr>
          <w:b/>
          <w:bCs/>
          <w:color w:val="000000"/>
        </w:rPr>
        <w:t>UN Regulation No. 154</w:t>
      </w:r>
      <w:r w:rsidRPr="005E5AF6">
        <w:rPr>
          <w:b/>
          <w:bCs/>
          <w:color w:val="000000"/>
        </w:rPr>
        <w:t xml:space="preserve"> original series or</w:t>
      </w:r>
      <w:r w:rsidRPr="005E5AF6">
        <w:rPr>
          <w:rFonts w:ascii="MS Mincho" w:eastAsia="MS Mincho" w:hAnsi="MS Mincho" w:hint="eastAsia"/>
          <w:b/>
          <w:bCs/>
          <w:color w:val="000000"/>
          <w:lang w:eastAsia="ja-JP"/>
        </w:rPr>
        <w:t xml:space="preserve"> </w:t>
      </w:r>
      <w:r w:rsidRPr="005E5AF6">
        <w:rPr>
          <w:b/>
          <w:bCs/>
          <w:color w:val="000000"/>
        </w:rPr>
        <w:t xml:space="preserve">later version, the requirements on the technical equipment described in </w:t>
      </w:r>
      <w:r>
        <w:rPr>
          <w:b/>
          <w:bCs/>
          <w:color w:val="000000"/>
        </w:rPr>
        <w:t xml:space="preserve">UN Regulation No. 154 </w:t>
      </w:r>
      <w:r w:rsidRPr="005E5AF6">
        <w:rPr>
          <w:b/>
          <w:bCs/>
          <w:color w:val="000000"/>
        </w:rPr>
        <w:t>may be followed, in all other cases the following requirements shall apply:</w:t>
      </w:r>
    </w:p>
    <w:p w14:paraId="37693B7B" w14:textId="77777777" w:rsidR="0031607E" w:rsidRDefault="0031607E" w:rsidP="00097313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>
        <w:rPr>
          <w:rFonts w:eastAsia="MS Mincho"/>
        </w:rPr>
        <w:t xml:space="preserve">1.1.1. </w:t>
      </w:r>
      <w:r>
        <w:rPr>
          <w:rFonts w:eastAsia="MS Mincho"/>
        </w:rPr>
        <w:tab/>
        <w:t>The dynamometer shall be capable of simulating road load within one of the following classifications: ...</w:t>
      </w:r>
      <w:r w:rsidRPr="0006586B">
        <w:rPr>
          <w:rFonts w:eastAsia="MS Mincho"/>
        </w:rPr>
        <w:t>"</w:t>
      </w:r>
    </w:p>
    <w:p w14:paraId="17E6A68B" w14:textId="067BBC12" w:rsidR="00897382" w:rsidRPr="005E5AF6" w:rsidRDefault="00897382" w:rsidP="00897382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FF1E3E">
        <w:rPr>
          <w:rFonts w:eastAsia="MS Mincho"/>
          <w:bCs/>
          <w:i/>
          <w:iCs/>
        </w:rPr>
        <w:t xml:space="preserve">Appendix </w:t>
      </w:r>
      <w:r>
        <w:rPr>
          <w:rFonts w:eastAsia="MS Mincho"/>
          <w:bCs/>
          <w:i/>
          <w:iCs/>
        </w:rPr>
        <w:t>2</w:t>
      </w:r>
      <w:r>
        <w:rPr>
          <w:i/>
          <w:iCs/>
          <w:lang w:val="en-US"/>
        </w:rPr>
        <w:t>,</w:t>
      </w:r>
      <w:r w:rsidRPr="005E5AF6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Paragraph 1.2., </w:t>
      </w:r>
      <w:r w:rsidRPr="005E5AF6">
        <w:rPr>
          <w:lang w:val="en-US"/>
        </w:rPr>
        <w:t>amend to read:</w:t>
      </w:r>
    </w:p>
    <w:p w14:paraId="1723397B" w14:textId="77777777" w:rsidR="0031607E" w:rsidRPr="00166593" w:rsidRDefault="0031607E" w:rsidP="00A40ED2">
      <w:pPr>
        <w:pStyle w:val="Default"/>
        <w:spacing w:after="120"/>
        <w:ind w:left="2268" w:right="1110" w:hanging="1134"/>
        <w:jc w:val="both"/>
        <w:rPr>
          <w:sz w:val="20"/>
          <w:szCs w:val="20"/>
          <w:lang w:val="en-US"/>
        </w:rPr>
      </w:pPr>
      <w:r w:rsidRPr="00622705">
        <w:rPr>
          <w:lang w:val="en-US"/>
        </w:rPr>
        <w:t>"</w:t>
      </w:r>
      <w:r w:rsidRPr="00166593">
        <w:rPr>
          <w:sz w:val="20"/>
          <w:szCs w:val="20"/>
          <w:lang w:val="en-US"/>
        </w:rPr>
        <w:t xml:space="preserve">1.2. </w:t>
      </w:r>
      <w:r>
        <w:rPr>
          <w:sz w:val="20"/>
          <w:szCs w:val="20"/>
          <w:lang w:val="en-US"/>
        </w:rPr>
        <w:tab/>
      </w:r>
      <w:r w:rsidRPr="00166593">
        <w:rPr>
          <w:sz w:val="20"/>
          <w:szCs w:val="20"/>
          <w:lang w:val="en-US"/>
        </w:rPr>
        <w:t>General requirements</w:t>
      </w:r>
    </w:p>
    <w:p w14:paraId="263B9F32" w14:textId="77777777" w:rsidR="00135B88" w:rsidRDefault="0031607E" w:rsidP="00A40ED2">
      <w:pPr>
        <w:spacing w:after="120"/>
        <w:ind w:leftChars="1134" w:left="2268" w:right="1110"/>
        <w:jc w:val="both"/>
        <w:rPr>
          <w:b/>
          <w:bCs/>
          <w:color w:val="000000"/>
        </w:rPr>
      </w:pPr>
      <w:r w:rsidRPr="005E5AF6">
        <w:rPr>
          <w:b/>
          <w:bCs/>
          <w:color w:val="000000"/>
        </w:rPr>
        <w:t xml:space="preserve">For test and measurement equipment that is compliant with the technical requirements of </w:t>
      </w:r>
      <w:r>
        <w:rPr>
          <w:b/>
          <w:bCs/>
          <w:color w:val="000000"/>
        </w:rPr>
        <w:t>UN Regulation No. 154</w:t>
      </w:r>
      <w:r w:rsidRPr="005E5AF6">
        <w:rPr>
          <w:b/>
          <w:bCs/>
          <w:color w:val="000000"/>
        </w:rPr>
        <w:t xml:space="preserve"> original series or</w:t>
      </w:r>
      <w:r w:rsidRPr="005E5AF6">
        <w:rPr>
          <w:rFonts w:ascii="MS Mincho" w:eastAsia="MS Mincho" w:hAnsi="MS Mincho" w:hint="eastAsia"/>
          <w:b/>
          <w:bCs/>
          <w:color w:val="000000"/>
          <w:lang w:eastAsia="ja-JP"/>
        </w:rPr>
        <w:t xml:space="preserve"> </w:t>
      </w:r>
      <w:r w:rsidRPr="005E5AF6">
        <w:rPr>
          <w:b/>
          <w:bCs/>
          <w:color w:val="000000"/>
        </w:rPr>
        <w:t xml:space="preserve">later version, the requirements on the technical equipment described in </w:t>
      </w:r>
      <w:r>
        <w:rPr>
          <w:b/>
          <w:bCs/>
          <w:color w:val="000000"/>
        </w:rPr>
        <w:t xml:space="preserve">UN Regulation No. 154 </w:t>
      </w:r>
      <w:r w:rsidRPr="005E5AF6">
        <w:rPr>
          <w:b/>
          <w:bCs/>
          <w:color w:val="000000"/>
        </w:rPr>
        <w:t>may be followed, in all other cases the following requirements shall apply:</w:t>
      </w:r>
    </w:p>
    <w:p w14:paraId="3D60D7E9" w14:textId="1EF75B13" w:rsidR="0031607E" w:rsidRPr="00505A79" w:rsidRDefault="00135B88" w:rsidP="00A40ED2">
      <w:pPr>
        <w:spacing w:after="120"/>
        <w:ind w:leftChars="1134" w:left="2268" w:right="1111"/>
        <w:jc w:val="both"/>
        <w:rPr>
          <w:rFonts w:eastAsia="MS PGothic"/>
          <w:color w:val="000000"/>
        </w:rPr>
      </w:pPr>
      <w:r w:rsidRPr="00505A79">
        <w:rPr>
          <w:color w:val="000000"/>
        </w:rPr>
        <w:t>…</w:t>
      </w:r>
      <w:r w:rsidR="0031607E" w:rsidRPr="00505A79">
        <w:rPr>
          <w:rFonts w:eastAsia="MS Mincho"/>
        </w:rPr>
        <w:t>"</w:t>
      </w:r>
    </w:p>
    <w:p w14:paraId="6DA9A0A8" w14:textId="7FBBF138" w:rsidR="00A40ED2" w:rsidRPr="005E5AF6" w:rsidRDefault="00A40ED2" w:rsidP="00A40ED2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FF1E3E">
        <w:rPr>
          <w:rFonts w:eastAsia="MS Mincho"/>
          <w:bCs/>
          <w:i/>
          <w:iCs/>
        </w:rPr>
        <w:t xml:space="preserve">Appendix </w:t>
      </w:r>
      <w:r>
        <w:rPr>
          <w:rFonts w:eastAsia="MS Mincho"/>
          <w:bCs/>
          <w:i/>
          <w:iCs/>
        </w:rPr>
        <w:t>3</w:t>
      </w:r>
      <w:r>
        <w:rPr>
          <w:i/>
          <w:iCs/>
          <w:lang w:val="en-US"/>
        </w:rPr>
        <w:t>,</w:t>
      </w:r>
      <w:r w:rsidRPr="005E5AF6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Paragraph 1., </w:t>
      </w:r>
      <w:r w:rsidRPr="005E5AF6">
        <w:rPr>
          <w:lang w:val="en-US"/>
        </w:rPr>
        <w:t>amend to read:</w:t>
      </w:r>
    </w:p>
    <w:p w14:paraId="46DDDFDC" w14:textId="77777777" w:rsidR="0031607E" w:rsidRPr="00166593" w:rsidRDefault="0031607E" w:rsidP="00A40ED2">
      <w:pPr>
        <w:pStyle w:val="Default"/>
        <w:spacing w:after="120"/>
        <w:ind w:left="2268" w:right="1110" w:hanging="1134"/>
        <w:jc w:val="both"/>
        <w:rPr>
          <w:bCs/>
          <w:sz w:val="20"/>
          <w:szCs w:val="20"/>
          <w:lang w:val="en-US"/>
        </w:rPr>
      </w:pPr>
      <w:r w:rsidRPr="00622705">
        <w:rPr>
          <w:lang w:val="en-US"/>
        </w:rPr>
        <w:t>"</w:t>
      </w:r>
      <w:r w:rsidRPr="00166593"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  <w:lang w:val="en-US"/>
        </w:rPr>
        <w:tab/>
      </w:r>
      <w:r w:rsidRPr="00166593">
        <w:rPr>
          <w:sz w:val="20"/>
          <w:szCs w:val="20"/>
          <w:lang w:val="en-US"/>
        </w:rPr>
        <w:t>Specification</w:t>
      </w:r>
    </w:p>
    <w:p w14:paraId="78C39F09" w14:textId="77777777" w:rsidR="00A40ED2" w:rsidRDefault="0031607E" w:rsidP="00A40ED2">
      <w:pPr>
        <w:spacing w:after="120"/>
        <w:ind w:leftChars="1134" w:left="2268" w:right="1110"/>
        <w:jc w:val="both"/>
        <w:rPr>
          <w:b/>
          <w:bCs/>
          <w:color w:val="000000"/>
        </w:rPr>
      </w:pPr>
      <w:r w:rsidRPr="005E5AF6">
        <w:rPr>
          <w:b/>
          <w:bCs/>
          <w:color w:val="000000"/>
        </w:rPr>
        <w:t xml:space="preserve">For test and measurement equipment that is compliant with the technical requirements of </w:t>
      </w:r>
      <w:r>
        <w:rPr>
          <w:b/>
          <w:bCs/>
          <w:color w:val="000000"/>
        </w:rPr>
        <w:t>UN Regulation No. 154</w:t>
      </w:r>
      <w:r w:rsidRPr="005E5AF6">
        <w:rPr>
          <w:b/>
          <w:bCs/>
          <w:color w:val="000000"/>
        </w:rPr>
        <w:t xml:space="preserve"> original series or</w:t>
      </w:r>
      <w:r w:rsidRPr="005E5AF6">
        <w:rPr>
          <w:rFonts w:ascii="MS Mincho" w:eastAsia="MS Mincho" w:hAnsi="MS Mincho" w:hint="eastAsia"/>
          <w:b/>
          <w:bCs/>
          <w:color w:val="000000"/>
          <w:lang w:eastAsia="ja-JP"/>
        </w:rPr>
        <w:t xml:space="preserve"> </w:t>
      </w:r>
      <w:r w:rsidRPr="005E5AF6">
        <w:rPr>
          <w:b/>
          <w:bCs/>
          <w:color w:val="000000"/>
        </w:rPr>
        <w:t xml:space="preserve">later version, the requirements on the technical equipment described in </w:t>
      </w:r>
      <w:r>
        <w:rPr>
          <w:b/>
          <w:bCs/>
          <w:color w:val="000000"/>
        </w:rPr>
        <w:t xml:space="preserve">UN Regulation No. 154 </w:t>
      </w:r>
      <w:r w:rsidRPr="005E5AF6">
        <w:rPr>
          <w:b/>
          <w:bCs/>
          <w:color w:val="000000"/>
        </w:rPr>
        <w:t>may be followed, in all other cases the following requirements shall apply:</w:t>
      </w:r>
    </w:p>
    <w:p w14:paraId="48E1DF07" w14:textId="1025DB15" w:rsidR="0031607E" w:rsidRPr="00505A79" w:rsidRDefault="00A40ED2" w:rsidP="00A40ED2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505A79">
        <w:rPr>
          <w:color w:val="000000"/>
        </w:rPr>
        <w:t>…</w:t>
      </w:r>
      <w:r w:rsidR="0031607E" w:rsidRPr="00505A79">
        <w:rPr>
          <w:rFonts w:eastAsia="MS Mincho"/>
        </w:rPr>
        <w:t>"</w:t>
      </w:r>
    </w:p>
    <w:p w14:paraId="7363CB31" w14:textId="10FAA939" w:rsidR="00445FDB" w:rsidRPr="005E5AF6" w:rsidRDefault="00445FDB" w:rsidP="00445FDB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FF1E3E">
        <w:rPr>
          <w:rFonts w:eastAsia="MS Mincho"/>
          <w:bCs/>
          <w:i/>
          <w:iCs/>
        </w:rPr>
        <w:t xml:space="preserve">Appendix </w:t>
      </w:r>
      <w:r>
        <w:rPr>
          <w:rFonts w:eastAsia="MS Mincho"/>
          <w:bCs/>
          <w:i/>
          <w:iCs/>
        </w:rPr>
        <w:t>4</w:t>
      </w:r>
      <w:r>
        <w:rPr>
          <w:i/>
          <w:iCs/>
          <w:lang w:val="en-US"/>
        </w:rPr>
        <w:t>,</w:t>
      </w:r>
      <w:r w:rsidRPr="005E5AF6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Paragraph 1., </w:t>
      </w:r>
      <w:r w:rsidRPr="005E5AF6">
        <w:rPr>
          <w:lang w:val="en-US"/>
        </w:rPr>
        <w:t>amend to read:</w:t>
      </w:r>
    </w:p>
    <w:p w14:paraId="755EA72F" w14:textId="77777777" w:rsidR="0031607E" w:rsidRPr="00166593" w:rsidRDefault="0031607E" w:rsidP="00A40ED2">
      <w:pPr>
        <w:pStyle w:val="Default"/>
        <w:spacing w:after="120"/>
        <w:ind w:left="2268" w:right="1110" w:hanging="1134"/>
        <w:jc w:val="both"/>
        <w:rPr>
          <w:bCs/>
          <w:sz w:val="20"/>
          <w:szCs w:val="20"/>
          <w:lang w:val="en-US"/>
        </w:rPr>
      </w:pPr>
      <w:r w:rsidRPr="00622705">
        <w:rPr>
          <w:lang w:val="en-US"/>
        </w:rPr>
        <w:t>"</w:t>
      </w:r>
      <w:r w:rsidRPr="00166593"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  <w:lang w:val="en-US"/>
        </w:rPr>
        <w:tab/>
      </w:r>
      <w:r w:rsidRPr="00166593">
        <w:rPr>
          <w:sz w:val="20"/>
          <w:szCs w:val="20"/>
          <w:lang w:val="en-US"/>
        </w:rPr>
        <w:t>Specification</w:t>
      </w:r>
    </w:p>
    <w:p w14:paraId="20F27AD2" w14:textId="77777777" w:rsidR="004D5C4A" w:rsidRDefault="0031607E" w:rsidP="00A40ED2">
      <w:pPr>
        <w:spacing w:after="120"/>
        <w:ind w:leftChars="1134" w:left="2268" w:right="1110"/>
        <w:jc w:val="both"/>
        <w:rPr>
          <w:b/>
          <w:bCs/>
          <w:color w:val="000000"/>
        </w:rPr>
      </w:pPr>
      <w:r w:rsidRPr="005E5AF6">
        <w:rPr>
          <w:b/>
          <w:bCs/>
          <w:color w:val="000000"/>
        </w:rPr>
        <w:t xml:space="preserve">For test and measurement equipment that is compliant with the technical requirements of </w:t>
      </w:r>
      <w:r>
        <w:rPr>
          <w:b/>
          <w:bCs/>
          <w:color w:val="000000"/>
        </w:rPr>
        <w:t>UN Regulation No. 154</w:t>
      </w:r>
      <w:r w:rsidRPr="005E5AF6">
        <w:rPr>
          <w:b/>
          <w:bCs/>
          <w:color w:val="000000"/>
        </w:rPr>
        <w:t xml:space="preserve"> original series or</w:t>
      </w:r>
      <w:r w:rsidRPr="005E5AF6">
        <w:rPr>
          <w:rFonts w:ascii="MS Mincho" w:eastAsia="MS Mincho" w:hAnsi="MS Mincho" w:hint="eastAsia"/>
          <w:b/>
          <w:bCs/>
          <w:color w:val="000000"/>
          <w:lang w:eastAsia="ja-JP"/>
        </w:rPr>
        <w:t xml:space="preserve"> </w:t>
      </w:r>
      <w:r w:rsidRPr="005E5AF6">
        <w:rPr>
          <w:b/>
          <w:bCs/>
          <w:color w:val="000000"/>
        </w:rPr>
        <w:t xml:space="preserve">later version, the requirements on the technical equipment described in </w:t>
      </w:r>
      <w:r>
        <w:rPr>
          <w:b/>
          <w:bCs/>
          <w:color w:val="000000"/>
        </w:rPr>
        <w:t xml:space="preserve">UN Regulation No. 154 </w:t>
      </w:r>
      <w:r w:rsidRPr="005E5AF6">
        <w:rPr>
          <w:b/>
          <w:bCs/>
          <w:color w:val="000000"/>
        </w:rPr>
        <w:t>may be followed, in all other cases the following requirements shall apply:</w:t>
      </w:r>
    </w:p>
    <w:p w14:paraId="4B40B873" w14:textId="63AF1692" w:rsidR="0031607E" w:rsidRPr="00505A79" w:rsidRDefault="004D5C4A" w:rsidP="00A40ED2">
      <w:pPr>
        <w:spacing w:after="120"/>
        <w:ind w:leftChars="1134" w:left="2268" w:right="1110"/>
        <w:jc w:val="both"/>
        <w:rPr>
          <w:rFonts w:eastAsia="MS PGothic"/>
          <w:color w:val="000000"/>
        </w:rPr>
      </w:pPr>
      <w:r w:rsidRPr="00505A79">
        <w:rPr>
          <w:color w:val="000000"/>
        </w:rPr>
        <w:t>…</w:t>
      </w:r>
      <w:r w:rsidR="0031607E" w:rsidRPr="00505A79">
        <w:rPr>
          <w:rFonts w:eastAsia="MS Mincho"/>
        </w:rPr>
        <w:t>"</w:t>
      </w:r>
    </w:p>
    <w:p w14:paraId="7449FED3" w14:textId="79175115" w:rsidR="004D5C4A" w:rsidRPr="005E5AF6" w:rsidRDefault="004D5C4A" w:rsidP="004D5C4A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FF1E3E">
        <w:rPr>
          <w:rFonts w:eastAsia="MS Mincho"/>
          <w:bCs/>
          <w:i/>
          <w:iCs/>
        </w:rPr>
        <w:t xml:space="preserve">Appendix </w:t>
      </w:r>
      <w:r>
        <w:rPr>
          <w:rFonts w:eastAsia="MS Mincho"/>
          <w:bCs/>
          <w:i/>
          <w:iCs/>
        </w:rPr>
        <w:t>5</w:t>
      </w:r>
      <w:r>
        <w:rPr>
          <w:i/>
          <w:iCs/>
          <w:lang w:val="en-US"/>
        </w:rPr>
        <w:t>,</w:t>
      </w:r>
      <w:r w:rsidRPr="005E5AF6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Paragraph 1., </w:t>
      </w:r>
      <w:r w:rsidRPr="005E5AF6">
        <w:rPr>
          <w:lang w:val="en-US"/>
        </w:rPr>
        <w:t>amend to read:</w:t>
      </w:r>
    </w:p>
    <w:p w14:paraId="4D0258DE" w14:textId="77777777" w:rsidR="0031607E" w:rsidRPr="00166593" w:rsidRDefault="0031607E" w:rsidP="00A40ED2">
      <w:pPr>
        <w:pStyle w:val="Default"/>
        <w:spacing w:after="120"/>
        <w:ind w:left="2268" w:right="1110" w:hanging="1134"/>
        <w:jc w:val="both"/>
        <w:rPr>
          <w:bCs/>
          <w:sz w:val="20"/>
          <w:szCs w:val="20"/>
          <w:lang w:val="en-US"/>
        </w:rPr>
      </w:pPr>
      <w:r w:rsidRPr="00622705">
        <w:rPr>
          <w:lang w:val="en-US"/>
        </w:rPr>
        <w:t>"</w:t>
      </w:r>
      <w:r w:rsidRPr="00166593"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  <w:lang w:val="en-US"/>
        </w:rPr>
        <w:tab/>
      </w:r>
      <w:r w:rsidRPr="00166593">
        <w:rPr>
          <w:sz w:val="20"/>
          <w:szCs w:val="20"/>
          <w:lang w:val="en-US"/>
        </w:rPr>
        <w:t>Specification</w:t>
      </w:r>
    </w:p>
    <w:p w14:paraId="125F13E3" w14:textId="77777777" w:rsidR="004D5C4A" w:rsidRDefault="0031607E" w:rsidP="00A40ED2">
      <w:pPr>
        <w:spacing w:after="120"/>
        <w:ind w:leftChars="1134" w:left="2268" w:right="1110"/>
        <w:jc w:val="both"/>
        <w:rPr>
          <w:b/>
          <w:bCs/>
          <w:color w:val="000000"/>
        </w:rPr>
      </w:pPr>
      <w:r w:rsidRPr="005E5AF6">
        <w:rPr>
          <w:b/>
          <w:bCs/>
          <w:color w:val="000000"/>
        </w:rPr>
        <w:t xml:space="preserve">For test and measurement equipment that is compliant with the technical requirements of </w:t>
      </w:r>
      <w:r>
        <w:rPr>
          <w:b/>
          <w:bCs/>
          <w:color w:val="000000"/>
        </w:rPr>
        <w:t>UN Regulation No. 154</w:t>
      </w:r>
      <w:r w:rsidRPr="005E5AF6">
        <w:rPr>
          <w:b/>
          <w:bCs/>
          <w:color w:val="000000"/>
        </w:rPr>
        <w:t xml:space="preserve"> original series or</w:t>
      </w:r>
      <w:r w:rsidRPr="005E5AF6">
        <w:rPr>
          <w:rFonts w:ascii="MS Mincho" w:eastAsia="MS Mincho" w:hAnsi="MS Mincho" w:hint="eastAsia"/>
          <w:b/>
          <w:bCs/>
          <w:color w:val="000000"/>
          <w:lang w:eastAsia="ja-JP"/>
        </w:rPr>
        <w:t xml:space="preserve"> </w:t>
      </w:r>
      <w:r w:rsidRPr="005E5AF6">
        <w:rPr>
          <w:b/>
          <w:bCs/>
          <w:color w:val="000000"/>
        </w:rPr>
        <w:t xml:space="preserve">later version, the requirements on the technical equipment described in </w:t>
      </w:r>
      <w:r>
        <w:rPr>
          <w:b/>
          <w:bCs/>
          <w:color w:val="000000"/>
        </w:rPr>
        <w:t xml:space="preserve">UN Regulation No. 154 </w:t>
      </w:r>
      <w:r w:rsidRPr="005E5AF6">
        <w:rPr>
          <w:b/>
          <w:bCs/>
          <w:color w:val="000000"/>
        </w:rPr>
        <w:t>may be followed, in all other cases the following requirements shall apply:</w:t>
      </w:r>
    </w:p>
    <w:p w14:paraId="6E18155C" w14:textId="483131D3" w:rsidR="0031607E" w:rsidRPr="00505A79" w:rsidRDefault="004D5C4A" w:rsidP="00A40ED2">
      <w:pPr>
        <w:spacing w:after="120"/>
        <w:ind w:leftChars="1134" w:left="2268" w:right="1110"/>
        <w:jc w:val="both"/>
        <w:rPr>
          <w:rFonts w:eastAsia="Yu Gothic"/>
          <w:color w:val="000000" w:themeColor="text1"/>
          <w:kern w:val="2"/>
          <w:lang w:eastAsia="ja-JP"/>
        </w:rPr>
      </w:pPr>
      <w:r w:rsidRPr="00505A79">
        <w:rPr>
          <w:color w:val="000000"/>
        </w:rPr>
        <w:t>…</w:t>
      </w:r>
      <w:r w:rsidR="0031607E" w:rsidRPr="00505A79">
        <w:rPr>
          <w:rFonts w:eastAsia="MS Mincho"/>
        </w:rPr>
        <w:t>"</w:t>
      </w:r>
    </w:p>
    <w:p w14:paraId="08F5457F" w14:textId="39D9FA2F" w:rsidR="004D5C4A" w:rsidRPr="005E5AF6" w:rsidRDefault="004D5C4A" w:rsidP="004D5C4A">
      <w:pPr>
        <w:adjustRightInd w:val="0"/>
        <w:spacing w:after="120"/>
        <w:ind w:left="1134" w:right="1134"/>
        <w:jc w:val="both"/>
        <w:rPr>
          <w:rFonts w:eastAsia="MS Mincho"/>
          <w:bCs/>
        </w:rPr>
      </w:pPr>
      <w:r w:rsidRPr="00FF1E3E">
        <w:rPr>
          <w:rFonts w:eastAsia="MS Mincho"/>
          <w:bCs/>
          <w:i/>
          <w:iCs/>
        </w:rPr>
        <w:t xml:space="preserve">Appendix </w:t>
      </w:r>
      <w:r>
        <w:rPr>
          <w:rFonts w:eastAsia="MS Mincho"/>
          <w:bCs/>
          <w:i/>
          <w:iCs/>
        </w:rPr>
        <w:t>6</w:t>
      </w:r>
      <w:r>
        <w:rPr>
          <w:i/>
          <w:iCs/>
          <w:lang w:val="en-US"/>
        </w:rPr>
        <w:t>,</w:t>
      </w:r>
      <w:r w:rsidRPr="005E5AF6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Paragraph 1., </w:t>
      </w:r>
      <w:r w:rsidRPr="005E5AF6">
        <w:rPr>
          <w:lang w:val="en-US"/>
        </w:rPr>
        <w:t>amend to read:</w:t>
      </w:r>
    </w:p>
    <w:p w14:paraId="01C880E0" w14:textId="77777777" w:rsidR="0031607E" w:rsidRPr="00166593" w:rsidRDefault="0031607E" w:rsidP="00A40ED2">
      <w:pPr>
        <w:adjustRightInd w:val="0"/>
        <w:spacing w:after="120"/>
        <w:ind w:left="2268" w:right="1110" w:hanging="1134"/>
        <w:jc w:val="both"/>
        <w:rPr>
          <w:rFonts w:eastAsia="MS Mincho"/>
        </w:rPr>
      </w:pPr>
      <w:r w:rsidRPr="00622705">
        <w:rPr>
          <w:rFonts w:eastAsia="MS Mincho"/>
        </w:rPr>
        <w:t>"</w:t>
      </w:r>
      <w:r w:rsidRPr="00166593">
        <w:t>1.</w:t>
      </w:r>
      <w:r w:rsidRPr="00166593">
        <w:rPr>
          <w:rFonts w:eastAsia="MS Mincho"/>
        </w:rPr>
        <w:t xml:space="preserve"> </w:t>
      </w:r>
      <w:r>
        <w:rPr>
          <w:rFonts w:eastAsia="MS Mincho"/>
        </w:rPr>
        <w:tab/>
      </w:r>
      <w:r w:rsidRPr="00166593">
        <w:rPr>
          <w:rFonts w:eastAsia="MS Mincho"/>
        </w:rPr>
        <w:t>Object</w:t>
      </w:r>
    </w:p>
    <w:p w14:paraId="0404C11C" w14:textId="77777777" w:rsidR="0031607E" w:rsidRPr="00166593" w:rsidRDefault="0031607E" w:rsidP="00A40ED2">
      <w:pPr>
        <w:adjustRightInd w:val="0"/>
        <w:spacing w:after="120"/>
        <w:ind w:leftChars="1134" w:left="2268" w:right="1110"/>
        <w:jc w:val="both"/>
        <w:rPr>
          <w:rFonts w:eastAsia="MS Mincho"/>
        </w:rPr>
      </w:pPr>
      <w:r w:rsidRPr="00166593">
        <w:rPr>
          <w:rFonts w:eastAsia="MS Mincho"/>
        </w:rPr>
        <w:lastRenderedPageBreak/>
        <w:t>The method described in this appendix makes it possible to check that the</w:t>
      </w:r>
      <w:r w:rsidRPr="00166593">
        <w:rPr>
          <w:rFonts w:eastAsia="MS Mincho"/>
          <w:lang w:eastAsia="ja-JP"/>
        </w:rPr>
        <w:t xml:space="preserve"> </w:t>
      </w:r>
      <w:r w:rsidRPr="00166593">
        <w:rPr>
          <w:rFonts w:eastAsia="MS Mincho"/>
        </w:rPr>
        <w:t>simulated total inertia of the dynamometer is carried out satisfactorily in the</w:t>
      </w:r>
      <w:r w:rsidRPr="00166593">
        <w:rPr>
          <w:rFonts w:eastAsia="MS Mincho"/>
          <w:lang w:eastAsia="ja-JP"/>
        </w:rPr>
        <w:t xml:space="preserve"> </w:t>
      </w:r>
      <w:r w:rsidRPr="00166593">
        <w:rPr>
          <w:rFonts w:eastAsia="MS Mincho"/>
        </w:rPr>
        <w:t>running phase of the operating cycle. The manufacturer of the dynamometer</w:t>
      </w:r>
      <w:r w:rsidRPr="00166593">
        <w:rPr>
          <w:rFonts w:eastAsia="MS Mincho"/>
          <w:lang w:eastAsia="ja-JP"/>
        </w:rPr>
        <w:t xml:space="preserve"> </w:t>
      </w:r>
      <w:r w:rsidRPr="00166593">
        <w:rPr>
          <w:rFonts w:eastAsia="MS Mincho"/>
        </w:rPr>
        <w:t>shall specify a method for verifying the specifications according to paragraph 3. of this appendix.</w:t>
      </w:r>
    </w:p>
    <w:p w14:paraId="4570F756" w14:textId="77777777" w:rsidR="0031607E" w:rsidRPr="00166593" w:rsidRDefault="0031607E" w:rsidP="00A40ED2">
      <w:pPr>
        <w:pStyle w:val="SingleTxtG"/>
        <w:ind w:leftChars="1134" w:left="2268" w:right="1110"/>
        <w:rPr>
          <w:rFonts w:eastAsia="MS Mincho"/>
          <w:b/>
        </w:rPr>
      </w:pPr>
      <w:r w:rsidRPr="00166593">
        <w:rPr>
          <w:rFonts w:eastAsia="MS Mincho"/>
          <w:b/>
        </w:rPr>
        <w:t xml:space="preserve">In case of the equipment that meets </w:t>
      </w:r>
      <w:r>
        <w:rPr>
          <w:rFonts w:eastAsia="MS Mincho"/>
          <w:b/>
        </w:rPr>
        <w:t>UN Regulation No. 154</w:t>
      </w:r>
      <w:r w:rsidRPr="00166593">
        <w:rPr>
          <w:rFonts w:eastAsia="MS Mincho"/>
          <w:b/>
        </w:rPr>
        <w:t xml:space="preserve"> requirements, this application may not </w:t>
      </w:r>
      <w:r>
        <w:rPr>
          <w:rFonts w:eastAsia="MS Mincho" w:hint="eastAsia"/>
          <w:b/>
          <w:lang w:eastAsia="ja-JP"/>
        </w:rPr>
        <w:t>b</w:t>
      </w:r>
      <w:r>
        <w:rPr>
          <w:rFonts w:eastAsia="MS Mincho"/>
          <w:b/>
          <w:lang w:eastAsia="ja-JP"/>
        </w:rPr>
        <w:t xml:space="preserve">e </w:t>
      </w:r>
      <w:r>
        <w:rPr>
          <w:rFonts w:eastAsia="MS Mincho"/>
          <w:b/>
        </w:rPr>
        <w:t>required</w:t>
      </w:r>
      <w:r w:rsidRPr="00166593">
        <w:rPr>
          <w:rFonts w:eastAsia="MS Mincho"/>
          <w:b/>
        </w:rPr>
        <w:t>.</w:t>
      </w:r>
      <w:r w:rsidRPr="00622705">
        <w:rPr>
          <w:rFonts w:eastAsia="MS Mincho"/>
          <w:lang w:val="en-US"/>
        </w:rPr>
        <w:t>"</w:t>
      </w:r>
    </w:p>
    <w:p w14:paraId="1F946C3D" w14:textId="77777777" w:rsidR="006F2DE1" w:rsidRDefault="00211DD7" w:rsidP="002C0E08">
      <w:pPr>
        <w:pStyle w:val="SingleTxtG"/>
        <w:ind w:leftChars="515" w:left="1030" w:right="1110"/>
        <w:rPr>
          <w:i/>
          <w:iCs/>
          <w:lang w:val="en-US"/>
        </w:rPr>
      </w:pPr>
      <w:r>
        <w:rPr>
          <w:i/>
          <w:iCs/>
          <w:lang w:val="en-US"/>
        </w:rPr>
        <w:t>Annex 7</w:t>
      </w:r>
    </w:p>
    <w:p w14:paraId="7A47D600" w14:textId="266801AD" w:rsidR="0031607E" w:rsidRPr="001A13AC" w:rsidRDefault="0031607E" w:rsidP="002C0E08">
      <w:pPr>
        <w:pStyle w:val="SingleTxtG"/>
        <w:ind w:leftChars="515" w:left="1030" w:right="1110"/>
        <w:rPr>
          <w:lang w:val="en-US"/>
        </w:rPr>
      </w:pPr>
      <w:r>
        <w:rPr>
          <w:i/>
          <w:iCs/>
          <w:lang w:val="en-US"/>
        </w:rPr>
        <w:t>P</w:t>
      </w:r>
      <w:r w:rsidRPr="001A13AC">
        <w:rPr>
          <w:i/>
          <w:iCs/>
          <w:lang w:val="en-US"/>
        </w:rPr>
        <w:t>aragraph 4</w:t>
      </w:r>
      <w:r w:rsidR="00FD0B6E">
        <w:rPr>
          <w:i/>
          <w:iCs/>
          <w:lang w:val="en-US"/>
        </w:rPr>
        <w:t>.</w:t>
      </w:r>
      <w:r w:rsidR="0055750C">
        <w:rPr>
          <w:i/>
          <w:iCs/>
          <w:lang w:val="en-US"/>
        </w:rPr>
        <w:t>,</w:t>
      </w:r>
      <w:r>
        <w:rPr>
          <w:i/>
          <w:iCs/>
          <w:lang w:val="en-US"/>
        </w:rPr>
        <w:t xml:space="preserve"> </w:t>
      </w:r>
      <w:r w:rsidRPr="001A13AC">
        <w:rPr>
          <w:lang w:val="en-US"/>
        </w:rPr>
        <w:t>amend to read:</w:t>
      </w:r>
    </w:p>
    <w:p w14:paraId="30E9C579" w14:textId="77777777" w:rsidR="0031607E" w:rsidRPr="001A13AC" w:rsidRDefault="0031607E" w:rsidP="00A40ED2">
      <w:pPr>
        <w:pStyle w:val="SingleTxtG"/>
        <w:ind w:left="2268" w:right="1110" w:hanging="1134"/>
        <w:rPr>
          <w:i/>
          <w:iCs/>
          <w:lang w:val="en-US"/>
        </w:rPr>
      </w:pPr>
      <w:r w:rsidRPr="001A13AC">
        <w:rPr>
          <w:rFonts w:eastAsia="MS Mincho"/>
          <w:lang w:val="en-US"/>
        </w:rPr>
        <w:t>"</w:t>
      </w:r>
      <w:r w:rsidRPr="001A13AC">
        <w:rPr>
          <w:rFonts w:eastAsia="MS Mincho"/>
        </w:rPr>
        <w:t xml:space="preserve">4. </w:t>
      </w:r>
      <w:r w:rsidRPr="001A13AC">
        <w:rPr>
          <w:rFonts w:eastAsia="MS Mincho"/>
        </w:rPr>
        <w:tab/>
        <w:t>Test equipment for evaporative test</w:t>
      </w:r>
    </w:p>
    <w:p w14:paraId="13497605" w14:textId="5FD0A7C5" w:rsidR="0031607E" w:rsidRPr="009B01AB" w:rsidRDefault="0031607E" w:rsidP="00A40ED2">
      <w:pPr>
        <w:spacing w:after="120"/>
        <w:ind w:leftChars="1134" w:left="2268" w:right="1110" w:firstLine="1"/>
        <w:jc w:val="both"/>
        <w:rPr>
          <w:rFonts w:eastAsia="Yu Gothic"/>
          <w:b/>
          <w:color w:val="000000" w:themeColor="text1"/>
          <w:kern w:val="2"/>
          <w:lang w:eastAsia="ja-JP"/>
        </w:rPr>
      </w:pPr>
      <w:r w:rsidRPr="001A13AC">
        <w:rPr>
          <w:b/>
          <w:bCs/>
          <w:color w:val="000000"/>
        </w:rPr>
        <w:t xml:space="preserve">For test and measurement equipment that is compliant with the technical requirements of </w:t>
      </w:r>
      <w:r>
        <w:rPr>
          <w:b/>
          <w:bCs/>
          <w:color w:val="000000"/>
        </w:rPr>
        <w:t>UN Regulation No. 154</w:t>
      </w:r>
      <w:r w:rsidRPr="001A13AC">
        <w:rPr>
          <w:b/>
          <w:bCs/>
          <w:color w:val="000000"/>
        </w:rPr>
        <w:t xml:space="preserve"> original series or</w:t>
      </w:r>
      <w:r w:rsidRPr="001A13AC">
        <w:rPr>
          <w:rFonts w:eastAsia="MS Mincho"/>
          <w:b/>
          <w:bCs/>
          <w:color w:val="000000"/>
          <w:lang w:eastAsia="ja-JP"/>
        </w:rPr>
        <w:t xml:space="preserve"> </w:t>
      </w:r>
      <w:r w:rsidRPr="001A13AC">
        <w:rPr>
          <w:b/>
          <w:bCs/>
          <w:color w:val="000000"/>
        </w:rPr>
        <w:t xml:space="preserve">later version, the requirements on the technical equipment described in </w:t>
      </w:r>
      <w:r>
        <w:rPr>
          <w:b/>
          <w:bCs/>
          <w:color w:val="000000"/>
        </w:rPr>
        <w:t xml:space="preserve">UN Regulation </w:t>
      </w:r>
      <w:r w:rsidR="0026283D">
        <w:rPr>
          <w:b/>
          <w:bCs/>
          <w:color w:val="000000"/>
        </w:rPr>
        <w:br/>
      </w:r>
      <w:r>
        <w:rPr>
          <w:b/>
          <w:bCs/>
          <w:color w:val="000000"/>
        </w:rPr>
        <w:t xml:space="preserve">No. 154 </w:t>
      </w:r>
      <w:r w:rsidRPr="001A13AC">
        <w:rPr>
          <w:b/>
          <w:bCs/>
          <w:color w:val="000000"/>
        </w:rPr>
        <w:t>may be followed, in all other cases the following requirements shall apply:</w:t>
      </w:r>
    </w:p>
    <w:p w14:paraId="5C1CF648" w14:textId="77777777" w:rsidR="0031607E" w:rsidRPr="001A13AC" w:rsidRDefault="0031607E" w:rsidP="00A40ED2">
      <w:pPr>
        <w:adjustRightInd w:val="0"/>
        <w:spacing w:after="120"/>
        <w:ind w:left="2268" w:hanging="1134"/>
        <w:jc w:val="both"/>
        <w:rPr>
          <w:rFonts w:eastAsia="MS Mincho"/>
        </w:rPr>
      </w:pPr>
      <w:r w:rsidRPr="001A13AC">
        <w:rPr>
          <w:rFonts w:eastAsia="MS Mincho"/>
        </w:rPr>
        <w:t xml:space="preserve">4.1. </w:t>
      </w:r>
      <w:r w:rsidRPr="001A13AC">
        <w:rPr>
          <w:rFonts w:eastAsia="MS Mincho"/>
        </w:rPr>
        <w:tab/>
        <w:t>Chassis dynamometer</w:t>
      </w:r>
    </w:p>
    <w:p w14:paraId="1A7CC255" w14:textId="77777777" w:rsidR="006F2DE1" w:rsidRDefault="0031607E" w:rsidP="00A40ED2">
      <w:pPr>
        <w:adjustRightInd w:val="0"/>
        <w:spacing w:after="120"/>
        <w:ind w:left="2268" w:right="1110"/>
        <w:jc w:val="both"/>
      </w:pPr>
      <w:r w:rsidRPr="001A13AC">
        <w:rPr>
          <w:rFonts w:eastAsia="MS Mincho"/>
        </w:rPr>
        <w:t xml:space="preserve">The chassis dynamometer shall meet the requirements of Appendix 1 to </w:t>
      </w:r>
      <w:r w:rsidRPr="001A13AC">
        <w:t>Annex 4a to this Regulation.</w:t>
      </w:r>
    </w:p>
    <w:p w14:paraId="5E211DF1" w14:textId="0340DB5B" w:rsidR="0031607E" w:rsidRPr="001A13AC" w:rsidRDefault="006F2DE1" w:rsidP="00A40ED2">
      <w:pPr>
        <w:adjustRightInd w:val="0"/>
        <w:spacing w:after="120"/>
        <w:ind w:left="2268" w:right="1110"/>
        <w:jc w:val="both"/>
      </w:pPr>
      <w:r>
        <w:t>…</w:t>
      </w:r>
      <w:r w:rsidR="0031607E" w:rsidRPr="001A13AC">
        <w:rPr>
          <w:rFonts w:eastAsia="MS Mincho"/>
        </w:rPr>
        <w:t>"</w:t>
      </w:r>
    </w:p>
    <w:p w14:paraId="40A025F8" w14:textId="71C2CDCD" w:rsidR="0031607E" w:rsidRPr="0031607E" w:rsidRDefault="0031607E" w:rsidP="002C0E08">
      <w:pPr>
        <w:pStyle w:val="SingleTxtG"/>
        <w:rPr>
          <w:lang w:val="en-US"/>
        </w:rPr>
      </w:pPr>
      <w:r w:rsidRPr="0031607E">
        <w:rPr>
          <w:i/>
          <w:iCs/>
          <w:lang w:val="en-US"/>
        </w:rPr>
        <w:t>Appendix 1, Paragraph 1.,</w:t>
      </w:r>
      <w:r>
        <w:rPr>
          <w:lang w:val="en-US"/>
        </w:rPr>
        <w:t xml:space="preserve"> amend to read:</w:t>
      </w:r>
    </w:p>
    <w:p w14:paraId="5DBF5936" w14:textId="77777777" w:rsidR="0031607E" w:rsidRPr="001A13AC" w:rsidRDefault="0031607E" w:rsidP="00A40ED2">
      <w:pPr>
        <w:pStyle w:val="Default"/>
        <w:spacing w:after="120"/>
        <w:ind w:left="2268" w:right="805" w:hanging="1134"/>
        <w:jc w:val="both"/>
        <w:rPr>
          <w:sz w:val="20"/>
          <w:szCs w:val="20"/>
          <w:lang w:val="en-US"/>
        </w:rPr>
      </w:pPr>
      <w:r w:rsidRPr="001A13AC">
        <w:rPr>
          <w:sz w:val="20"/>
          <w:szCs w:val="20"/>
          <w:lang w:val="en-US"/>
        </w:rPr>
        <w:t xml:space="preserve">"1.    </w:t>
      </w:r>
      <w:r>
        <w:rPr>
          <w:sz w:val="20"/>
          <w:szCs w:val="20"/>
          <w:lang w:val="en-US"/>
        </w:rPr>
        <w:tab/>
      </w:r>
      <w:r w:rsidRPr="001A13AC">
        <w:rPr>
          <w:sz w:val="20"/>
          <w:szCs w:val="20"/>
          <w:lang w:val="en-US"/>
        </w:rPr>
        <w:t>Calibration frequency and methods</w:t>
      </w:r>
    </w:p>
    <w:p w14:paraId="49CDF4DB" w14:textId="77777777" w:rsidR="00A86481" w:rsidRDefault="0031607E" w:rsidP="00A40ED2">
      <w:pPr>
        <w:spacing w:after="120"/>
        <w:ind w:leftChars="1134" w:left="2268" w:right="1110" w:firstLine="1"/>
        <w:jc w:val="both"/>
        <w:rPr>
          <w:b/>
          <w:bCs/>
          <w:color w:val="000000"/>
        </w:rPr>
      </w:pPr>
      <w:r w:rsidRPr="001A13AC">
        <w:rPr>
          <w:b/>
          <w:bCs/>
          <w:color w:val="000000"/>
        </w:rPr>
        <w:t xml:space="preserve">For test and measurement equipment that is compliant with the technical requirements of </w:t>
      </w:r>
      <w:r>
        <w:rPr>
          <w:b/>
          <w:bCs/>
          <w:color w:val="000000"/>
        </w:rPr>
        <w:t>UN Regulation No. 154</w:t>
      </w:r>
      <w:r w:rsidRPr="001A13AC">
        <w:rPr>
          <w:b/>
          <w:bCs/>
          <w:color w:val="000000"/>
        </w:rPr>
        <w:t xml:space="preserve"> original series or</w:t>
      </w:r>
      <w:r w:rsidRPr="001A13AC">
        <w:rPr>
          <w:rFonts w:eastAsia="MS Mincho"/>
          <w:b/>
          <w:bCs/>
          <w:color w:val="000000"/>
          <w:lang w:eastAsia="ja-JP"/>
        </w:rPr>
        <w:t xml:space="preserve"> </w:t>
      </w:r>
      <w:r w:rsidRPr="001A13AC">
        <w:rPr>
          <w:b/>
          <w:bCs/>
          <w:color w:val="000000"/>
        </w:rPr>
        <w:t xml:space="preserve">later version, the requirements on the technical equipment described in </w:t>
      </w:r>
      <w:r>
        <w:rPr>
          <w:b/>
          <w:bCs/>
          <w:color w:val="000000"/>
        </w:rPr>
        <w:t xml:space="preserve">UN Regulation No. 154 </w:t>
      </w:r>
      <w:r w:rsidRPr="001A13AC">
        <w:rPr>
          <w:b/>
          <w:bCs/>
          <w:color w:val="000000"/>
        </w:rPr>
        <w:t>may be followed, in all other cases the following requirements shall apply:</w:t>
      </w:r>
    </w:p>
    <w:p w14:paraId="10CE5585" w14:textId="2C4BD222" w:rsidR="0031607E" w:rsidRPr="001A13AC" w:rsidRDefault="00A86481" w:rsidP="00A40ED2">
      <w:pPr>
        <w:spacing w:after="120"/>
        <w:ind w:leftChars="1134" w:left="2268" w:right="1110" w:firstLine="1"/>
        <w:jc w:val="both"/>
        <w:rPr>
          <w:rFonts w:eastAsia="MS PGothic"/>
          <w:b/>
          <w:bCs/>
          <w:color w:val="000000"/>
        </w:rPr>
      </w:pPr>
      <w:r w:rsidRPr="00505A79">
        <w:rPr>
          <w:color w:val="000000"/>
        </w:rPr>
        <w:t>…</w:t>
      </w:r>
      <w:r w:rsidR="0031607E" w:rsidRPr="001A13AC">
        <w:rPr>
          <w:rFonts w:eastAsia="MS Mincho"/>
        </w:rPr>
        <w:t>"</w:t>
      </w:r>
    </w:p>
    <w:p w14:paraId="25E87AC7" w14:textId="269C7179" w:rsidR="00272179" w:rsidRPr="0001775F" w:rsidRDefault="00324EC2" w:rsidP="00DE415D">
      <w:pPr>
        <w:pStyle w:val="HChG"/>
        <w:jc w:val="both"/>
        <w:rPr>
          <w:rFonts w:eastAsia="MS Mincho"/>
          <w:lang w:eastAsia="en-US"/>
        </w:rPr>
      </w:pPr>
      <w:r>
        <w:rPr>
          <w:rFonts w:eastAsia="MS Mincho"/>
          <w:lang w:eastAsia="en-US"/>
        </w:rPr>
        <w:tab/>
      </w:r>
      <w:r w:rsidR="00272179" w:rsidRPr="0001775F">
        <w:rPr>
          <w:rFonts w:eastAsia="MS Mincho"/>
          <w:lang w:eastAsia="en-US"/>
        </w:rPr>
        <w:t>II.</w:t>
      </w:r>
      <w:r w:rsidR="00272179" w:rsidRPr="0001775F">
        <w:rPr>
          <w:rFonts w:eastAsia="MS Mincho"/>
          <w:lang w:eastAsia="en-US"/>
        </w:rPr>
        <w:tab/>
        <w:t>Justification</w:t>
      </w:r>
    </w:p>
    <w:p w14:paraId="3A0844ED" w14:textId="55E6F271" w:rsidR="00A070A0" w:rsidRPr="003609BD" w:rsidRDefault="00452B22" w:rsidP="00452B22">
      <w:pPr>
        <w:pStyle w:val="PlainText"/>
        <w:spacing w:after="120"/>
        <w:ind w:left="1134" w:right="1111"/>
        <w:jc w:val="both"/>
        <w:rPr>
          <w:rFonts w:ascii="Times New Roman" w:hAnsi="Times New Roman" w:cs="Times New Roman"/>
          <w:sz w:val="20"/>
          <w:szCs w:val="20"/>
        </w:rPr>
      </w:pPr>
      <w:r w:rsidRPr="003609BD">
        <w:rPr>
          <w:rFonts w:ascii="Times New Roman" w:hAnsi="Times New Roman" w:cs="Times New Roman"/>
          <w:sz w:val="20"/>
          <w:szCs w:val="20"/>
        </w:rPr>
        <w:t>1.</w:t>
      </w:r>
      <w:r w:rsidRPr="003609BD">
        <w:rPr>
          <w:rFonts w:ascii="Times New Roman" w:hAnsi="Times New Roman" w:cs="Times New Roman"/>
          <w:sz w:val="20"/>
          <w:szCs w:val="20"/>
        </w:rPr>
        <w:tab/>
      </w:r>
      <w:r w:rsidR="00A070A0" w:rsidRPr="003609BD">
        <w:rPr>
          <w:rFonts w:ascii="Times New Roman" w:hAnsi="Times New Roman" w:cs="Times New Roman"/>
          <w:sz w:val="20"/>
          <w:szCs w:val="20"/>
        </w:rPr>
        <w:t>For OICA as well, we would like to make the following proposals in consideration of further operational efficiency.</w:t>
      </w:r>
    </w:p>
    <w:p w14:paraId="0FEBB9BE" w14:textId="770A0176" w:rsidR="00A070A0" w:rsidRPr="00A070A0" w:rsidRDefault="00452B22" w:rsidP="00452B22">
      <w:pPr>
        <w:pStyle w:val="PlainText"/>
        <w:spacing w:after="120"/>
        <w:ind w:left="1134" w:right="1111"/>
        <w:jc w:val="both"/>
        <w:rPr>
          <w:rFonts w:ascii="Times New Roman" w:hAnsi="Times New Roman" w:cs="Times New Roman"/>
          <w:sz w:val="20"/>
          <w:szCs w:val="20"/>
        </w:rPr>
      </w:pPr>
      <w:r w:rsidRPr="00A070A0">
        <w:rPr>
          <w:rFonts w:ascii="Times New Roman" w:hAnsi="Times New Roman" w:cs="Times New Roman"/>
          <w:sz w:val="20"/>
          <w:szCs w:val="20"/>
        </w:rPr>
        <w:t>2.</w:t>
      </w:r>
      <w:r w:rsidRPr="00A070A0">
        <w:rPr>
          <w:rFonts w:ascii="Times New Roman" w:hAnsi="Times New Roman" w:cs="Times New Roman"/>
          <w:sz w:val="20"/>
          <w:szCs w:val="20"/>
        </w:rPr>
        <w:tab/>
      </w:r>
      <w:r w:rsidR="00A070A0" w:rsidRPr="00A070A0">
        <w:rPr>
          <w:rFonts w:ascii="Times New Roman" w:hAnsi="Times New Roman" w:cs="Times New Roman"/>
          <w:sz w:val="20"/>
          <w:szCs w:val="20"/>
        </w:rPr>
        <w:t xml:space="preserve">In fact, the </w:t>
      </w:r>
      <w:r w:rsidR="0031607E">
        <w:rPr>
          <w:rFonts w:ascii="Times New Roman" w:hAnsi="Times New Roman" w:cs="Times New Roman"/>
          <w:sz w:val="20"/>
          <w:szCs w:val="20"/>
        </w:rPr>
        <w:t xml:space="preserve">UN </w:t>
      </w:r>
      <w:r w:rsidR="00A070A0" w:rsidRPr="00A070A0">
        <w:rPr>
          <w:rFonts w:ascii="Times New Roman" w:hAnsi="Times New Roman" w:cs="Times New Roman"/>
          <w:sz w:val="20"/>
          <w:szCs w:val="20"/>
        </w:rPr>
        <w:t>R</w:t>
      </w:r>
      <w:r w:rsidR="0031607E">
        <w:rPr>
          <w:rFonts w:ascii="Times New Roman" w:hAnsi="Times New Roman" w:cs="Times New Roman"/>
          <w:sz w:val="20"/>
          <w:szCs w:val="20"/>
        </w:rPr>
        <w:t>egulation No.</w:t>
      </w:r>
      <w:r w:rsidR="00C42B12">
        <w:rPr>
          <w:rFonts w:ascii="Times New Roman" w:hAnsi="Times New Roman" w:cs="Times New Roman"/>
          <w:sz w:val="20"/>
          <w:szCs w:val="20"/>
        </w:rPr>
        <w:t xml:space="preserve"> </w:t>
      </w:r>
      <w:r w:rsidR="00A070A0" w:rsidRPr="00A070A0">
        <w:rPr>
          <w:rFonts w:ascii="Times New Roman" w:hAnsi="Times New Roman" w:cs="Times New Roman"/>
          <w:sz w:val="20"/>
          <w:szCs w:val="20"/>
        </w:rPr>
        <w:t xml:space="preserve">154 equipment has been updated and regulated based on the </w:t>
      </w:r>
      <w:r w:rsidR="00B14CBF">
        <w:rPr>
          <w:rFonts w:ascii="Times New Roman" w:hAnsi="Times New Roman" w:cs="Times New Roman"/>
          <w:sz w:val="20"/>
          <w:szCs w:val="20"/>
        </w:rPr>
        <w:t>UN Regulation No.</w:t>
      </w:r>
      <w:r w:rsidR="00C42B12">
        <w:rPr>
          <w:rFonts w:ascii="Times New Roman" w:hAnsi="Times New Roman" w:cs="Times New Roman"/>
          <w:sz w:val="20"/>
          <w:szCs w:val="20"/>
        </w:rPr>
        <w:t xml:space="preserve"> </w:t>
      </w:r>
      <w:r w:rsidR="00B14CBF">
        <w:rPr>
          <w:rFonts w:ascii="Times New Roman" w:hAnsi="Times New Roman" w:cs="Times New Roman"/>
          <w:sz w:val="20"/>
          <w:szCs w:val="20"/>
        </w:rPr>
        <w:t>83</w:t>
      </w:r>
      <w:r w:rsidR="00A070A0" w:rsidRPr="00A070A0">
        <w:rPr>
          <w:rFonts w:ascii="Times New Roman" w:hAnsi="Times New Roman" w:cs="Times New Roman"/>
          <w:sz w:val="20"/>
          <w:szCs w:val="20"/>
        </w:rPr>
        <w:t xml:space="preserve"> equipment, an example is shown below,</w:t>
      </w:r>
    </w:p>
    <w:p w14:paraId="257CAF35" w14:textId="46EFC29E" w:rsidR="00A070A0" w:rsidRPr="00452B22" w:rsidRDefault="00452B22" w:rsidP="00452B22">
      <w:pPr>
        <w:adjustRightInd w:val="0"/>
        <w:spacing w:after="120"/>
        <w:ind w:left="1134" w:right="1111"/>
        <w:rPr>
          <w:bCs/>
        </w:rPr>
      </w:pPr>
      <w:r>
        <w:rPr>
          <w:rFonts w:eastAsia="MS Mincho"/>
          <w:bCs/>
          <w:kern w:val="2"/>
          <w:lang w:eastAsia="ja-JP"/>
        </w:rPr>
        <w:t>3.</w:t>
      </w:r>
      <w:r>
        <w:rPr>
          <w:rFonts w:eastAsia="MS Mincho"/>
          <w:bCs/>
          <w:kern w:val="2"/>
          <w:lang w:eastAsia="ja-JP"/>
        </w:rPr>
        <w:tab/>
      </w:r>
      <w:r w:rsidR="00A070A0" w:rsidRPr="00452B22">
        <w:rPr>
          <w:bCs/>
          <w:szCs w:val="18"/>
        </w:rPr>
        <w:t>As reference, n</w:t>
      </w:r>
      <w:r w:rsidR="00A070A0" w:rsidRPr="00452B22">
        <w:rPr>
          <w:rFonts w:hint="eastAsia"/>
          <w:bCs/>
          <w:szCs w:val="18"/>
        </w:rPr>
        <w:t>o modification on UN</w:t>
      </w:r>
      <w:r w:rsidR="00B14CBF" w:rsidRPr="00452B22">
        <w:rPr>
          <w:bCs/>
          <w:szCs w:val="18"/>
        </w:rPr>
        <w:t xml:space="preserve"> </w:t>
      </w:r>
      <w:r w:rsidR="00A070A0" w:rsidRPr="00452B22">
        <w:rPr>
          <w:rFonts w:hint="eastAsia"/>
          <w:bCs/>
          <w:szCs w:val="18"/>
        </w:rPr>
        <w:t>R</w:t>
      </w:r>
      <w:r w:rsidR="00B14CBF" w:rsidRPr="00452B22">
        <w:rPr>
          <w:bCs/>
          <w:szCs w:val="18"/>
        </w:rPr>
        <w:t xml:space="preserve">egulation No. </w:t>
      </w:r>
      <w:r w:rsidR="00A070A0" w:rsidRPr="00452B22">
        <w:rPr>
          <w:rFonts w:hint="eastAsia"/>
          <w:bCs/>
          <w:szCs w:val="18"/>
        </w:rPr>
        <w:t>101 is necessary since UN</w:t>
      </w:r>
      <w:r w:rsidR="00B14CBF" w:rsidRPr="00452B22">
        <w:rPr>
          <w:bCs/>
          <w:szCs w:val="18"/>
        </w:rPr>
        <w:t xml:space="preserve"> Regulation No.</w:t>
      </w:r>
      <w:r w:rsidR="00A7443E" w:rsidRPr="00452B22">
        <w:rPr>
          <w:bCs/>
          <w:szCs w:val="18"/>
        </w:rPr>
        <w:t xml:space="preserve"> </w:t>
      </w:r>
      <w:r w:rsidR="00A070A0" w:rsidRPr="00452B22">
        <w:rPr>
          <w:rFonts w:hint="eastAsia"/>
          <w:bCs/>
          <w:szCs w:val="18"/>
        </w:rPr>
        <w:t>101 refers UN</w:t>
      </w:r>
      <w:r w:rsidR="00B14CBF" w:rsidRPr="00452B22">
        <w:t xml:space="preserve"> Regulation No.</w:t>
      </w:r>
      <w:r w:rsidR="00C42B12" w:rsidRPr="00452B22">
        <w:t xml:space="preserve"> </w:t>
      </w:r>
      <w:r w:rsidR="00B14CBF" w:rsidRPr="00452B22">
        <w:t xml:space="preserve">83 </w:t>
      </w:r>
      <w:r w:rsidR="00A070A0" w:rsidRPr="00452B22">
        <w:rPr>
          <w:rFonts w:hint="eastAsia"/>
          <w:bCs/>
          <w:szCs w:val="18"/>
        </w:rPr>
        <w:t xml:space="preserve">for </w:t>
      </w:r>
      <w:r w:rsidR="00A070A0" w:rsidRPr="00452B22">
        <w:rPr>
          <w:rFonts w:hint="eastAsia"/>
          <w:bCs/>
        </w:rPr>
        <w:t>equipment requirement.</w:t>
      </w:r>
    </w:p>
    <w:p w14:paraId="4796B5B7" w14:textId="76AD0F88" w:rsidR="006874CA" w:rsidRPr="00452B22" w:rsidRDefault="00452B22" w:rsidP="00452B22">
      <w:pPr>
        <w:adjustRightInd w:val="0"/>
        <w:spacing w:after="120"/>
        <w:ind w:left="1134" w:right="1111"/>
        <w:rPr>
          <w:bCs/>
        </w:rPr>
      </w:pPr>
      <w:r w:rsidRPr="00A070A0">
        <w:rPr>
          <w:rFonts w:eastAsia="MS Mincho"/>
          <w:bCs/>
          <w:kern w:val="2"/>
          <w:lang w:eastAsia="ja-JP"/>
        </w:rPr>
        <w:t>4.</w:t>
      </w:r>
      <w:r w:rsidRPr="00A070A0">
        <w:rPr>
          <w:rFonts w:eastAsia="MS Mincho"/>
          <w:bCs/>
          <w:kern w:val="2"/>
          <w:lang w:eastAsia="ja-JP"/>
        </w:rPr>
        <w:tab/>
      </w:r>
      <w:r w:rsidR="006874CA" w:rsidRPr="00452B22">
        <w:rPr>
          <w:bCs/>
        </w:rPr>
        <w:t>Ex</w:t>
      </w:r>
      <w:r w:rsidR="00630A1F" w:rsidRPr="00452B22">
        <w:rPr>
          <w:bCs/>
        </w:rPr>
        <w:t xml:space="preserve">amples of differences </w:t>
      </w:r>
      <w:r w:rsidR="002D2AD7" w:rsidRPr="00452B22">
        <w:rPr>
          <w:bCs/>
        </w:rPr>
        <w:t>in technical requirements</w:t>
      </w:r>
      <w:r w:rsidR="00BD0E93" w:rsidRPr="00452B22">
        <w:rPr>
          <w:bCs/>
        </w:rPr>
        <w:t xml:space="preserve"> between UN Regulations Nos. 83 and 154 can be found in GRPE-85-</w:t>
      </w:r>
      <w:r w:rsidR="007D062C" w:rsidRPr="00452B22">
        <w:rPr>
          <w:bCs/>
        </w:rPr>
        <w:t>10</w:t>
      </w:r>
    </w:p>
    <w:p w14:paraId="061D90C4" w14:textId="37476A66" w:rsidR="00BF107A" w:rsidRPr="00BF107A" w:rsidRDefault="00BF107A" w:rsidP="00BF107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107A" w:rsidRPr="00BF107A" w:rsidSect="000B37A6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9B8C" w14:textId="77777777" w:rsidR="00BA5BC1" w:rsidRDefault="00BA5BC1"/>
  </w:endnote>
  <w:endnote w:type="continuationSeparator" w:id="0">
    <w:p w14:paraId="34F774B8" w14:textId="77777777" w:rsidR="00BA5BC1" w:rsidRDefault="00BA5BC1"/>
  </w:endnote>
  <w:endnote w:type="continuationNotice" w:id="1">
    <w:p w14:paraId="4A3CCD39" w14:textId="77777777" w:rsidR="00BA5BC1" w:rsidRDefault="00BA5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934715"/>
      <w:docPartObj>
        <w:docPartGallery w:val="Page Numbers (Bottom of Page)"/>
        <w:docPartUnique/>
      </w:docPartObj>
    </w:sdtPr>
    <w:sdtEndPr/>
    <w:sdtContent>
      <w:p w14:paraId="446D08A9" w14:textId="518D42D5" w:rsidR="00897E5B" w:rsidRDefault="00897E5B">
        <w:pPr>
          <w:pStyle w:val="Footer"/>
        </w:pPr>
        <w:r w:rsidRPr="00897E5B">
          <w:rPr>
            <w:b/>
            <w:bCs/>
          </w:rPr>
          <w:fldChar w:fldCharType="begin"/>
        </w:r>
        <w:r w:rsidRPr="00897E5B">
          <w:rPr>
            <w:b/>
            <w:bCs/>
          </w:rPr>
          <w:instrText>PAGE   \* MERGEFORMAT</w:instrText>
        </w:r>
        <w:r w:rsidRPr="00897E5B">
          <w:rPr>
            <w:b/>
            <w:bCs/>
          </w:rPr>
          <w:fldChar w:fldCharType="separate"/>
        </w:r>
        <w:r w:rsidRPr="00897E5B">
          <w:rPr>
            <w:b/>
            <w:bCs/>
            <w:lang w:val="fr-FR"/>
          </w:rPr>
          <w:t>2</w:t>
        </w:r>
        <w:r w:rsidRPr="00897E5B">
          <w:rPr>
            <w:b/>
            <w:bCs/>
          </w:rPr>
          <w:fldChar w:fldCharType="end"/>
        </w:r>
      </w:p>
    </w:sdtContent>
  </w:sdt>
  <w:p w14:paraId="77871681" w14:textId="55A20A2B" w:rsidR="00BB2263" w:rsidRPr="002E23DB" w:rsidRDefault="00BB2263" w:rsidP="002E2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163506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91B2C7F" w14:textId="6838916F" w:rsidR="00897E5B" w:rsidRPr="00897E5B" w:rsidRDefault="00897E5B" w:rsidP="00897E5B">
        <w:pPr>
          <w:pStyle w:val="Footer"/>
          <w:jc w:val="right"/>
          <w:rPr>
            <w:b/>
            <w:bCs/>
          </w:rPr>
        </w:pPr>
        <w:r w:rsidRPr="00897E5B">
          <w:rPr>
            <w:b/>
            <w:bCs/>
          </w:rPr>
          <w:fldChar w:fldCharType="begin"/>
        </w:r>
        <w:r w:rsidRPr="00897E5B">
          <w:rPr>
            <w:b/>
            <w:bCs/>
          </w:rPr>
          <w:instrText>PAGE   \* MERGEFORMAT</w:instrText>
        </w:r>
        <w:r w:rsidRPr="00897E5B">
          <w:rPr>
            <w:b/>
            <w:bCs/>
          </w:rPr>
          <w:fldChar w:fldCharType="separate"/>
        </w:r>
        <w:r w:rsidRPr="00897E5B">
          <w:rPr>
            <w:b/>
            <w:bCs/>
            <w:lang w:val="fr-FR"/>
          </w:rPr>
          <w:t>2</w:t>
        </w:r>
        <w:r w:rsidRPr="00897E5B">
          <w:rPr>
            <w:b/>
            <w:bCs/>
          </w:rPr>
          <w:fldChar w:fldCharType="end"/>
        </w:r>
      </w:p>
    </w:sdtContent>
  </w:sdt>
  <w:p w14:paraId="66A7FD01" w14:textId="77777777" w:rsidR="00897E5B" w:rsidRDefault="00897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D281" w14:textId="536C0047" w:rsidR="004F2CE0" w:rsidRDefault="00452B22" w:rsidP="004F2CE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7153936F" wp14:editId="2E4BFBE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A1BFB0" w14:textId="340B2954" w:rsidR="004F2CE0" w:rsidRDefault="004F2CE0" w:rsidP="00452B22">
    <w:pPr>
      <w:pStyle w:val="Footer"/>
      <w:ind w:right="1134"/>
      <w:rPr>
        <w:sz w:val="20"/>
      </w:rPr>
    </w:pPr>
  </w:p>
  <w:p w14:paraId="2B3D4AA4" w14:textId="7DE9BB0E" w:rsidR="00452B22" w:rsidRPr="00452B22" w:rsidRDefault="00452B22" w:rsidP="00452B22">
    <w:pPr>
      <w:pStyle w:val="Footer"/>
      <w:ind w:right="1134"/>
      <w:rPr>
        <w:sz w:val="20"/>
      </w:rPr>
    </w:pPr>
    <w:r>
      <w:rPr>
        <w:sz w:val="20"/>
      </w:rPr>
      <w:t>GE.22-04123(E)</w:t>
    </w:r>
    <w:r>
      <w:rPr>
        <w:noProof/>
        <w:sz w:val="20"/>
      </w:rPr>
      <w:drawing>
        <wp:anchor distT="0" distB="0" distL="114300" distR="114300" simplePos="0" relativeHeight="251664384" behindDoc="0" locked="0" layoutInCell="1" allowOverlap="1" wp14:anchorId="442061F0" wp14:editId="7F69CDDD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7371" w14:textId="77777777" w:rsidR="00BA5BC1" w:rsidRPr="000B175B" w:rsidRDefault="00BA5BC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360643" w14:textId="77777777" w:rsidR="00BA5BC1" w:rsidRPr="00FC68B7" w:rsidRDefault="00BA5BC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A7A075F" w14:textId="77777777" w:rsidR="00BA5BC1" w:rsidRDefault="00BA5BC1"/>
  </w:footnote>
  <w:footnote w:id="2">
    <w:p w14:paraId="35545F5F" w14:textId="29E734F8" w:rsidR="00BB2263" w:rsidRPr="007E5C8F" w:rsidRDefault="00BB2263" w:rsidP="005F1FB8">
      <w:pPr>
        <w:pStyle w:val="FootnoteText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5936E3">
        <w:rPr>
          <w:szCs w:val="18"/>
          <w:lang w:val="en-US"/>
        </w:rPr>
        <w:t>In accordance with the programme of work of the Inland Transport Committee for 202</w:t>
      </w:r>
      <w:r w:rsidR="00C93B8C">
        <w:rPr>
          <w:szCs w:val="18"/>
          <w:lang w:val="en-US"/>
        </w:rPr>
        <w:t>2</w:t>
      </w:r>
      <w:r w:rsidRPr="005936E3">
        <w:rPr>
          <w:szCs w:val="18"/>
          <w:lang w:val="en-US"/>
        </w:rPr>
        <w:t xml:space="preserve"> as outlined in proposed programme budget for 202</w:t>
      </w:r>
      <w:r w:rsidR="00B40197">
        <w:rPr>
          <w:szCs w:val="18"/>
          <w:lang w:val="en-US"/>
        </w:rPr>
        <w:t>2</w:t>
      </w:r>
      <w:r w:rsidRPr="005936E3">
        <w:rPr>
          <w:szCs w:val="18"/>
          <w:lang w:val="en-US"/>
        </w:rPr>
        <w:t xml:space="preserve"> (</w:t>
      </w:r>
      <w:r w:rsidR="00B40197">
        <w:t>A/76/6 (Sect.20), para 20.76</w:t>
      </w:r>
      <w:r w:rsidRPr="005936E3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B42D" w14:textId="0475D59F" w:rsidR="00897E5B" w:rsidRPr="00D95E7B" w:rsidRDefault="00897E5B" w:rsidP="00897E5B">
    <w:pPr>
      <w:pStyle w:val="Header"/>
      <w:rPr>
        <w:lang w:val="en-US"/>
      </w:rPr>
    </w:pPr>
    <w:r w:rsidRPr="00D95E7B">
      <w:rPr>
        <w:lang w:val="en-US"/>
      </w:rPr>
      <w:t>ECE/TRANS/WP.29/GRPE/2022/</w:t>
    </w:r>
    <w:r w:rsidR="003608E8">
      <w:rPr>
        <w:lang w:val="en-US"/>
      </w:rPr>
      <w:t>13</w:t>
    </w:r>
  </w:p>
  <w:p w14:paraId="0CAD69FB" w14:textId="00840827" w:rsidR="00BB2263" w:rsidRPr="002E23DB" w:rsidRDefault="00BB2263" w:rsidP="002E23DB"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3973B7" wp14:editId="0EC2CB09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A8823D" w14:textId="77777777" w:rsidR="00BB2263" w:rsidRDefault="00BB2263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3973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" fillcolor="#4f81bd [3204]" stroked="f" strokeweight=".5pt">
              <v:fill opacity="0"/>
              <v:path arrowok="t"/>
              <v:textbox style="layout-flow:vertical" inset="0,0,0,0">
                <w:txbxContent>
                  <w:p w14:paraId="3FA8823D" w14:textId="77777777" w:rsidR="00BB2263" w:rsidRDefault="00BB2263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64C3" w14:textId="063250B1" w:rsidR="00897E5B" w:rsidRPr="00D95E7B" w:rsidRDefault="00897E5B" w:rsidP="00897E5B">
    <w:pPr>
      <w:pStyle w:val="Header"/>
      <w:jc w:val="right"/>
      <w:rPr>
        <w:lang w:val="en-US"/>
      </w:rPr>
    </w:pPr>
    <w:r w:rsidRPr="00D95E7B">
      <w:rPr>
        <w:lang w:val="en-US"/>
      </w:rPr>
      <w:t>ECE/TRANS/WP.29/GRPE/2022/</w:t>
    </w:r>
    <w:r w:rsidR="003608E8">
      <w:rPr>
        <w:lang w:val="en-US"/>
      </w:rPr>
      <w:t>13</w:t>
    </w:r>
  </w:p>
  <w:p w14:paraId="128EC476" w14:textId="0A189AF8" w:rsidR="00BB2263" w:rsidRPr="002E23DB" w:rsidRDefault="00BB2263" w:rsidP="002E23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456B8"/>
    <w:multiLevelType w:val="hybridMultilevel"/>
    <w:tmpl w:val="8A042FD6"/>
    <w:lvl w:ilvl="0" w:tplc="FDC2B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21E7"/>
    <w:multiLevelType w:val="hybridMultilevel"/>
    <w:tmpl w:val="6F544CB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7A4C8B"/>
    <w:multiLevelType w:val="hybridMultilevel"/>
    <w:tmpl w:val="A0DEDE16"/>
    <w:lvl w:ilvl="0" w:tplc="80FA63D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6BF5537"/>
    <w:multiLevelType w:val="hybridMultilevel"/>
    <w:tmpl w:val="16401306"/>
    <w:lvl w:ilvl="0" w:tplc="D16A7F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6BB0BC4"/>
    <w:multiLevelType w:val="hybridMultilevel"/>
    <w:tmpl w:val="0BCE2ECC"/>
    <w:lvl w:ilvl="0" w:tplc="52B0A33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D9D272D"/>
    <w:multiLevelType w:val="hybridMultilevel"/>
    <w:tmpl w:val="73D6622A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41EED"/>
    <w:multiLevelType w:val="hybridMultilevel"/>
    <w:tmpl w:val="6F267C4E"/>
    <w:lvl w:ilvl="0" w:tplc="DF0438D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FF7372A"/>
    <w:multiLevelType w:val="hybridMultilevel"/>
    <w:tmpl w:val="91CA5732"/>
    <w:lvl w:ilvl="0" w:tplc="BFC2E8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20B03"/>
    <w:multiLevelType w:val="hybridMultilevel"/>
    <w:tmpl w:val="6750EBF4"/>
    <w:lvl w:ilvl="0" w:tplc="4B56B02C">
      <w:start w:val="1"/>
      <w:numFmt w:val="decimal"/>
      <w:lvlText w:val="%1."/>
      <w:lvlJc w:val="left"/>
      <w:pPr>
        <w:ind w:left="6249" w:hanging="360"/>
      </w:pPr>
      <w:rPr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6969" w:hanging="360"/>
      </w:pPr>
    </w:lvl>
    <w:lvl w:ilvl="2" w:tplc="040C001B" w:tentative="1">
      <w:start w:val="1"/>
      <w:numFmt w:val="lowerRoman"/>
      <w:lvlText w:val="%3."/>
      <w:lvlJc w:val="right"/>
      <w:pPr>
        <w:ind w:left="7689" w:hanging="180"/>
      </w:pPr>
    </w:lvl>
    <w:lvl w:ilvl="3" w:tplc="040C000F" w:tentative="1">
      <w:start w:val="1"/>
      <w:numFmt w:val="decimal"/>
      <w:lvlText w:val="%4."/>
      <w:lvlJc w:val="left"/>
      <w:pPr>
        <w:ind w:left="8409" w:hanging="360"/>
      </w:pPr>
    </w:lvl>
    <w:lvl w:ilvl="4" w:tplc="040C0019" w:tentative="1">
      <w:start w:val="1"/>
      <w:numFmt w:val="lowerLetter"/>
      <w:lvlText w:val="%5."/>
      <w:lvlJc w:val="left"/>
      <w:pPr>
        <w:ind w:left="9129" w:hanging="360"/>
      </w:pPr>
    </w:lvl>
    <w:lvl w:ilvl="5" w:tplc="040C001B" w:tentative="1">
      <w:start w:val="1"/>
      <w:numFmt w:val="lowerRoman"/>
      <w:lvlText w:val="%6."/>
      <w:lvlJc w:val="right"/>
      <w:pPr>
        <w:ind w:left="9849" w:hanging="180"/>
      </w:pPr>
    </w:lvl>
    <w:lvl w:ilvl="6" w:tplc="040C000F" w:tentative="1">
      <w:start w:val="1"/>
      <w:numFmt w:val="decimal"/>
      <w:lvlText w:val="%7."/>
      <w:lvlJc w:val="left"/>
      <w:pPr>
        <w:ind w:left="10569" w:hanging="360"/>
      </w:pPr>
    </w:lvl>
    <w:lvl w:ilvl="7" w:tplc="040C0019" w:tentative="1">
      <w:start w:val="1"/>
      <w:numFmt w:val="lowerLetter"/>
      <w:lvlText w:val="%8."/>
      <w:lvlJc w:val="left"/>
      <w:pPr>
        <w:ind w:left="11289" w:hanging="360"/>
      </w:pPr>
    </w:lvl>
    <w:lvl w:ilvl="8" w:tplc="040C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1" w15:restartNumberingAfterBreak="0">
    <w:nsid w:val="771945F8"/>
    <w:multiLevelType w:val="hybridMultilevel"/>
    <w:tmpl w:val="18B6535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B6D619F"/>
    <w:multiLevelType w:val="hybridMultilevel"/>
    <w:tmpl w:val="B6021FCA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9"/>
  </w:num>
  <w:num w:numId="16">
    <w:abstractNumId w:val="14"/>
  </w:num>
  <w:num w:numId="17">
    <w:abstractNumId w:val="26"/>
  </w:num>
  <w:num w:numId="18">
    <w:abstractNumId w:val="29"/>
  </w:num>
  <w:num w:numId="19">
    <w:abstractNumId w:val="12"/>
  </w:num>
  <w:num w:numId="20">
    <w:abstractNumId w:val="24"/>
  </w:num>
  <w:num w:numId="21">
    <w:abstractNumId w:val="11"/>
  </w:num>
  <w:num w:numId="22">
    <w:abstractNumId w:val="27"/>
  </w:num>
  <w:num w:numId="23">
    <w:abstractNumId w:val="22"/>
  </w:num>
  <w:num w:numId="24">
    <w:abstractNumId w:val="30"/>
  </w:num>
  <w:num w:numId="25">
    <w:abstractNumId w:val="28"/>
  </w:num>
  <w:num w:numId="26">
    <w:abstractNumId w:val="32"/>
  </w:num>
  <w:num w:numId="27">
    <w:abstractNumId w:val="23"/>
  </w:num>
  <w:num w:numId="28">
    <w:abstractNumId w:val="21"/>
  </w:num>
  <w:num w:numId="29">
    <w:abstractNumId w:val="31"/>
  </w:num>
  <w:num w:numId="30">
    <w:abstractNumId w:val="20"/>
  </w:num>
  <w:num w:numId="31">
    <w:abstractNumId w:val="16"/>
  </w:num>
  <w:num w:numId="32">
    <w:abstractNumId w:val="18"/>
  </w:num>
  <w:num w:numId="33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AA"/>
    <w:rsid w:val="00002A7D"/>
    <w:rsid w:val="00002D81"/>
    <w:rsid w:val="000038A8"/>
    <w:rsid w:val="00005DF3"/>
    <w:rsid w:val="00006790"/>
    <w:rsid w:val="0001775F"/>
    <w:rsid w:val="00027624"/>
    <w:rsid w:val="00032880"/>
    <w:rsid w:val="00035742"/>
    <w:rsid w:val="0004030B"/>
    <w:rsid w:val="00050F6B"/>
    <w:rsid w:val="000563AD"/>
    <w:rsid w:val="000678CD"/>
    <w:rsid w:val="00071150"/>
    <w:rsid w:val="00072C8C"/>
    <w:rsid w:val="00081CE0"/>
    <w:rsid w:val="00081CF0"/>
    <w:rsid w:val="00084D30"/>
    <w:rsid w:val="000876DA"/>
    <w:rsid w:val="00090320"/>
    <w:rsid w:val="0009262F"/>
    <w:rsid w:val="000931C0"/>
    <w:rsid w:val="00094785"/>
    <w:rsid w:val="00097003"/>
    <w:rsid w:val="00097313"/>
    <w:rsid w:val="000A2E09"/>
    <w:rsid w:val="000B175B"/>
    <w:rsid w:val="000B37A6"/>
    <w:rsid w:val="000B3A0F"/>
    <w:rsid w:val="000B795E"/>
    <w:rsid w:val="000E0415"/>
    <w:rsid w:val="000F5263"/>
    <w:rsid w:val="000F7715"/>
    <w:rsid w:val="001011A5"/>
    <w:rsid w:val="00107B37"/>
    <w:rsid w:val="00107C3A"/>
    <w:rsid w:val="0012173E"/>
    <w:rsid w:val="00135B88"/>
    <w:rsid w:val="00146C9C"/>
    <w:rsid w:val="00156B99"/>
    <w:rsid w:val="00166124"/>
    <w:rsid w:val="00184168"/>
    <w:rsid w:val="00184DDA"/>
    <w:rsid w:val="001900CD"/>
    <w:rsid w:val="0019380F"/>
    <w:rsid w:val="001A0452"/>
    <w:rsid w:val="001B4B04"/>
    <w:rsid w:val="001B5875"/>
    <w:rsid w:val="001B755B"/>
    <w:rsid w:val="001C2F49"/>
    <w:rsid w:val="001C4B9C"/>
    <w:rsid w:val="001C6663"/>
    <w:rsid w:val="001C7895"/>
    <w:rsid w:val="001D1614"/>
    <w:rsid w:val="001D26DF"/>
    <w:rsid w:val="001D27D0"/>
    <w:rsid w:val="001E725F"/>
    <w:rsid w:val="001F1599"/>
    <w:rsid w:val="001F19C4"/>
    <w:rsid w:val="001F2C7C"/>
    <w:rsid w:val="002043F0"/>
    <w:rsid w:val="00211DD7"/>
    <w:rsid w:val="00211E0B"/>
    <w:rsid w:val="00224BAA"/>
    <w:rsid w:val="00232575"/>
    <w:rsid w:val="00247258"/>
    <w:rsid w:val="00251ED9"/>
    <w:rsid w:val="00255646"/>
    <w:rsid w:val="0025595D"/>
    <w:rsid w:val="00257CAC"/>
    <w:rsid w:val="002602DA"/>
    <w:rsid w:val="0026283D"/>
    <w:rsid w:val="00271331"/>
    <w:rsid w:val="00272179"/>
    <w:rsid w:val="0027237A"/>
    <w:rsid w:val="002775D7"/>
    <w:rsid w:val="002863A3"/>
    <w:rsid w:val="002974E9"/>
    <w:rsid w:val="002A298C"/>
    <w:rsid w:val="002A306B"/>
    <w:rsid w:val="002A7F94"/>
    <w:rsid w:val="002B109A"/>
    <w:rsid w:val="002C0E08"/>
    <w:rsid w:val="002C6D45"/>
    <w:rsid w:val="002D2AD7"/>
    <w:rsid w:val="002D6E53"/>
    <w:rsid w:val="002E23DB"/>
    <w:rsid w:val="002E243B"/>
    <w:rsid w:val="002E511A"/>
    <w:rsid w:val="002F046D"/>
    <w:rsid w:val="002F3023"/>
    <w:rsid w:val="002F55F0"/>
    <w:rsid w:val="00301764"/>
    <w:rsid w:val="00312E52"/>
    <w:rsid w:val="0031607E"/>
    <w:rsid w:val="003229D8"/>
    <w:rsid w:val="00323B50"/>
    <w:rsid w:val="00324EC2"/>
    <w:rsid w:val="00330CD1"/>
    <w:rsid w:val="00336C97"/>
    <w:rsid w:val="00337F88"/>
    <w:rsid w:val="003408C3"/>
    <w:rsid w:val="00342432"/>
    <w:rsid w:val="00350963"/>
    <w:rsid w:val="0035223F"/>
    <w:rsid w:val="00352D4B"/>
    <w:rsid w:val="0035638C"/>
    <w:rsid w:val="003608E8"/>
    <w:rsid w:val="0037050E"/>
    <w:rsid w:val="003831F7"/>
    <w:rsid w:val="0038739E"/>
    <w:rsid w:val="00393CE1"/>
    <w:rsid w:val="003A46BB"/>
    <w:rsid w:val="003A4EC7"/>
    <w:rsid w:val="003A7295"/>
    <w:rsid w:val="003A7D3F"/>
    <w:rsid w:val="003B1F60"/>
    <w:rsid w:val="003B2388"/>
    <w:rsid w:val="003C2CC4"/>
    <w:rsid w:val="003C3FBC"/>
    <w:rsid w:val="003D41D1"/>
    <w:rsid w:val="003D4B23"/>
    <w:rsid w:val="003D6041"/>
    <w:rsid w:val="003D6D4C"/>
    <w:rsid w:val="003E278A"/>
    <w:rsid w:val="003F2BAC"/>
    <w:rsid w:val="003F6816"/>
    <w:rsid w:val="00413520"/>
    <w:rsid w:val="00415CF4"/>
    <w:rsid w:val="00420B8C"/>
    <w:rsid w:val="004325CB"/>
    <w:rsid w:val="00432A1D"/>
    <w:rsid w:val="00440A07"/>
    <w:rsid w:val="00445FDB"/>
    <w:rsid w:val="004518AB"/>
    <w:rsid w:val="00452A9C"/>
    <w:rsid w:val="00452B22"/>
    <w:rsid w:val="00462880"/>
    <w:rsid w:val="00476F24"/>
    <w:rsid w:val="00487B3D"/>
    <w:rsid w:val="004A5D33"/>
    <w:rsid w:val="004C55B0"/>
    <w:rsid w:val="004D5465"/>
    <w:rsid w:val="004D5C4A"/>
    <w:rsid w:val="004F1221"/>
    <w:rsid w:val="004F2CE0"/>
    <w:rsid w:val="004F6BA0"/>
    <w:rsid w:val="00503BEA"/>
    <w:rsid w:val="00505A79"/>
    <w:rsid w:val="00533616"/>
    <w:rsid w:val="00535ABA"/>
    <w:rsid w:val="0053768B"/>
    <w:rsid w:val="005408AD"/>
    <w:rsid w:val="005420F2"/>
    <w:rsid w:val="0054285C"/>
    <w:rsid w:val="0055750C"/>
    <w:rsid w:val="00571739"/>
    <w:rsid w:val="0057634F"/>
    <w:rsid w:val="00577875"/>
    <w:rsid w:val="00584173"/>
    <w:rsid w:val="00585FBD"/>
    <w:rsid w:val="005931C6"/>
    <w:rsid w:val="005936E3"/>
    <w:rsid w:val="00595520"/>
    <w:rsid w:val="00595A56"/>
    <w:rsid w:val="005977F0"/>
    <w:rsid w:val="005A44B9"/>
    <w:rsid w:val="005A6A7C"/>
    <w:rsid w:val="005A77DD"/>
    <w:rsid w:val="005B1BA0"/>
    <w:rsid w:val="005B3DB3"/>
    <w:rsid w:val="005B44B9"/>
    <w:rsid w:val="005C0268"/>
    <w:rsid w:val="005D15CA"/>
    <w:rsid w:val="005D420B"/>
    <w:rsid w:val="005F02D5"/>
    <w:rsid w:val="005F08DF"/>
    <w:rsid w:val="005F1FB8"/>
    <w:rsid w:val="005F3066"/>
    <w:rsid w:val="005F3E61"/>
    <w:rsid w:val="00604DDD"/>
    <w:rsid w:val="006115CC"/>
    <w:rsid w:val="00611FC4"/>
    <w:rsid w:val="006176FB"/>
    <w:rsid w:val="006256F5"/>
    <w:rsid w:val="00630A1F"/>
    <w:rsid w:val="00630FCB"/>
    <w:rsid w:val="006369CF"/>
    <w:rsid w:val="00640B26"/>
    <w:rsid w:val="0065766B"/>
    <w:rsid w:val="006770B2"/>
    <w:rsid w:val="00686A48"/>
    <w:rsid w:val="006874CA"/>
    <w:rsid w:val="0068763C"/>
    <w:rsid w:val="006940E1"/>
    <w:rsid w:val="00697280"/>
    <w:rsid w:val="006A2413"/>
    <w:rsid w:val="006A3C72"/>
    <w:rsid w:val="006A6F71"/>
    <w:rsid w:val="006A7392"/>
    <w:rsid w:val="006B03A1"/>
    <w:rsid w:val="006B67D9"/>
    <w:rsid w:val="006C0B13"/>
    <w:rsid w:val="006C5535"/>
    <w:rsid w:val="006D0589"/>
    <w:rsid w:val="006D59F3"/>
    <w:rsid w:val="006D6F6F"/>
    <w:rsid w:val="006E460F"/>
    <w:rsid w:val="006E564B"/>
    <w:rsid w:val="006E7154"/>
    <w:rsid w:val="006F2DE1"/>
    <w:rsid w:val="007003CD"/>
    <w:rsid w:val="007059E1"/>
    <w:rsid w:val="0070701E"/>
    <w:rsid w:val="00710573"/>
    <w:rsid w:val="00712DB0"/>
    <w:rsid w:val="0072198B"/>
    <w:rsid w:val="0072632A"/>
    <w:rsid w:val="00733EC1"/>
    <w:rsid w:val="007358E8"/>
    <w:rsid w:val="00736ECE"/>
    <w:rsid w:val="0074533B"/>
    <w:rsid w:val="00746FA2"/>
    <w:rsid w:val="00751427"/>
    <w:rsid w:val="007633B5"/>
    <w:rsid w:val="007643BC"/>
    <w:rsid w:val="00771FE7"/>
    <w:rsid w:val="00773B1B"/>
    <w:rsid w:val="00775C6D"/>
    <w:rsid w:val="00780C68"/>
    <w:rsid w:val="00783E93"/>
    <w:rsid w:val="007959FE"/>
    <w:rsid w:val="007A0CF1"/>
    <w:rsid w:val="007A7547"/>
    <w:rsid w:val="007B02AA"/>
    <w:rsid w:val="007B6BA5"/>
    <w:rsid w:val="007C146E"/>
    <w:rsid w:val="007C3390"/>
    <w:rsid w:val="007C42D8"/>
    <w:rsid w:val="007C4F4B"/>
    <w:rsid w:val="007D062C"/>
    <w:rsid w:val="007D0686"/>
    <w:rsid w:val="007D6F65"/>
    <w:rsid w:val="007D7362"/>
    <w:rsid w:val="007F5CE2"/>
    <w:rsid w:val="007F6611"/>
    <w:rsid w:val="00806D79"/>
    <w:rsid w:val="00810BAC"/>
    <w:rsid w:val="00816A10"/>
    <w:rsid w:val="008175E9"/>
    <w:rsid w:val="008242D7"/>
    <w:rsid w:val="0082577B"/>
    <w:rsid w:val="00825CB5"/>
    <w:rsid w:val="00827C0D"/>
    <w:rsid w:val="00844EDF"/>
    <w:rsid w:val="008554CB"/>
    <w:rsid w:val="00861590"/>
    <w:rsid w:val="00866893"/>
    <w:rsid w:val="00866F02"/>
    <w:rsid w:val="00867D18"/>
    <w:rsid w:val="00871F9A"/>
    <w:rsid w:val="00871FD5"/>
    <w:rsid w:val="008722B9"/>
    <w:rsid w:val="008771E0"/>
    <w:rsid w:val="00880A97"/>
    <w:rsid w:val="0088172E"/>
    <w:rsid w:val="00881EFA"/>
    <w:rsid w:val="008879CB"/>
    <w:rsid w:val="00895C1F"/>
    <w:rsid w:val="00896ED9"/>
    <w:rsid w:val="00897382"/>
    <w:rsid w:val="008979B1"/>
    <w:rsid w:val="00897E5B"/>
    <w:rsid w:val="008A0AF5"/>
    <w:rsid w:val="008A2A18"/>
    <w:rsid w:val="008A3A94"/>
    <w:rsid w:val="008A6B25"/>
    <w:rsid w:val="008A6C4F"/>
    <w:rsid w:val="008B389E"/>
    <w:rsid w:val="008C6185"/>
    <w:rsid w:val="008D037C"/>
    <w:rsid w:val="008D045E"/>
    <w:rsid w:val="008D0A79"/>
    <w:rsid w:val="008D3F25"/>
    <w:rsid w:val="008D4B48"/>
    <w:rsid w:val="008D4D82"/>
    <w:rsid w:val="008D5741"/>
    <w:rsid w:val="008E0E46"/>
    <w:rsid w:val="008E7116"/>
    <w:rsid w:val="008F143B"/>
    <w:rsid w:val="008F3882"/>
    <w:rsid w:val="008F4B7C"/>
    <w:rsid w:val="0090158E"/>
    <w:rsid w:val="00922034"/>
    <w:rsid w:val="00923061"/>
    <w:rsid w:val="00926E47"/>
    <w:rsid w:val="00947162"/>
    <w:rsid w:val="009610D0"/>
    <w:rsid w:val="0096375C"/>
    <w:rsid w:val="009662E6"/>
    <w:rsid w:val="0097095E"/>
    <w:rsid w:val="0097520E"/>
    <w:rsid w:val="0097623C"/>
    <w:rsid w:val="0098592B"/>
    <w:rsid w:val="00985FC4"/>
    <w:rsid w:val="00990766"/>
    <w:rsid w:val="00991261"/>
    <w:rsid w:val="009964C4"/>
    <w:rsid w:val="009A0BB2"/>
    <w:rsid w:val="009A7B81"/>
    <w:rsid w:val="009B6270"/>
    <w:rsid w:val="009B7EB7"/>
    <w:rsid w:val="009C5EEC"/>
    <w:rsid w:val="009D01C0"/>
    <w:rsid w:val="009D6A08"/>
    <w:rsid w:val="009E0A16"/>
    <w:rsid w:val="009E1F35"/>
    <w:rsid w:val="009E6CB7"/>
    <w:rsid w:val="009E7970"/>
    <w:rsid w:val="009F2EAC"/>
    <w:rsid w:val="009F57E3"/>
    <w:rsid w:val="00A070A0"/>
    <w:rsid w:val="00A10F4F"/>
    <w:rsid w:val="00A11067"/>
    <w:rsid w:val="00A120A3"/>
    <w:rsid w:val="00A1704A"/>
    <w:rsid w:val="00A232DA"/>
    <w:rsid w:val="00A36AC2"/>
    <w:rsid w:val="00A40ED2"/>
    <w:rsid w:val="00A425EB"/>
    <w:rsid w:val="00A57093"/>
    <w:rsid w:val="00A6662C"/>
    <w:rsid w:val="00A70384"/>
    <w:rsid w:val="00A72F22"/>
    <w:rsid w:val="00A733BC"/>
    <w:rsid w:val="00A7443E"/>
    <w:rsid w:val="00A748A6"/>
    <w:rsid w:val="00A74C04"/>
    <w:rsid w:val="00A76A69"/>
    <w:rsid w:val="00A80DF1"/>
    <w:rsid w:val="00A86481"/>
    <w:rsid w:val="00A879A4"/>
    <w:rsid w:val="00AA0FF8"/>
    <w:rsid w:val="00AA7F20"/>
    <w:rsid w:val="00AB2881"/>
    <w:rsid w:val="00AB4C03"/>
    <w:rsid w:val="00AB708F"/>
    <w:rsid w:val="00AC0F2C"/>
    <w:rsid w:val="00AC1417"/>
    <w:rsid w:val="00AC23DC"/>
    <w:rsid w:val="00AC502A"/>
    <w:rsid w:val="00AD4902"/>
    <w:rsid w:val="00AE1E26"/>
    <w:rsid w:val="00AE1FF2"/>
    <w:rsid w:val="00AE5807"/>
    <w:rsid w:val="00AF2790"/>
    <w:rsid w:val="00AF58C1"/>
    <w:rsid w:val="00AF7D93"/>
    <w:rsid w:val="00B04A3F"/>
    <w:rsid w:val="00B05006"/>
    <w:rsid w:val="00B06643"/>
    <w:rsid w:val="00B07E9A"/>
    <w:rsid w:val="00B10846"/>
    <w:rsid w:val="00B14CBF"/>
    <w:rsid w:val="00B15055"/>
    <w:rsid w:val="00B1585F"/>
    <w:rsid w:val="00B20551"/>
    <w:rsid w:val="00B30179"/>
    <w:rsid w:val="00B31E0B"/>
    <w:rsid w:val="00B33FC7"/>
    <w:rsid w:val="00B37B15"/>
    <w:rsid w:val="00B40197"/>
    <w:rsid w:val="00B4162A"/>
    <w:rsid w:val="00B41F61"/>
    <w:rsid w:val="00B45C02"/>
    <w:rsid w:val="00B67A34"/>
    <w:rsid w:val="00B70B63"/>
    <w:rsid w:val="00B72A1E"/>
    <w:rsid w:val="00B81E12"/>
    <w:rsid w:val="00B83465"/>
    <w:rsid w:val="00BA339B"/>
    <w:rsid w:val="00BA5BC1"/>
    <w:rsid w:val="00BB2263"/>
    <w:rsid w:val="00BB23CC"/>
    <w:rsid w:val="00BC1E7E"/>
    <w:rsid w:val="00BC2425"/>
    <w:rsid w:val="00BC74E9"/>
    <w:rsid w:val="00BD0E93"/>
    <w:rsid w:val="00BD7C88"/>
    <w:rsid w:val="00BE2CC7"/>
    <w:rsid w:val="00BE36A9"/>
    <w:rsid w:val="00BE618E"/>
    <w:rsid w:val="00BE7BEC"/>
    <w:rsid w:val="00BF0A5A"/>
    <w:rsid w:val="00BF0E63"/>
    <w:rsid w:val="00BF107A"/>
    <w:rsid w:val="00BF12A3"/>
    <w:rsid w:val="00BF16D7"/>
    <w:rsid w:val="00BF2373"/>
    <w:rsid w:val="00BF279B"/>
    <w:rsid w:val="00BF40AE"/>
    <w:rsid w:val="00C044E2"/>
    <w:rsid w:val="00C048CB"/>
    <w:rsid w:val="00C066F3"/>
    <w:rsid w:val="00C22CDB"/>
    <w:rsid w:val="00C3308A"/>
    <w:rsid w:val="00C3527E"/>
    <w:rsid w:val="00C42B12"/>
    <w:rsid w:val="00C42E88"/>
    <w:rsid w:val="00C463DD"/>
    <w:rsid w:val="00C72AE2"/>
    <w:rsid w:val="00C745C3"/>
    <w:rsid w:val="00C80A6D"/>
    <w:rsid w:val="00C87BA3"/>
    <w:rsid w:val="00C911D3"/>
    <w:rsid w:val="00C93B8C"/>
    <w:rsid w:val="00C978F5"/>
    <w:rsid w:val="00CA24A4"/>
    <w:rsid w:val="00CA269F"/>
    <w:rsid w:val="00CA5DEF"/>
    <w:rsid w:val="00CB348D"/>
    <w:rsid w:val="00CD1893"/>
    <w:rsid w:val="00CD46F5"/>
    <w:rsid w:val="00CE3708"/>
    <w:rsid w:val="00CE4A8F"/>
    <w:rsid w:val="00CF071D"/>
    <w:rsid w:val="00CF1F93"/>
    <w:rsid w:val="00D0123D"/>
    <w:rsid w:val="00D13DCF"/>
    <w:rsid w:val="00D14B0E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609DC"/>
    <w:rsid w:val="00D704E5"/>
    <w:rsid w:val="00D72727"/>
    <w:rsid w:val="00D8282E"/>
    <w:rsid w:val="00D92643"/>
    <w:rsid w:val="00D93FA0"/>
    <w:rsid w:val="00D95E7B"/>
    <w:rsid w:val="00D978C6"/>
    <w:rsid w:val="00DA0956"/>
    <w:rsid w:val="00DA31A1"/>
    <w:rsid w:val="00DA357F"/>
    <w:rsid w:val="00DA3E12"/>
    <w:rsid w:val="00DB2B65"/>
    <w:rsid w:val="00DC18AD"/>
    <w:rsid w:val="00DC75A1"/>
    <w:rsid w:val="00DE415D"/>
    <w:rsid w:val="00DE45AA"/>
    <w:rsid w:val="00DE6870"/>
    <w:rsid w:val="00DF1EC9"/>
    <w:rsid w:val="00DF7CAE"/>
    <w:rsid w:val="00E16FDD"/>
    <w:rsid w:val="00E210E8"/>
    <w:rsid w:val="00E31539"/>
    <w:rsid w:val="00E407C7"/>
    <w:rsid w:val="00E423C0"/>
    <w:rsid w:val="00E42CB4"/>
    <w:rsid w:val="00E600E4"/>
    <w:rsid w:val="00E6414C"/>
    <w:rsid w:val="00E7260F"/>
    <w:rsid w:val="00E77229"/>
    <w:rsid w:val="00E806DF"/>
    <w:rsid w:val="00E8702D"/>
    <w:rsid w:val="00E905F4"/>
    <w:rsid w:val="00E911A8"/>
    <w:rsid w:val="00E912DA"/>
    <w:rsid w:val="00E916A9"/>
    <w:rsid w:val="00E916DE"/>
    <w:rsid w:val="00E925AD"/>
    <w:rsid w:val="00E95347"/>
    <w:rsid w:val="00E96630"/>
    <w:rsid w:val="00EA0653"/>
    <w:rsid w:val="00EC1D66"/>
    <w:rsid w:val="00EC52B1"/>
    <w:rsid w:val="00EC5991"/>
    <w:rsid w:val="00ED099C"/>
    <w:rsid w:val="00ED18DC"/>
    <w:rsid w:val="00ED4BF9"/>
    <w:rsid w:val="00ED6201"/>
    <w:rsid w:val="00ED7A2A"/>
    <w:rsid w:val="00EF1D7F"/>
    <w:rsid w:val="00EF2250"/>
    <w:rsid w:val="00F0137E"/>
    <w:rsid w:val="00F04E44"/>
    <w:rsid w:val="00F1317C"/>
    <w:rsid w:val="00F17FE1"/>
    <w:rsid w:val="00F21786"/>
    <w:rsid w:val="00F25D06"/>
    <w:rsid w:val="00F31CFF"/>
    <w:rsid w:val="00F357B0"/>
    <w:rsid w:val="00F3742B"/>
    <w:rsid w:val="00F378AB"/>
    <w:rsid w:val="00F41FDB"/>
    <w:rsid w:val="00F455C0"/>
    <w:rsid w:val="00F50597"/>
    <w:rsid w:val="00F56D63"/>
    <w:rsid w:val="00F609A9"/>
    <w:rsid w:val="00F61CAB"/>
    <w:rsid w:val="00F753A8"/>
    <w:rsid w:val="00F80C99"/>
    <w:rsid w:val="00F867EC"/>
    <w:rsid w:val="00F91B2B"/>
    <w:rsid w:val="00F97B5A"/>
    <w:rsid w:val="00FC03CD"/>
    <w:rsid w:val="00FC0646"/>
    <w:rsid w:val="00FC68B7"/>
    <w:rsid w:val="00FD0636"/>
    <w:rsid w:val="00FD0B6E"/>
    <w:rsid w:val="00FD1BA8"/>
    <w:rsid w:val="00FD454B"/>
    <w:rsid w:val="00FE6985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A36C849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3DB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paragraph" w:styleId="ListParagraph">
    <w:name w:val="List Paragraph"/>
    <w:basedOn w:val="Normal"/>
    <w:uiPriority w:val="1"/>
    <w:qFormat/>
    <w:rsid w:val="00C42E88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">
    <w:name w:val="para"/>
    <w:basedOn w:val="SingleTxtG"/>
    <w:link w:val="paraChar"/>
    <w:qFormat/>
    <w:rsid w:val="00C42E88"/>
    <w:pPr>
      <w:ind w:left="2268" w:hanging="1134"/>
    </w:pPr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C42E88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C42E88"/>
    <w:rPr>
      <w:b/>
      <w:sz w:val="24"/>
      <w:lang w:val="en-GB"/>
    </w:rPr>
  </w:style>
  <w:style w:type="paragraph" w:customStyle="1" w:styleId="Default">
    <w:name w:val="Default"/>
    <w:rsid w:val="008554CB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C33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30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3308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308A"/>
    <w:rPr>
      <w:b/>
      <w:bCs/>
      <w:lang w:val="en-GB"/>
    </w:rPr>
  </w:style>
  <w:style w:type="paragraph" w:styleId="NormalWeb">
    <w:name w:val="Normal (Web)"/>
    <w:basedOn w:val="Normal"/>
    <w:uiPriority w:val="99"/>
    <w:semiHidden/>
    <w:unhideWhenUsed/>
    <w:rsid w:val="001011A5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character" w:customStyle="1" w:styleId="HeaderChar">
    <w:name w:val="Header Char"/>
    <w:aliases w:val="6_G Char"/>
    <w:basedOn w:val="DefaultParagraphFont"/>
    <w:link w:val="Header"/>
    <w:rsid w:val="00897E5B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97E5B"/>
    <w:rPr>
      <w:sz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A070A0"/>
    <w:pPr>
      <w:widowControl w:val="0"/>
      <w:suppressAutoHyphens w:val="0"/>
      <w:spacing w:line="240" w:lineRule="auto"/>
    </w:pPr>
    <w:rPr>
      <w:rFonts w:ascii="Yu Gothic" w:eastAsia="Yu Gothic" w:hAnsi="Courier New" w:cs="Courier New"/>
      <w:kern w:val="2"/>
      <w:sz w:val="22"/>
      <w:szCs w:val="22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070A0"/>
    <w:rPr>
      <w:rFonts w:ascii="Yu Gothic" w:eastAsia="Yu Gothic" w:hAnsi="Courier New" w:cs="Courier New"/>
      <w:kern w:val="2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2406D2-A2FC-4388-A3D0-A7BE4BD731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BF121-1AAA-4879-90A9-B4ED6A132A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ACE97A-0F5E-4207-BE7B-382107BA5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B35171-51A3-42BF-879E-C35A32079D7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acccb6d4-dbe5-46d2-b4d3-5733603d8cc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4397</Characters>
  <Application>Microsoft Office Word</Application>
  <DocSecurity>0</DocSecurity>
  <Lines>115</Lines>
  <Paragraphs>60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ECE/TRANS/WP.29/GRPE/2022/2</vt:lpstr>
      <vt:lpstr>ECE/TRANS/WP.29/GRPE/2022/2</vt:lpstr>
      <vt:lpstr>ECE/TRANS/WP.29/GRPE/2021/3</vt:lpstr>
    </vt:vector>
  </TitlesOfParts>
  <Company>CSD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ECE/TRANS/WP.29/GRPE/2022/13</dc:title>
  <dc:subject>2204123</dc:subject>
  <dc:creator>Admin</dc:creator>
  <cp:keywords/>
  <dc:description/>
  <cp:lastModifiedBy>Pauline Anne Escalante</cp:lastModifiedBy>
  <cp:revision>2</cp:revision>
  <cp:lastPrinted>2021-10-26T11:58:00Z</cp:lastPrinted>
  <dcterms:created xsi:type="dcterms:W3CDTF">2022-03-22T08:22:00Z</dcterms:created>
  <dcterms:modified xsi:type="dcterms:W3CDTF">2022-03-22T08:22:00Z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P525191@inetpsa.com</vt:lpwstr>
  </property>
  <property fmtid="{D5CDD505-2E9C-101B-9397-08002B2CF9AE}" pid="5" name="MSIP_Label_2fd53d93-3f4c-4b90-b511-bd6bdbb4fba9_SetDate">
    <vt:lpwstr>2020-09-24T09:12:43.1402025Z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ContentTypeId">
    <vt:lpwstr>0x0101003B8422D08C252547BB1CFA7F78E2CB83</vt:lpwstr>
  </property>
</Properties>
</file>