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E55F" w14:textId="77777777" w:rsidR="00F60D33" w:rsidRPr="004C2280" w:rsidRDefault="00F60D33" w:rsidP="00F60D33">
      <w:pPr>
        <w:keepNext/>
        <w:spacing w:before="120"/>
        <w:rPr>
          <w:b/>
          <w:sz w:val="28"/>
          <w:szCs w:val="28"/>
        </w:rPr>
      </w:pPr>
      <w:r w:rsidRPr="004C2280">
        <w:rPr>
          <w:b/>
          <w:sz w:val="28"/>
          <w:szCs w:val="28"/>
        </w:rPr>
        <w:t>Economic Commission for Europe</w:t>
      </w:r>
    </w:p>
    <w:p w14:paraId="316B2DE0" w14:textId="77777777" w:rsidR="00F60D33" w:rsidRPr="0064685E" w:rsidRDefault="00F60D33" w:rsidP="00F60D33">
      <w:pPr>
        <w:keepNext/>
        <w:suppressAutoHyphens/>
        <w:spacing w:before="120"/>
        <w:rPr>
          <w:bCs/>
          <w:sz w:val="28"/>
          <w:szCs w:val="28"/>
        </w:rPr>
      </w:pPr>
      <w:r w:rsidRPr="0064685E">
        <w:rPr>
          <w:bCs/>
          <w:sz w:val="28"/>
          <w:szCs w:val="28"/>
        </w:rPr>
        <w:t>Committee on Environmental Policy</w:t>
      </w:r>
    </w:p>
    <w:p w14:paraId="77CBC556" w14:textId="77777777" w:rsidR="00F60D33" w:rsidRPr="00D139A3" w:rsidRDefault="00F60D33" w:rsidP="00F60D33">
      <w:pPr>
        <w:tabs>
          <w:tab w:val="left" w:pos="3261"/>
        </w:tabs>
        <w:spacing w:before="120"/>
        <w:rPr>
          <w:b/>
        </w:rPr>
      </w:pPr>
      <w:r w:rsidRPr="00D139A3">
        <w:rPr>
          <w:b/>
        </w:rPr>
        <w:t>Special session</w:t>
      </w:r>
    </w:p>
    <w:p w14:paraId="5F5E61B6" w14:textId="77777777" w:rsidR="00F60D33" w:rsidRPr="00C97F33" w:rsidRDefault="00F60D33" w:rsidP="00F60D33">
      <w:r w:rsidRPr="00C97F33">
        <w:t>Geneva, 9–12 May 2022</w:t>
      </w:r>
    </w:p>
    <w:p w14:paraId="42D76B7E" w14:textId="77777777" w:rsidR="00F60D33" w:rsidRPr="004C2280" w:rsidRDefault="00F60D33" w:rsidP="00F60D33">
      <w:pPr>
        <w:keepNext/>
        <w:suppressAutoHyphens/>
      </w:pPr>
      <w:r w:rsidRPr="004C2280">
        <w:t xml:space="preserve">Item </w:t>
      </w:r>
      <w:r>
        <w:t>3(c)</w:t>
      </w:r>
      <w:r w:rsidRPr="004C2280">
        <w:t xml:space="preserve"> of the provisional agenda</w:t>
      </w:r>
    </w:p>
    <w:p w14:paraId="5D439B96" w14:textId="77777777" w:rsidR="00F60D33" w:rsidRPr="004C2280" w:rsidRDefault="00F60D33" w:rsidP="00F60D33">
      <w:pPr>
        <w:keepNext/>
        <w:suppressAutoHyphens/>
        <w:rPr>
          <w:b/>
        </w:rPr>
      </w:pPr>
      <w:r w:rsidRPr="00AE71D9">
        <w:rPr>
          <w:b/>
        </w:rPr>
        <w:t>The Ninth Environment for Europe Ministerial Conference</w:t>
      </w:r>
      <w:r>
        <w:rPr>
          <w:b/>
        </w:rPr>
        <w:t>:</w:t>
      </w:r>
      <w:r>
        <w:rPr>
          <w:b/>
        </w:rPr>
        <w:br/>
      </w:r>
      <w:r w:rsidRPr="00AE71D9">
        <w:rPr>
          <w:b/>
        </w:rPr>
        <w:t>Pan-European environmental assessment</w:t>
      </w:r>
    </w:p>
    <w:p w14:paraId="05B4A908" w14:textId="77777777" w:rsidR="00F60D33" w:rsidRPr="004C2280" w:rsidRDefault="00F60D33" w:rsidP="00F60D33">
      <w:pPr>
        <w:pStyle w:val="BodyText2"/>
        <w:keepNext/>
        <w:spacing w:after="0" w:line="240" w:lineRule="auto"/>
        <w:rPr>
          <w:rFonts w:eastAsia="SimSun"/>
        </w:rPr>
      </w:pPr>
    </w:p>
    <w:p w14:paraId="7EC53BB8" w14:textId="77777777" w:rsidR="00F60D33" w:rsidRPr="004C2280" w:rsidRDefault="00F60D33" w:rsidP="00F60D33">
      <w:pPr>
        <w:pStyle w:val="BodyText2"/>
        <w:keepNext/>
        <w:spacing w:after="0" w:line="240" w:lineRule="auto"/>
        <w:rPr>
          <w:rFonts w:eastAsia="SimSun"/>
        </w:rPr>
      </w:pPr>
      <w:r w:rsidRPr="004C2280">
        <w:rPr>
          <w:rFonts w:eastAsia="SimSun"/>
        </w:rPr>
        <w:t>Information paper No.</w:t>
      </w:r>
      <w:r>
        <w:rPr>
          <w:rFonts w:eastAsia="SimSun"/>
        </w:rPr>
        <w:t>4</w:t>
      </w:r>
    </w:p>
    <w:p w14:paraId="6F90FB4D" w14:textId="77777777" w:rsidR="00F60D33" w:rsidRPr="004C2280" w:rsidRDefault="00F60D33" w:rsidP="00F60D33">
      <w:pPr>
        <w:pStyle w:val="BodyText2"/>
        <w:keepNext/>
        <w:spacing w:after="0" w:line="240" w:lineRule="auto"/>
        <w:rPr>
          <w:rFonts w:eastAsia="SimSun"/>
        </w:rPr>
      </w:pPr>
      <w:r>
        <w:rPr>
          <w:rFonts w:eastAsia="SimSun"/>
        </w:rPr>
        <w:t xml:space="preserve">21 April </w:t>
      </w:r>
      <w:r w:rsidRPr="004C2280">
        <w:rPr>
          <w:rFonts w:eastAsia="SimSun"/>
        </w:rPr>
        <w:t>20</w:t>
      </w:r>
      <w:r>
        <w:rPr>
          <w:rFonts w:eastAsia="SimSun"/>
        </w:rPr>
        <w:t>22</w:t>
      </w:r>
    </w:p>
    <w:p w14:paraId="1355FAE4" w14:textId="33F5FE67" w:rsidR="004870FA" w:rsidRDefault="00BD22CD" w:rsidP="004870FA">
      <w:pPr>
        <w:pStyle w:val="HMG"/>
      </w:pPr>
      <w:r w:rsidRPr="00D455BA">
        <w:tab/>
      </w:r>
      <w:r w:rsidRPr="00D455BA">
        <w:tab/>
      </w:r>
      <w:r w:rsidR="008709C5" w:rsidRPr="008709C5">
        <w:t>Europe’s Environment: the seventh pan-European environmental assessment</w:t>
      </w:r>
    </w:p>
    <w:p w14:paraId="376F0816" w14:textId="00C28A1F" w:rsidR="00BD22CD" w:rsidRPr="005C5AD0" w:rsidRDefault="00DD2348" w:rsidP="00DD2348">
      <w:pPr>
        <w:pStyle w:val="HChG"/>
      </w:pPr>
      <w:r>
        <w:rPr>
          <w:lang w:eastAsia="zh-TW"/>
        </w:rPr>
        <w:tab/>
      </w:r>
      <w:r>
        <w:rPr>
          <w:lang w:eastAsia="zh-TW"/>
        </w:rPr>
        <w:tab/>
      </w:r>
      <w:r w:rsidR="00F60D33">
        <w:t>Draft summary for policymakers</w:t>
      </w:r>
    </w:p>
    <w:p w14:paraId="3995FF98" w14:textId="282EF960" w:rsidR="00BD22CD" w:rsidRPr="00D455BA" w:rsidRDefault="00BD22CD" w:rsidP="00BD22CD">
      <w:pPr>
        <w:pStyle w:val="H1G"/>
      </w:pPr>
      <w:r w:rsidRPr="00D455BA">
        <w:tab/>
      </w:r>
      <w:r w:rsidRPr="00D455BA">
        <w:tab/>
        <w:t>Note</w:t>
      </w:r>
      <w:r w:rsidRPr="00D455BA">
        <w:rPr>
          <w:spacing w:val="-3"/>
        </w:rPr>
        <w:t xml:space="preserve"> </w:t>
      </w:r>
      <w:r w:rsidRPr="00D455BA">
        <w:t>by</w:t>
      </w:r>
      <w:r w:rsidRPr="00D455BA">
        <w:rPr>
          <w:spacing w:val="-1"/>
        </w:rPr>
        <w:t xml:space="preserve"> </w:t>
      </w:r>
      <w:r w:rsidRPr="00D455BA">
        <w:t>the</w:t>
      </w:r>
      <w:r w:rsidRPr="00D455BA">
        <w:rPr>
          <w:spacing w:val="-2"/>
        </w:rPr>
        <w:t xml:space="preserve"> </w:t>
      </w:r>
      <w:r w:rsidR="00475525">
        <w:rPr>
          <w:spacing w:val="-2"/>
        </w:rPr>
        <w:t>s</w:t>
      </w:r>
      <w:r w:rsidRPr="00D455BA">
        <w:t>ecretariat</w:t>
      </w:r>
      <w:r w:rsidR="00DA10AC" w:rsidRPr="00D455BA">
        <w:t xml:space="preserve"> and UNEP</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4016F" w:rsidRPr="00D455BA" w14:paraId="024553EA" w14:textId="77777777" w:rsidTr="00ED5D38">
        <w:trPr>
          <w:jc w:val="center"/>
        </w:trPr>
        <w:tc>
          <w:tcPr>
            <w:tcW w:w="9629" w:type="dxa"/>
            <w:shd w:val="clear" w:color="auto" w:fill="auto"/>
          </w:tcPr>
          <w:p w14:paraId="3164C77A" w14:textId="77777777" w:rsidR="0074016F" w:rsidRPr="00D455BA" w:rsidRDefault="0074016F" w:rsidP="008C58AB">
            <w:pPr>
              <w:spacing w:before="240" w:after="120"/>
              <w:ind w:left="255"/>
              <w:rPr>
                <w:i/>
                <w:sz w:val="24"/>
                <w:lang w:eastAsia="zh-TW"/>
              </w:rPr>
            </w:pPr>
            <w:r w:rsidRPr="00D455BA">
              <w:rPr>
                <w:i/>
                <w:sz w:val="24"/>
                <w:lang w:eastAsia="zh-TW"/>
              </w:rPr>
              <w:t>Summary</w:t>
            </w:r>
          </w:p>
        </w:tc>
      </w:tr>
      <w:tr w:rsidR="0074016F" w:rsidRPr="00D455BA" w14:paraId="2C25E813" w14:textId="77777777" w:rsidTr="00ED5D38">
        <w:trPr>
          <w:jc w:val="center"/>
        </w:trPr>
        <w:tc>
          <w:tcPr>
            <w:tcW w:w="9629" w:type="dxa"/>
            <w:shd w:val="clear" w:color="auto" w:fill="auto"/>
          </w:tcPr>
          <w:p w14:paraId="5EAAB824" w14:textId="4B16803D" w:rsidR="001B55DE" w:rsidRPr="00D455BA" w:rsidRDefault="0074016F" w:rsidP="001B55DE">
            <w:pPr>
              <w:pStyle w:val="SingleTxtG"/>
              <w:rPr>
                <w:lang w:eastAsia="zh-TW"/>
              </w:rPr>
            </w:pPr>
            <w:r w:rsidRPr="00D455BA">
              <w:rPr>
                <w:lang w:eastAsia="zh-TW"/>
              </w:rPr>
              <w:tab/>
            </w:r>
            <w:r w:rsidRPr="00D455BA">
              <w:rPr>
                <w:lang w:eastAsia="zh-TW"/>
              </w:rPr>
              <w:tab/>
            </w:r>
            <w:r w:rsidR="001B55DE" w:rsidRPr="00D455BA">
              <w:rPr>
                <w:lang w:eastAsia="zh-TW"/>
              </w:rPr>
              <w:t xml:space="preserve">The </w:t>
            </w:r>
            <w:r w:rsidR="00B6494A">
              <w:rPr>
                <w:lang w:eastAsia="zh-TW"/>
              </w:rPr>
              <w:t xml:space="preserve">United Nations Economic Commission for Europe (ECE) </w:t>
            </w:r>
            <w:r w:rsidR="001B55DE" w:rsidRPr="00D455BA">
              <w:rPr>
                <w:lang w:eastAsia="zh-TW"/>
              </w:rPr>
              <w:t>Working Group on Environmental Monitoring and Assessment has been tasked by the Committee on Environmental Policy with leading a process of consultation on the regular pan-European environmental assessment (ECE/CEP/2017/2, annex II, para. 2 (b)) for consideration by the Committee and leading up to the next Environment for Europe Ministerial Conference.</w:t>
            </w:r>
          </w:p>
          <w:p w14:paraId="56671A5D" w14:textId="1B998620" w:rsidR="001B55DE" w:rsidRDefault="001B55DE" w:rsidP="00BC6935">
            <w:pPr>
              <w:pStyle w:val="SingleTxtG"/>
              <w:rPr>
                <w:lang w:eastAsia="zh-TW"/>
              </w:rPr>
            </w:pPr>
            <w:r w:rsidRPr="00D455BA">
              <w:rPr>
                <w:lang w:eastAsia="zh-TW"/>
              </w:rPr>
              <w:tab/>
            </w:r>
            <w:r w:rsidRPr="00D455BA">
              <w:rPr>
                <w:lang w:eastAsia="zh-TW"/>
              </w:rPr>
              <w:tab/>
              <w:t xml:space="preserve">At its twenty-fifth session </w:t>
            </w:r>
            <w:bookmarkStart w:id="0" w:name="_Hlk67381892"/>
            <w:r w:rsidRPr="00D455BA">
              <w:rPr>
                <w:lang w:eastAsia="zh-TW"/>
              </w:rPr>
              <w:t>(Geneva, 13</w:t>
            </w:r>
            <w:r w:rsidR="00BC6935" w:rsidRPr="00D455BA">
              <w:rPr>
                <w:lang w:eastAsia="zh-TW"/>
              </w:rPr>
              <w:t>–</w:t>
            </w:r>
            <w:r w:rsidRPr="00D455BA">
              <w:rPr>
                <w:lang w:eastAsia="zh-TW"/>
              </w:rPr>
              <w:t>15 November 2019)</w:t>
            </w:r>
            <w:bookmarkEnd w:id="0"/>
            <w:r w:rsidRPr="00D455BA">
              <w:rPr>
                <w:lang w:eastAsia="zh-TW"/>
              </w:rPr>
              <w:t>, the Committee welcomed the information provided by the secretariat and the United Nations Environment Programme (UNEP) on the next pan-European environmental assessment. Furthermore, it requested the secretariat and UNEP, working in close cooperation with the European Environment Agency, to prepare a limited indicator-based and thematic assessment</w:t>
            </w:r>
            <w:r w:rsidR="000F67C5" w:rsidRPr="00D455BA">
              <w:rPr>
                <w:lang w:eastAsia="zh-TW"/>
              </w:rPr>
              <w:t>,</w:t>
            </w:r>
            <w:r w:rsidRPr="00D455BA">
              <w:rPr>
                <w:lang w:eastAsia="zh-TW"/>
              </w:rPr>
              <w:t xml:space="preserve"> and </w:t>
            </w:r>
            <w:r w:rsidR="000F67C5" w:rsidRPr="00D455BA">
              <w:rPr>
                <w:lang w:eastAsia="zh-TW"/>
              </w:rPr>
              <w:t xml:space="preserve">to </w:t>
            </w:r>
            <w:r w:rsidRPr="00D455BA">
              <w:rPr>
                <w:lang w:eastAsia="zh-TW"/>
              </w:rPr>
              <w:t>regularly inform the Bureau of progress made (ECE/CEP/2019/15, para. 37</w:t>
            </w:r>
            <w:r w:rsidR="000F67C5" w:rsidRPr="00D455BA">
              <w:rPr>
                <w:lang w:eastAsia="zh-TW"/>
              </w:rPr>
              <w:t xml:space="preserve"> (k)</w:t>
            </w:r>
            <w:r w:rsidRPr="00D455BA">
              <w:rPr>
                <w:lang w:eastAsia="zh-TW"/>
              </w:rPr>
              <w:t>).</w:t>
            </w:r>
          </w:p>
          <w:p w14:paraId="3048BF28" w14:textId="77777777" w:rsidR="0074016F" w:rsidRDefault="00CA0329" w:rsidP="009415D3">
            <w:pPr>
              <w:pStyle w:val="SingleTxtG"/>
              <w:rPr>
                <w:lang w:eastAsia="zh-TW"/>
              </w:rPr>
            </w:pPr>
            <w:r>
              <w:rPr>
                <w:lang w:eastAsia="zh-TW"/>
              </w:rPr>
              <w:tab/>
            </w:r>
            <w:r>
              <w:rPr>
                <w:lang w:eastAsia="zh-TW"/>
              </w:rPr>
              <w:tab/>
            </w:r>
            <w:r w:rsidR="00654CAB">
              <w:rPr>
                <w:lang w:eastAsia="zh-TW"/>
              </w:rPr>
              <w:t xml:space="preserve">At its twenty-seventh session </w:t>
            </w:r>
            <w:r w:rsidR="00B6494A" w:rsidRPr="00D455BA">
              <w:rPr>
                <w:lang w:eastAsia="zh-TW"/>
              </w:rPr>
              <w:t>(Geneva, 3–5 November 20</w:t>
            </w:r>
            <w:r w:rsidR="00B6494A">
              <w:rPr>
                <w:lang w:eastAsia="zh-TW"/>
              </w:rPr>
              <w:t>21</w:t>
            </w:r>
            <w:r w:rsidR="00B6494A" w:rsidRPr="00D455BA">
              <w:rPr>
                <w:lang w:eastAsia="zh-TW"/>
              </w:rPr>
              <w:t>),</w:t>
            </w:r>
            <w:r w:rsidR="00B6494A">
              <w:rPr>
                <w:lang w:eastAsia="zh-TW"/>
              </w:rPr>
              <w:t xml:space="preserve"> </w:t>
            </w:r>
            <w:r w:rsidR="004574BE">
              <w:rPr>
                <w:lang w:eastAsia="zh-TW"/>
              </w:rPr>
              <w:t xml:space="preserve">the Committee </w:t>
            </w:r>
            <w:r w:rsidR="00DD5B4A">
              <w:rPr>
                <w:lang w:eastAsia="zh-TW"/>
              </w:rPr>
              <w:t>w</w:t>
            </w:r>
            <w:r w:rsidR="004574BE">
              <w:rPr>
                <w:lang w:eastAsia="zh-TW"/>
              </w:rPr>
              <w:t>elcomed the draft elements of the assessment and took note of the progress made, timeline and next steps for its completion</w:t>
            </w:r>
            <w:r w:rsidR="00CB6A3E">
              <w:rPr>
                <w:lang w:eastAsia="zh-TW"/>
              </w:rPr>
              <w:t>, requested the secretariat to submit the full draft of the pan-European assessment and the draft summary for policymakers for consultation with ECE member States, at the latest by 15 February 2022, and decided to provide comments to the secretariat within one month of receipt</w:t>
            </w:r>
            <w:r w:rsidR="00572294">
              <w:rPr>
                <w:lang w:eastAsia="zh-TW"/>
              </w:rPr>
              <w:t>.</w:t>
            </w:r>
          </w:p>
          <w:p w14:paraId="73D421E9" w14:textId="1CD3C873" w:rsidR="0074016F" w:rsidRPr="00D455BA" w:rsidRDefault="0048736D" w:rsidP="009415D3">
            <w:pPr>
              <w:pStyle w:val="SingleTxtG"/>
              <w:rPr>
                <w:lang w:eastAsia="zh-TW"/>
              </w:rPr>
            </w:pPr>
            <w:r>
              <w:rPr>
                <w:lang w:eastAsia="zh-TW"/>
              </w:rPr>
              <w:tab/>
            </w:r>
            <w:r>
              <w:rPr>
                <w:lang w:eastAsia="zh-TW"/>
              </w:rPr>
              <w:tab/>
            </w:r>
            <w:r w:rsidR="004361EA">
              <w:rPr>
                <w:lang w:eastAsia="zh-TW"/>
              </w:rPr>
              <w:t xml:space="preserve">This revised </w:t>
            </w:r>
            <w:r w:rsidR="00FF6F1A">
              <w:rPr>
                <w:lang w:eastAsia="zh-TW"/>
              </w:rPr>
              <w:t>draft</w:t>
            </w:r>
            <w:r>
              <w:rPr>
                <w:lang w:eastAsia="zh-TW"/>
              </w:rPr>
              <w:t xml:space="preserve"> </w:t>
            </w:r>
            <w:r w:rsidRPr="00FF6F1A">
              <w:rPr>
                <w:lang w:eastAsia="zh-TW"/>
              </w:rPr>
              <w:t>of the summary for policymakers</w:t>
            </w:r>
            <w:r w:rsidR="004361EA">
              <w:rPr>
                <w:lang w:eastAsia="zh-TW"/>
              </w:rPr>
              <w:t xml:space="preserve"> addresses the comments received, except for those relating to the </w:t>
            </w:r>
            <w:r w:rsidR="003D6788">
              <w:rPr>
                <w:lang w:eastAsia="zh-TW"/>
              </w:rPr>
              <w:t>geopolitical situation in the pan-European region</w:t>
            </w:r>
            <w:r w:rsidR="004361EA">
              <w:rPr>
                <w:lang w:eastAsia="zh-TW"/>
              </w:rPr>
              <w:t xml:space="preserve">, </w:t>
            </w:r>
            <w:r>
              <w:rPr>
                <w:lang w:eastAsia="zh-TW"/>
              </w:rPr>
              <w:t>on</w:t>
            </w:r>
            <w:r w:rsidR="004361EA">
              <w:rPr>
                <w:lang w:eastAsia="zh-TW"/>
              </w:rPr>
              <w:t xml:space="preserve"> which the </w:t>
            </w:r>
            <w:r w:rsidR="0014471B">
              <w:rPr>
                <w:lang w:eastAsia="zh-TW"/>
              </w:rPr>
              <w:t xml:space="preserve">secretariat seeks the </w:t>
            </w:r>
            <w:r w:rsidR="004361EA">
              <w:rPr>
                <w:lang w:eastAsia="zh-TW"/>
              </w:rPr>
              <w:t>advice of the Committee on Environmental Policy</w:t>
            </w:r>
            <w:r>
              <w:rPr>
                <w:lang w:eastAsia="zh-TW"/>
              </w:rPr>
              <w:t>.</w:t>
            </w:r>
          </w:p>
        </w:tc>
      </w:tr>
      <w:tr w:rsidR="0074016F" w:rsidRPr="00D455BA" w14:paraId="7E82C8AA" w14:textId="77777777" w:rsidTr="00ED5D38">
        <w:trPr>
          <w:jc w:val="center"/>
        </w:trPr>
        <w:tc>
          <w:tcPr>
            <w:tcW w:w="9629" w:type="dxa"/>
            <w:shd w:val="clear" w:color="auto" w:fill="auto"/>
          </w:tcPr>
          <w:p w14:paraId="4544E144" w14:textId="77777777" w:rsidR="0074016F" w:rsidRPr="00D455BA" w:rsidRDefault="0074016F" w:rsidP="008C58AB">
            <w:pPr>
              <w:rPr>
                <w:lang w:eastAsia="zh-TW"/>
              </w:rPr>
            </w:pPr>
          </w:p>
        </w:tc>
      </w:tr>
    </w:tbl>
    <w:p w14:paraId="26161300" w14:textId="77777777" w:rsidR="00536F1F" w:rsidRPr="00D455BA" w:rsidRDefault="00536F1F">
      <w:pPr>
        <w:rPr>
          <w:b/>
          <w:sz w:val="28"/>
          <w:lang w:eastAsia="zh-TW"/>
        </w:rPr>
      </w:pPr>
      <w:r w:rsidRPr="00D455BA">
        <w:rPr>
          <w:lang w:eastAsia="zh-TW"/>
        </w:rPr>
        <w:br w:type="page"/>
      </w:r>
    </w:p>
    <w:p w14:paraId="59CE5E1A" w14:textId="0DC2960B" w:rsidR="00536F1F" w:rsidRPr="00D455BA" w:rsidRDefault="00536F1F" w:rsidP="00536F1F">
      <w:pPr>
        <w:pStyle w:val="HChG"/>
        <w:rPr>
          <w:lang w:eastAsia="zh-TW"/>
        </w:rPr>
      </w:pPr>
      <w:r w:rsidRPr="00D455BA">
        <w:rPr>
          <w:lang w:eastAsia="zh-TW"/>
        </w:rPr>
        <w:lastRenderedPageBreak/>
        <w:tab/>
      </w:r>
      <w:r w:rsidRPr="00D455BA">
        <w:rPr>
          <w:lang w:eastAsia="zh-TW"/>
        </w:rPr>
        <w:tab/>
      </w:r>
      <w:r w:rsidR="007511B5" w:rsidRPr="00D455BA">
        <w:rPr>
          <w:lang w:eastAsia="zh-TW"/>
        </w:rPr>
        <w:t>Summary for policymakers</w:t>
      </w:r>
    </w:p>
    <w:p w14:paraId="390FA537" w14:textId="77777777" w:rsidR="0009316F" w:rsidRPr="00261CCE" w:rsidRDefault="0009316F" w:rsidP="0009316F">
      <w:pPr>
        <w:keepNext/>
        <w:keepLines/>
        <w:tabs>
          <w:tab w:val="right" w:pos="851"/>
        </w:tabs>
        <w:spacing w:before="360" w:after="240" w:line="270" w:lineRule="exact"/>
        <w:ind w:left="1134" w:right="1134" w:hanging="1134"/>
        <w:rPr>
          <w:b/>
          <w:sz w:val="24"/>
        </w:rPr>
      </w:pPr>
      <w:bookmarkStart w:id="1" w:name="_Hlk97123333"/>
      <w:r w:rsidRPr="00261CCE">
        <w:rPr>
          <w:b/>
          <w:sz w:val="24"/>
        </w:rPr>
        <w:tab/>
        <w:t>A.</w:t>
      </w:r>
      <w:r w:rsidRPr="00261CCE">
        <w:rPr>
          <w:b/>
          <w:sz w:val="24"/>
        </w:rPr>
        <w:tab/>
        <w:t>Introduction</w:t>
      </w:r>
    </w:p>
    <w:p w14:paraId="28420107" w14:textId="77777777" w:rsidR="0009316F" w:rsidRPr="00261CCE" w:rsidRDefault="0009316F" w:rsidP="0009316F">
      <w:pPr>
        <w:spacing w:after="120"/>
        <w:ind w:left="1134" w:right="1134"/>
        <w:jc w:val="both"/>
      </w:pPr>
      <w:r w:rsidRPr="00261CCE">
        <w:t>1.</w:t>
      </w:r>
      <w:r w:rsidRPr="00261CCE">
        <w:tab/>
        <w:t xml:space="preserve">The secretariat of the United Nations Economic Commission for Europe (ECE) and the United Nations Environment Programme have prepared </w:t>
      </w:r>
      <w:r>
        <w:t>a</w:t>
      </w:r>
      <w:r w:rsidRPr="00261CCE">
        <w:t xml:space="preserve"> limited indicator-based and thematic pan-European environmental assessment upon the request of the ECE Committee on Environmental Policy, as input to the Ninth Environment for Europe Ministerial Conference (Nicosia, 5–7 October 2022).</w:t>
      </w:r>
      <w:r>
        <w:rPr>
          <w:rStyle w:val="FootnoteReference"/>
        </w:rPr>
        <w:footnoteReference w:id="2"/>
      </w:r>
    </w:p>
    <w:p w14:paraId="072E3F6A" w14:textId="5D596BE6" w:rsidR="0009316F" w:rsidRPr="00261CCE" w:rsidRDefault="0009316F" w:rsidP="0009316F">
      <w:pPr>
        <w:spacing w:after="120"/>
        <w:ind w:left="1134" w:right="1134"/>
        <w:jc w:val="both"/>
      </w:pPr>
      <w:r w:rsidRPr="00261CCE">
        <w:t>2.</w:t>
      </w:r>
      <w:r w:rsidRPr="00261CCE">
        <w:tab/>
        <w:t>Th</w:t>
      </w:r>
      <w:r>
        <w:t>e</w:t>
      </w:r>
      <w:r w:rsidRPr="00261CCE">
        <w:t xml:space="preserve"> seventh pan-European environmental assessment reports that progress has been achieved in environmental protection in certain areas, but significant shortcomings remain and pose a threat to the health of both people and the environment in the pan-European region. Th</w:t>
      </w:r>
      <w:r>
        <w:t>e</w:t>
      </w:r>
      <w:r w:rsidRPr="00261CCE">
        <w:t xml:space="preserve"> summary for policymakers picks out a series of key issues and recommendations from the body of the assessment report. </w:t>
      </w:r>
      <w:r w:rsidR="00A715BB">
        <w:t xml:space="preserve">The assessment covers the period until the end of 2021. </w:t>
      </w:r>
      <w:r w:rsidR="00A4097D">
        <w:t xml:space="preserve">The assessment covers the period until the end of 2021. The trends shown by arrows in the tables below indicate the improvement (green, upwards arrow) or worsening (red, downwards arrow) of the situation, not an increase or decrease in an indicator value. </w:t>
      </w:r>
      <w:r w:rsidRPr="00261CCE">
        <w:t>The reader is encouraged to turn to the thematic assessments to learn more.</w:t>
      </w:r>
    </w:p>
    <w:p w14:paraId="14437F21" w14:textId="77777777" w:rsidR="0009316F" w:rsidRPr="00261CCE" w:rsidRDefault="0009316F" w:rsidP="0009316F">
      <w:pPr>
        <w:keepNext/>
        <w:keepLines/>
        <w:tabs>
          <w:tab w:val="right" w:pos="851"/>
        </w:tabs>
        <w:spacing w:before="360" w:after="240" w:line="270" w:lineRule="exact"/>
        <w:ind w:left="1134" w:right="1134" w:hanging="1134"/>
        <w:rPr>
          <w:b/>
          <w:sz w:val="24"/>
        </w:rPr>
      </w:pPr>
      <w:r w:rsidRPr="00261CCE">
        <w:rPr>
          <w:b/>
          <w:sz w:val="24"/>
        </w:rPr>
        <w:tab/>
        <w:t>B.</w:t>
      </w:r>
      <w:r w:rsidRPr="00261CCE">
        <w:rPr>
          <w:b/>
          <w:sz w:val="24"/>
        </w:rPr>
        <w:tab/>
        <w:t>Key messages and recommendations</w:t>
      </w:r>
    </w:p>
    <w:p w14:paraId="7C70E29C" w14:textId="66857B3F" w:rsidR="0009316F" w:rsidRPr="00261CCE" w:rsidRDefault="0009316F" w:rsidP="0009316F">
      <w:pPr>
        <w:pStyle w:val="H23G"/>
      </w:pPr>
      <w:r w:rsidRPr="00261CCE">
        <w:tab/>
      </w:r>
      <w:r w:rsidRPr="00261CCE">
        <w:rPr>
          <w:lang w:eastAsia="zh-TW"/>
        </w:rPr>
        <w:t>1</w:t>
      </w:r>
      <w:r w:rsidRPr="00261CCE">
        <w:t>.</w:t>
      </w:r>
      <w:r w:rsidRPr="00261CCE">
        <w:tab/>
      </w:r>
      <w:r w:rsidR="00632700">
        <w:t>Atmospheric air</w:t>
      </w:r>
      <w:r w:rsidR="006F3903">
        <w:t xml:space="preserve"> and the ozone layer</w:t>
      </w:r>
    </w:p>
    <w:p w14:paraId="11B281C5" w14:textId="5776F99C" w:rsidR="0009316F" w:rsidRPr="00261CCE" w:rsidRDefault="0009316F" w:rsidP="0009316F">
      <w:pPr>
        <w:spacing w:after="120"/>
        <w:ind w:left="1134" w:right="1134"/>
        <w:jc w:val="both"/>
      </w:pPr>
      <w:r w:rsidRPr="00261CCE">
        <w:t>3.</w:t>
      </w:r>
      <w:r w:rsidRPr="00261CCE">
        <w:tab/>
        <w:t xml:space="preserve">Countries in the pan-European region are expanding policies to tackle air pollution. Some progress has been </w:t>
      </w:r>
      <w:r w:rsidR="00C508EE">
        <w:t>made</w:t>
      </w:r>
      <w:r w:rsidRPr="00261CCE">
        <w:t xml:space="preserve">, but increased effort is needed (see table 1 below). The health impact of long-time exposure to fine particulate matter with a diameter less than 2.5 </w:t>
      </w:r>
      <w:r w:rsidR="00652AEE" w:rsidRPr="00A5049A">
        <w:rPr>
          <w:sz w:val="18"/>
          <w:szCs w:val="18"/>
        </w:rPr>
        <w:t>µ</w:t>
      </w:r>
      <w:r w:rsidRPr="00261CCE">
        <w:t>m (PM</w:t>
      </w:r>
      <w:r w:rsidRPr="00261CCE">
        <w:rPr>
          <w:vertAlign w:val="subscript"/>
        </w:rPr>
        <w:t>2.5</w:t>
      </w:r>
      <w:r w:rsidRPr="00261CCE">
        <w:t>) in 41 European countries was reduced by 13 per cent in the period 2009–2018 and that of nitrogen oxides (NO</w:t>
      </w:r>
      <w:r w:rsidRPr="00261CCE">
        <w:rPr>
          <w:vertAlign w:val="subscript"/>
        </w:rPr>
        <w:t>x</w:t>
      </w:r>
      <w:r w:rsidRPr="00261CCE">
        <w:t xml:space="preserve">) by 54 per cent. However, the number of premature deaths due to ground-level ozone exposure increased in that period by an estimated 24 per cent, possibly caused by higher mean temperatures. </w:t>
      </w:r>
      <w:r w:rsidRPr="00641043">
        <w:rPr>
          <w:lang w:eastAsia="zh-TW"/>
        </w:rPr>
        <w:t>The</w:t>
      </w:r>
      <w:r w:rsidRPr="00641043">
        <w:t xml:space="preserve"> phasing out of hydrochlorofluorocarbons present as coolant in refrigerators and air-conditioning systems remains incomplete, especially in countries with economies in transition</w:t>
      </w:r>
      <w:r w:rsidRPr="00641043">
        <w:rPr>
          <w:lang w:eastAsia="zh-TW"/>
        </w:rPr>
        <w:t xml:space="preserve">. </w:t>
      </w:r>
    </w:p>
    <w:p w14:paraId="0829293A" w14:textId="62FC6686" w:rsidR="0009316F" w:rsidRPr="00261CCE" w:rsidRDefault="0009316F" w:rsidP="0009316F">
      <w:pPr>
        <w:pStyle w:val="H23G"/>
      </w:pPr>
      <w:r>
        <w:tab/>
      </w:r>
      <w:r>
        <w:tab/>
      </w:r>
      <w:r w:rsidRPr="00261CCE">
        <w:t>Recommendation</w:t>
      </w:r>
      <w:r w:rsidR="000C0F47">
        <w:t>s</w:t>
      </w:r>
      <w:r w:rsidRPr="00261CCE">
        <w:t xml:space="preserve">: </w:t>
      </w:r>
    </w:p>
    <w:p w14:paraId="2E1F5490" w14:textId="4353A669" w:rsidR="0009316F" w:rsidRPr="00261CCE" w:rsidRDefault="0009316F" w:rsidP="0009316F">
      <w:pPr>
        <w:spacing w:after="120"/>
        <w:ind w:left="1134" w:right="1134"/>
        <w:jc w:val="both"/>
      </w:pPr>
      <w:r w:rsidRPr="00261CCE">
        <w:t>4.</w:t>
      </w:r>
      <w:r w:rsidRPr="00261CCE">
        <w:tab/>
        <w:t>Governments in the pan-European region should develop additional technical and organizational measures to achieve target 3.9 of the Sustainable Development Goals, especially for PM</w:t>
      </w:r>
      <w:r w:rsidRPr="00261CCE">
        <w:rPr>
          <w:vertAlign w:val="subscript"/>
        </w:rPr>
        <w:t xml:space="preserve">2.5 </w:t>
      </w:r>
      <w:r w:rsidRPr="00261CCE">
        <w:t>and ground-level ozone. Key responses are the sharpening and application of best available techniques to prevent emissions of particulate matter, NO</w:t>
      </w:r>
      <w:r w:rsidRPr="00261CCE">
        <w:rPr>
          <w:vertAlign w:val="subscript"/>
        </w:rPr>
        <w:t>x</w:t>
      </w:r>
      <w:r w:rsidRPr="00261CCE">
        <w:t xml:space="preserve"> and hydrocarbons by industry and emission reduction from traffic (by implementing Euro-6 and Euro-7 measures). All countries should update ambient air quality standards to align them with World Health Organization guidelines. </w:t>
      </w:r>
      <w:r w:rsidRPr="004361EA">
        <w:t>Governments should contribute to the adequate replenishment of the Multilateral Fund for the Implementation of the Montreal Protocol in order to accelerate the phasing out of hydrochlorofluorocarbons globally.</w:t>
      </w:r>
    </w:p>
    <w:p w14:paraId="02FBDE86" w14:textId="77777777" w:rsidR="0009316F" w:rsidRPr="00D00283" w:rsidRDefault="0009316F" w:rsidP="0009316F">
      <w:pPr>
        <w:keepNext/>
        <w:spacing w:after="120"/>
        <w:ind w:left="1134" w:right="1134"/>
        <w:rPr>
          <w:lang w:val="en-US" w:eastAsia="zh-TW"/>
        </w:rPr>
      </w:pPr>
      <w:r w:rsidRPr="00261CCE">
        <w:rPr>
          <w:lang w:eastAsia="zh-TW"/>
        </w:rPr>
        <w:br w:type="page"/>
      </w:r>
    </w:p>
    <w:p w14:paraId="139475BA" w14:textId="658FB706" w:rsidR="0009316F" w:rsidRPr="00261CCE" w:rsidRDefault="0009316F" w:rsidP="0009316F">
      <w:pPr>
        <w:keepNext/>
        <w:spacing w:after="120"/>
        <w:ind w:left="1134" w:right="1134"/>
        <w:rPr>
          <w:b/>
          <w:bCs/>
          <w:lang w:eastAsia="zh-TW"/>
        </w:rPr>
      </w:pPr>
      <w:bookmarkStart w:id="2" w:name="_Hlk96009007"/>
      <w:r w:rsidRPr="00261CCE">
        <w:rPr>
          <w:lang w:eastAsia="zh-TW"/>
        </w:rPr>
        <w:lastRenderedPageBreak/>
        <w:t>Table 1</w:t>
      </w:r>
      <w:r w:rsidRPr="00261CCE">
        <w:rPr>
          <w:lang w:eastAsia="zh-TW"/>
        </w:rPr>
        <w:br/>
      </w:r>
      <w:r w:rsidRPr="00261CCE">
        <w:rPr>
          <w:b/>
          <w:bCs/>
          <w:lang w:eastAsia="zh-TW"/>
        </w:rPr>
        <w:t>Overview on status and trends for selected indicators for air quality</w:t>
      </w:r>
      <w:r w:rsidR="00575F83">
        <w:rPr>
          <w:b/>
          <w:bCs/>
          <w:lang w:eastAsia="zh-TW"/>
        </w:rPr>
        <w:t xml:space="preserve"> and the ozone layer</w:t>
      </w:r>
    </w:p>
    <w:tbl>
      <w:tblPr>
        <w:tblStyle w:val="TableGrid"/>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992"/>
        <w:gridCol w:w="992"/>
        <w:gridCol w:w="1134"/>
        <w:gridCol w:w="993"/>
        <w:gridCol w:w="1134"/>
      </w:tblGrid>
      <w:tr w:rsidR="0009316F" w:rsidRPr="00261CCE" w14:paraId="3D09C221" w14:textId="77777777" w:rsidTr="00C439AF">
        <w:trPr>
          <w:trHeight w:val="576"/>
          <w:tblHeader/>
        </w:trPr>
        <w:tc>
          <w:tcPr>
            <w:tcW w:w="1560" w:type="dxa"/>
            <w:tcBorders>
              <w:top w:val="single" w:sz="4" w:space="0" w:color="auto"/>
              <w:bottom w:val="single" w:sz="12" w:space="0" w:color="auto"/>
            </w:tcBorders>
            <w:shd w:val="clear" w:color="auto" w:fill="auto"/>
          </w:tcPr>
          <w:p w14:paraId="41751925" w14:textId="77777777" w:rsidR="0009316F" w:rsidRPr="00261CCE" w:rsidRDefault="0009316F" w:rsidP="00C439AF">
            <w:pPr>
              <w:suppressAutoHyphens w:val="0"/>
              <w:spacing w:before="80" w:line="200" w:lineRule="exact"/>
              <w:rPr>
                <w:i/>
                <w:sz w:val="18"/>
                <w:szCs w:val="18"/>
              </w:rPr>
            </w:pPr>
            <w:r w:rsidRPr="00261CCE">
              <w:rPr>
                <w:i/>
                <w:iCs/>
                <w:sz w:val="18"/>
                <w:szCs w:val="18"/>
              </w:rPr>
              <w:t>Indicator</w:t>
            </w:r>
          </w:p>
        </w:tc>
        <w:tc>
          <w:tcPr>
            <w:tcW w:w="992" w:type="dxa"/>
            <w:tcBorders>
              <w:top w:val="single" w:sz="4" w:space="0" w:color="auto"/>
              <w:bottom w:val="single" w:sz="12" w:space="0" w:color="auto"/>
            </w:tcBorders>
            <w:shd w:val="clear" w:color="auto" w:fill="auto"/>
          </w:tcPr>
          <w:p w14:paraId="4452703D" w14:textId="77777777" w:rsidR="0009316F" w:rsidRPr="00261CCE" w:rsidRDefault="0009316F" w:rsidP="00C439AF">
            <w:pPr>
              <w:suppressAutoHyphens w:val="0"/>
              <w:spacing w:before="80" w:line="200" w:lineRule="exact"/>
              <w:jc w:val="center"/>
              <w:rPr>
                <w:i/>
                <w:sz w:val="18"/>
                <w:szCs w:val="18"/>
              </w:rPr>
            </w:pPr>
            <w:r w:rsidRPr="00261CCE">
              <w:rPr>
                <w:i/>
                <w:iCs/>
                <w:sz w:val="18"/>
                <w:szCs w:val="18"/>
              </w:rPr>
              <w:t>European Union</w:t>
            </w:r>
          </w:p>
        </w:tc>
        <w:tc>
          <w:tcPr>
            <w:tcW w:w="992" w:type="dxa"/>
            <w:tcBorders>
              <w:top w:val="single" w:sz="4" w:space="0" w:color="auto"/>
              <w:bottom w:val="single" w:sz="12" w:space="0" w:color="auto"/>
            </w:tcBorders>
            <w:shd w:val="clear" w:color="auto" w:fill="auto"/>
          </w:tcPr>
          <w:p w14:paraId="29A8BF29"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Western</w:t>
            </w:r>
          </w:p>
          <w:p w14:paraId="49BA4A0E" w14:textId="77777777" w:rsidR="0009316F" w:rsidRPr="00261CCE" w:rsidRDefault="0009316F" w:rsidP="00C439AF">
            <w:pPr>
              <w:suppressAutoHyphens w:val="0"/>
              <w:spacing w:line="200" w:lineRule="exact"/>
              <w:jc w:val="center"/>
              <w:rPr>
                <w:i/>
                <w:sz w:val="18"/>
                <w:szCs w:val="18"/>
              </w:rPr>
            </w:pPr>
            <w:r w:rsidRPr="00261CCE">
              <w:rPr>
                <w:i/>
                <w:iCs/>
                <w:sz w:val="18"/>
                <w:szCs w:val="18"/>
              </w:rPr>
              <w:t>Europe</w:t>
            </w:r>
          </w:p>
        </w:tc>
        <w:tc>
          <w:tcPr>
            <w:tcW w:w="992" w:type="dxa"/>
            <w:tcBorders>
              <w:top w:val="single" w:sz="4" w:space="0" w:color="auto"/>
              <w:bottom w:val="single" w:sz="12" w:space="0" w:color="auto"/>
            </w:tcBorders>
            <w:shd w:val="clear" w:color="auto" w:fill="auto"/>
          </w:tcPr>
          <w:p w14:paraId="0AB7E3D7"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Central</w:t>
            </w:r>
          </w:p>
          <w:p w14:paraId="4BAC6009" w14:textId="77777777" w:rsidR="0009316F" w:rsidRPr="00261CCE" w:rsidRDefault="0009316F" w:rsidP="00C439AF">
            <w:pPr>
              <w:suppressAutoHyphens w:val="0"/>
              <w:spacing w:line="200" w:lineRule="exact"/>
              <w:jc w:val="center"/>
              <w:rPr>
                <w:i/>
                <w:sz w:val="18"/>
                <w:szCs w:val="18"/>
              </w:rPr>
            </w:pPr>
            <w:r w:rsidRPr="00261CCE">
              <w:rPr>
                <w:i/>
                <w:iCs/>
                <w:sz w:val="18"/>
                <w:szCs w:val="18"/>
              </w:rPr>
              <w:t>Asia</w:t>
            </w:r>
          </w:p>
        </w:tc>
        <w:tc>
          <w:tcPr>
            <w:tcW w:w="1134" w:type="dxa"/>
            <w:tcBorders>
              <w:top w:val="single" w:sz="4" w:space="0" w:color="auto"/>
              <w:bottom w:val="single" w:sz="12" w:space="0" w:color="auto"/>
            </w:tcBorders>
            <w:shd w:val="clear" w:color="auto" w:fill="auto"/>
          </w:tcPr>
          <w:p w14:paraId="2EED0433"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Eastern</w:t>
            </w:r>
          </w:p>
          <w:p w14:paraId="55C6E494" w14:textId="77777777" w:rsidR="0009316F" w:rsidRPr="00261CCE" w:rsidRDefault="0009316F" w:rsidP="00C439AF">
            <w:pPr>
              <w:suppressAutoHyphens w:val="0"/>
              <w:spacing w:line="200" w:lineRule="exact"/>
              <w:jc w:val="center"/>
              <w:rPr>
                <w:i/>
                <w:sz w:val="18"/>
                <w:szCs w:val="18"/>
              </w:rPr>
            </w:pPr>
            <w:r w:rsidRPr="00261CCE">
              <w:rPr>
                <w:i/>
                <w:iCs/>
                <w:sz w:val="18"/>
                <w:szCs w:val="18"/>
              </w:rPr>
              <w:t>Europe</w:t>
            </w:r>
          </w:p>
        </w:tc>
        <w:tc>
          <w:tcPr>
            <w:tcW w:w="993" w:type="dxa"/>
            <w:tcBorders>
              <w:top w:val="single" w:sz="4" w:space="0" w:color="auto"/>
              <w:bottom w:val="single" w:sz="12" w:space="0" w:color="auto"/>
            </w:tcBorders>
            <w:shd w:val="clear" w:color="auto" w:fill="auto"/>
          </w:tcPr>
          <w:p w14:paraId="4A3BE99E" w14:textId="77777777" w:rsidR="0009316F" w:rsidRPr="00261CCE" w:rsidRDefault="0009316F" w:rsidP="00C439AF">
            <w:pPr>
              <w:suppressAutoHyphens w:val="0"/>
              <w:spacing w:before="80" w:line="200" w:lineRule="exact"/>
              <w:jc w:val="center"/>
              <w:rPr>
                <w:i/>
                <w:sz w:val="18"/>
                <w:szCs w:val="18"/>
              </w:rPr>
            </w:pPr>
            <w:r w:rsidRPr="00261CCE">
              <w:rPr>
                <w:i/>
                <w:iCs/>
                <w:sz w:val="18"/>
                <w:szCs w:val="18"/>
              </w:rPr>
              <w:t>South-Eastern Europe</w:t>
            </w:r>
          </w:p>
        </w:tc>
        <w:tc>
          <w:tcPr>
            <w:tcW w:w="1134" w:type="dxa"/>
            <w:tcBorders>
              <w:top w:val="single" w:sz="4" w:space="0" w:color="auto"/>
              <w:bottom w:val="single" w:sz="12" w:space="0" w:color="auto"/>
            </w:tcBorders>
            <w:shd w:val="clear" w:color="auto" w:fill="auto"/>
          </w:tcPr>
          <w:p w14:paraId="777E22CB" w14:textId="77777777" w:rsidR="0009316F" w:rsidRPr="00261CCE" w:rsidRDefault="0009316F" w:rsidP="00C439AF">
            <w:pPr>
              <w:suppressAutoHyphens w:val="0"/>
              <w:spacing w:before="80" w:line="200" w:lineRule="exact"/>
              <w:jc w:val="center"/>
              <w:rPr>
                <w:i/>
                <w:sz w:val="18"/>
                <w:szCs w:val="18"/>
              </w:rPr>
            </w:pPr>
            <w:r w:rsidRPr="00261CCE">
              <w:rPr>
                <w:i/>
                <w:iCs/>
                <w:sz w:val="18"/>
                <w:szCs w:val="18"/>
              </w:rPr>
              <w:t>Pan-European region</w:t>
            </w:r>
          </w:p>
        </w:tc>
      </w:tr>
      <w:tr w:rsidR="0009316F" w:rsidRPr="00261CCE" w14:paraId="7ACF5A13" w14:textId="77777777" w:rsidTr="00C439AF">
        <w:trPr>
          <w:trHeight w:hRule="exact" w:val="82"/>
        </w:trPr>
        <w:tc>
          <w:tcPr>
            <w:tcW w:w="1560" w:type="dxa"/>
            <w:tcBorders>
              <w:top w:val="single" w:sz="12" w:space="0" w:color="auto"/>
            </w:tcBorders>
            <w:shd w:val="clear" w:color="auto" w:fill="auto"/>
          </w:tcPr>
          <w:p w14:paraId="3A69338C" w14:textId="77777777" w:rsidR="0009316F" w:rsidRPr="00261CCE" w:rsidRDefault="0009316F" w:rsidP="00C439AF">
            <w:pPr>
              <w:suppressAutoHyphens w:val="0"/>
              <w:spacing w:before="40" w:after="40" w:line="220" w:lineRule="exact"/>
              <w:rPr>
                <w:sz w:val="18"/>
                <w:szCs w:val="18"/>
              </w:rPr>
            </w:pPr>
          </w:p>
        </w:tc>
        <w:tc>
          <w:tcPr>
            <w:tcW w:w="992" w:type="dxa"/>
            <w:tcBorders>
              <w:top w:val="single" w:sz="4" w:space="0" w:color="auto"/>
            </w:tcBorders>
            <w:shd w:val="clear" w:color="auto" w:fill="auto"/>
          </w:tcPr>
          <w:p w14:paraId="70EB473E" w14:textId="77777777" w:rsidR="0009316F" w:rsidRPr="00261CCE" w:rsidRDefault="0009316F" w:rsidP="00C439AF">
            <w:pPr>
              <w:keepNext/>
              <w:spacing w:after="120"/>
              <w:jc w:val="center"/>
              <w:rPr>
                <w:rFonts w:ascii="Wingdings" w:hAnsi="Wingdings" w:cs="Wingdings"/>
                <w:color w:val="FF0000"/>
                <w:sz w:val="28"/>
                <w:szCs w:val="28"/>
              </w:rPr>
            </w:pPr>
          </w:p>
        </w:tc>
        <w:tc>
          <w:tcPr>
            <w:tcW w:w="992" w:type="dxa"/>
            <w:tcBorders>
              <w:top w:val="single" w:sz="4" w:space="0" w:color="auto"/>
            </w:tcBorders>
            <w:shd w:val="clear" w:color="auto" w:fill="auto"/>
          </w:tcPr>
          <w:p w14:paraId="0D18F702" w14:textId="77777777" w:rsidR="0009316F" w:rsidRPr="00261CCE" w:rsidRDefault="0009316F" w:rsidP="00C439AF">
            <w:pPr>
              <w:keepNext/>
              <w:spacing w:after="120"/>
              <w:jc w:val="center"/>
              <w:rPr>
                <w:rFonts w:ascii="Wingdings" w:hAnsi="Wingdings" w:cs="Wingdings"/>
                <w:color w:val="FF0000"/>
                <w:sz w:val="28"/>
                <w:szCs w:val="28"/>
              </w:rPr>
            </w:pPr>
          </w:p>
        </w:tc>
        <w:tc>
          <w:tcPr>
            <w:tcW w:w="992" w:type="dxa"/>
            <w:tcBorders>
              <w:top w:val="single" w:sz="4" w:space="0" w:color="auto"/>
            </w:tcBorders>
            <w:shd w:val="clear" w:color="auto" w:fill="auto"/>
          </w:tcPr>
          <w:p w14:paraId="11C8C758"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top w:val="single" w:sz="4" w:space="0" w:color="auto"/>
            </w:tcBorders>
            <w:shd w:val="clear" w:color="auto" w:fill="auto"/>
          </w:tcPr>
          <w:p w14:paraId="5E94369C" w14:textId="77777777" w:rsidR="0009316F" w:rsidRPr="00261CCE" w:rsidRDefault="0009316F" w:rsidP="00C439AF">
            <w:pPr>
              <w:keepNext/>
              <w:spacing w:after="120"/>
              <w:jc w:val="center"/>
              <w:rPr>
                <w:rFonts w:ascii="Wingdings" w:hAnsi="Wingdings" w:cs="Wingdings"/>
                <w:color w:val="FF0000"/>
                <w:sz w:val="28"/>
                <w:szCs w:val="28"/>
              </w:rPr>
            </w:pPr>
          </w:p>
        </w:tc>
        <w:tc>
          <w:tcPr>
            <w:tcW w:w="993" w:type="dxa"/>
            <w:tcBorders>
              <w:top w:val="single" w:sz="4" w:space="0" w:color="auto"/>
            </w:tcBorders>
            <w:shd w:val="clear" w:color="auto" w:fill="auto"/>
          </w:tcPr>
          <w:p w14:paraId="76FFEEFD"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top w:val="single" w:sz="4" w:space="0" w:color="auto"/>
            </w:tcBorders>
            <w:shd w:val="clear" w:color="auto" w:fill="auto"/>
          </w:tcPr>
          <w:p w14:paraId="53804477" w14:textId="77777777" w:rsidR="0009316F" w:rsidRPr="00261CCE" w:rsidRDefault="0009316F" w:rsidP="00C439AF">
            <w:pPr>
              <w:keepNext/>
              <w:spacing w:after="120"/>
              <w:jc w:val="center"/>
              <w:rPr>
                <w:rFonts w:ascii="Wingdings" w:hAnsi="Wingdings" w:cs="Wingdings"/>
                <w:color w:val="FF0000"/>
                <w:sz w:val="28"/>
                <w:szCs w:val="28"/>
              </w:rPr>
            </w:pPr>
          </w:p>
        </w:tc>
      </w:tr>
      <w:tr w:rsidR="0009316F" w:rsidRPr="00261CCE" w14:paraId="256B1E01" w14:textId="77777777" w:rsidTr="00C439AF">
        <w:trPr>
          <w:trHeight w:val="847"/>
        </w:trPr>
        <w:tc>
          <w:tcPr>
            <w:tcW w:w="1560" w:type="dxa"/>
            <w:shd w:val="clear" w:color="auto" w:fill="auto"/>
          </w:tcPr>
          <w:p w14:paraId="7FBF8ABA" w14:textId="258BF8CF" w:rsidR="0009316F" w:rsidRPr="00261CCE" w:rsidRDefault="0009316F" w:rsidP="00C439AF">
            <w:pPr>
              <w:suppressAutoHyphens w:val="0"/>
              <w:spacing w:before="40" w:after="40" w:line="220" w:lineRule="exact"/>
              <w:rPr>
                <w:sz w:val="18"/>
              </w:rPr>
            </w:pPr>
            <w:r w:rsidRPr="00261CCE">
              <w:rPr>
                <w:sz w:val="18"/>
                <w:szCs w:val="18"/>
              </w:rPr>
              <w:t>Ambient PM</w:t>
            </w:r>
            <w:r w:rsidRPr="00261CCE">
              <w:rPr>
                <w:sz w:val="18"/>
                <w:szCs w:val="18"/>
                <w:vertAlign w:val="subscript"/>
              </w:rPr>
              <w:t>2.5</w:t>
            </w:r>
            <w:r w:rsidRPr="00261CCE">
              <w:rPr>
                <w:sz w:val="18"/>
                <w:szCs w:val="18"/>
              </w:rPr>
              <w:t xml:space="preserve"> </w:t>
            </w:r>
            <w:r w:rsidRPr="00261CCE">
              <w:rPr>
                <w:sz w:val="18"/>
                <w:szCs w:val="18"/>
              </w:rPr>
              <w:br/>
              <w:t>(</w:t>
            </w:r>
            <w:r w:rsidR="00A5049A" w:rsidRPr="00A5049A">
              <w:rPr>
                <w:sz w:val="18"/>
                <w:szCs w:val="18"/>
              </w:rPr>
              <w:t>µg</w:t>
            </w:r>
            <w:r w:rsidRPr="00261CCE">
              <w:rPr>
                <w:sz w:val="18"/>
                <w:szCs w:val="18"/>
              </w:rPr>
              <w:t>/m</w:t>
            </w:r>
            <w:r w:rsidRPr="00261CCE">
              <w:rPr>
                <w:sz w:val="18"/>
                <w:szCs w:val="18"/>
                <w:vertAlign w:val="superscript"/>
              </w:rPr>
              <w:t>3</w:t>
            </w:r>
            <w:r w:rsidRPr="00261CCE">
              <w:rPr>
                <w:sz w:val="18"/>
                <w:szCs w:val="18"/>
              </w:rPr>
              <w:t xml:space="preserve"> in 2016)</w:t>
            </w:r>
          </w:p>
        </w:tc>
        <w:tc>
          <w:tcPr>
            <w:tcW w:w="992" w:type="dxa"/>
            <w:shd w:val="clear" w:color="auto" w:fill="auto"/>
            <w:vAlign w:val="center"/>
          </w:tcPr>
          <w:p w14:paraId="7239FD46"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35B66270" w14:textId="77777777" w:rsidR="0009316F" w:rsidRPr="00261CCE" w:rsidRDefault="0009316F" w:rsidP="00C439AF">
            <w:pPr>
              <w:suppressAutoHyphens w:val="0"/>
              <w:spacing w:before="40" w:after="40" w:line="220" w:lineRule="exact"/>
              <w:jc w:val="center"/>
              <w:rPr>
                <w:sz w:val="18"/>
              </w:rPr>
            </w:pPr>
            <w:r w:rsidRPr="00261CCE">
              <w:rPr>
                <w:sz w:val="18"/>
                <w:szCs w:val="18"/>
              </w:rPr>
              <w:t>(13)</w:t>
            </w:r>
          </w:p>
        </w:tc>
        <w:tc>
          <w:tcPr>
            <w:tcW w:w="992" w:type="dxa"/>
            <w:shd w:val="clear" w:color="auto" w:fill="auto"/>
            <w:vAlign w:val="center"/>
          </w:tcPr>
          <w:p w14:paraId="30EB2DD8"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494A7210" w14:textId="77777777" w:rsidR="0009316F" w:rsidRPr="00261CCE" w:rsidRDefault="0009316F" w:rsidP="00C439AF">
            <w:pPr>
              <w:suppressAutoHyphens w:val="0"/>
              <w:spacing w:before="40" w:after="40" w:line="220" w:lineRule="exact"/>
              <w:jc w:val="center"/>
              <w:rPr>
                <w:sz w:val="18"/>
              </w:rPr>
            </w:pPr>
            <w:r w:rsidRPr="00261CCE">
              <w:rPr>
                <w:sz w:val="18"/>
                <w:szCs w:val="18"/>
              </w:rPr>
              <w:t>(11)</w:t>
            </w:r>
          </w:p>
        </w:tc>
        <w:tc>
          <w:tcPr>
            <w:tcW w:w="992" w:type="dxa"/>
            <w:shd w:val="clear" w:color="auto" w:fill="auto"/>
            <w:vAlign w:val="center"/>
          </w:tcPr>
          <w:p w14:paraId="4806AB4D"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42E67A7F" w14:textId="77777777" w:rsidR="0009316F" w:rsidRPr="00261CCE" w:rsidRDefault="0009316F" w:rsidP="00C439AF">
            <w:pPr>
              <w:suppressAutoHyphens w:val="0"/>
              <w:spacing w:before="40" w:after="40" w:line="220" w:lineRule="exact"/>
              <w:jc w:val="center"/>
              <w:rPr>
                <w:sz w:val="18"/>
              </w:rPr>
            </w:pPr>
            <w:r w:rsidRPr="00261CCE">
              <w:rPr>
                <w:sz w:val="18"/>
                <w:szCs w:val="18"/>
              </w:rPr>
              <w:t>(25)</w:t>
            </w:r>
          </w:p>
        </w:tc>
        <w:tc>
          <w:tcPr>
            <w:tcW w:w="1134" w:type="dxa"/>
            <w:shd w:val="clear" w:color="auto" w:fill="auto"/>
            <w:vAlign w:val="center"/>
          </w:tcPr>
          <w:p w14:paraId="1EF62598"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640CE852" w14:textId="77777777" w:rsidR="0009316F" w:rsidRPr="00261CCE" w:rsidRDefault="0009316F" w:rsidP="00C439AF">
            <w:pPr>
              <w:suppressAutoHyphens w:val="0"/>
              <w:spacing w:before="40" w:after="40" w:line="220" w:lineRule="exact"/>
              <w:jc w:val="center"/>
              <w:rPr>
                <w:sz w:val="18"/>
              </w:rPr>
            </w:pPr>
            <w:r w:rsidRPr="00261CCE">
              <w:rPr>
                <w:sz w:val="18"/>
                <w:szCs w:val="18"/>
              </w:rPr>
              <w:t>(12)</w:t>
            </w:r>
          </w:p>
        </w:tc>
        <w:tc>
          <w:tcPr>
            <w:tcW w:w="993" w:type="dxa"/>
            <w:shd w:val="clear" w:color="auto" w:fill="auto"/>
            <w:vAlign w:val="center"/>
          </w:tcPr>
          <w:p w14:paraId="5E398327"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5F69688D" w14:textId="77777777" w:rsidR="0009316F" w:rsidRPr="00261CCE" w:rsidRDefault="0009316F" w:rsidP="00C439AF">
            <w:pPr>
              <w:suppressAutoHyphens w:val="0"/>
              <w:spacing w:before="40" w:after="40" w:line="220" w:lineRule="exact"/>
              <w:jc w:val="center"/>
              <w:rPr>
                <w:sz w:val="18"/>
              </w:rPr>
            </w:pPr>
            <w:r w:rsidRPr="00261CCE">
              <w:rPr>
                <w:sz w:val="18"/>
                <w:szCs w:val="18"/>
              </w:rPr>
              <w:t>(35)</w:t>
            </w:r>
          </w:p>
        </w:tc>
        <w:tc>
          <w:tcPr>
            <w:tcW w:w="1134" w:type="dxa"/>
            <w:shd w:val="clear" w:color="auto" w:fill="auto"/>
            <w:vAlign w:val="center"/>
          </w:tcPr>
          <w:p w14:paraId="69DCCCF3"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L</w:t>
            </w:r>
          </w:p>
          <w:p w14:paraId="56AF7D6A" w14:textId="3BA1454E" w:rsidR="0009316F" w:rsidRPr="00261CCE" w:rsidRDefault="0009316F" w:rsidP="00C439AF">
            <w:pPr>
              <w:suppressAutoHyphens w:val="0"/>
              <w:spacing w:before="40" w:after="40" w:line="220" w:lineRule="exact"/>
              <w:jc w:val="center"/>
              <w:rPr>
                <w:sz w:val="18"/>
              </w:rPr>
            </w:pPr>
            <w:r w:rsidRPr="00261CCE">
              <w:rPr>
                <w:sz w:val="18"/>
                <w:szCs w:val="18"/>
              </w:rPr>
              <w:t>(16)</w:t>
            </w:r>
          </w:p>
        </w:tc>
      </w:tr>
      <w:tr w:rsidR="0009316F" w:rsidRPr="00261CCE" w14:paraId="3EE6FB2D" w14:textId="77777777" w:rsidTr="00C439AF">
        <w:trPr>
          <w:trHeight w:val="862"/>
        </w:trPr>
        <w:tc>
          <w:tcPr>
            <w:tcW w:w="1560" w:type="dxa"/>
            <w:shd w:val="clear" w:color="auto" w:fill="auto"/>
          </w:tcPr>
          <w:p w14:paraId="196AE5AE" w14:textId="77777777" w:rsidR="0009316F" w:rsidRPr="00261CCE" w:rsidRDefault="0009316F" w:rsidP="00C439AF">
            <w:pPr>
              <w:suppressAutoHyphens w:val="0"/>
              <w:spacing w:before="40" w:after="40" w:line="220" w:lineRule="exact"/>
              <w:rPr>
                <w:sz w:val="18"/>
              </w:rPr>
            </w:pPr>
            <w:r w:rsidRPr="00261CCE">
              <w:rPr>
                <w:sz w:val="18"/>
                <w:szCs w:val="18"/>
              </w:rPr>
              <w:t>Emissions of SO</w:t>
            </w:r>
            <w:r w:rsidRPr="00261CCE">
              <w:rPr>
                <w:sz w:val="18"/>
                <w:szCs w:val="18"/>
                <w:vertAlign w:val="subscript"/>
              </w:rPr>
              <w:t>x</w:t>
            </w:r>
            <w:r w:rsidRPr="00261CCE">
              <w:rPr>
                <w:sz w:val="18"/>
                <w:szCs w:val="18"/>
              </w:rPr>
              <w:t>, NO</w:t>
            </w:r>
            <w:r w:rsidRPr="00261CCE">
              <w:rPr>
                <w:sz w:val="18"/>
                <w:szCs w:val="18"/>
                <w:vertAlign w:val="subscript"/>
              </w:rPr>
              <w:t>x</w:t>
            </w:r>
            <w:r w:rsidRPr="00261CCE">
              <w:rPr>
                <w:sz w:val="18"/>
                <w:szCs w:val="18"/>
              </w:rPr>
              <w:t xml:space="preserve"> and PM</w:t>
            </w:r>
            <w:r w:rsidRPr="00261CCE">
              <w:rPr>
                <w:sz w:val="18"/>
                <w:szCs w:val="18"/>
                <w:vertAlign w:val="subscript"/>
              </w:rPr>
              <w:t>2.5</w:t>
            </w:r>
            <w:r w:rsidRPr="00261CCE">
              <w:rPr>
                <w:sz w:val="18"/>
                <w:szCs w:val="18"/>
              </w:rPr>
              <w:t xml:space="preserve"> (2015–2019)</w:t>
            </w:r>
          </w:p>
        </w:tc>
        <w:tc>
          <w:tcPr>
            <w:tcW w:w="992" w:type="dxa"/>
            <w:shd w:val="clear" w:color="auto" w:fill="auto"/>
            <w:vAlign w:val="center"/>
          </w:tcPr>
          <w:p w14:paraId="34FA0B78" w14:textId="77777777"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00B050"/>
                <w:sz w:val="28"/>
                <w:szCs w:val="28"/>
              </w:rPr>
              <w:t>äää</w:t>
            </w:r>
          </w:p>
        </w:tc>
        <w:tc>
          <w:tcPr>
            <w:tcW w:w="992" w:type="dxa"/>
            <w:shd w:val="clear" w:color="auto" w:fill="auto"/>
            <w:vAlign w:val="center"/>
          </w:tcPr>
          <w:p w14:paraId="7796CA77" w14:textId="77777777"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00B050"/>
                <w:sz w:val="28"/>
                <w:szCs w:val="28"/>
              </w:rPr>
              <w:t>äää</w:t>
            </w:r>
          </w:p>
        </w:tc>
        <w:tc>
          <w:tcPr>
            <w:tcW w:w="992" w:type="dxa"/>
            <w:shd w:val="clear" w:color="auto" w:fill="auto"/>
            <w:vAlign w:val="center"/>
          </w:tcPr>
          <w:p w14:paraId="6EE22932" w14:textId="77777777"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FFC000"/>
                <w:sz w:val="28"/>
                <w:szCs w:val="28"/>
              </w:rPr>
              <w:t>à</w:t>
            </w:r>
            <w:r w:rsidRPr="00261CCE">
              <w:rPr>
                <w:rFonts w:ascii="Wingdings" w:hAnsi="Wingdings" w:cs="Wingdings"/>
                <w:color w:val="FF0000"/>
                <w:sz w:val="28"/>
                <w:szCs w:val="28"/>
              </w:rPr>
              <w:t>æ</w:t>
            </w:r>
            <w:r w:rsidRPr="00261CCE">
              <w:rPr>
                <w:rFonts w:ascii="Wingdings" w:hAnsi="Wingdings" w:cs="Wingdings"/>
                <w:color w:val="FFC000"/>
                <w:sz w:val="28"/>
                <w:szCs w:val="28"/>
              </w:rPr>
              <w:t>à</w:t>
            </w:r>
          </w:p>
        </w:tc>
        <w:tc>
          <w:tcPr>
            <w:tcW w:w="1134" w:type="dxa"/>
            <w:shd w:val="clear" w:color="auto" w:fill="auto"/>
            <w:vAlign w:val="center"/>
          </w:tcPr>
          <w:p w14:paraId="755347A4" w14:textId="77777777"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00B050"/>
                <w:sz w:val="28"/>
                <w:szCs w:val="28"/>
              </w:rPr>
              <w:t>ää</w:t>
            </w:r>
            <w:r w:rsidRPr="00261CCE">
              <w:rPr>
                <w:rFonts w:ascii="Wingdings" w:hAnsi="Wingdings" w:cs="Wingdings"/>
                <w:color w:val="FF0000"/>
                <w:sz w:val="28"/>
                <w:szCs w:val="28"/>
              </w:rPr>
              <w:t>æ</w:t>
            </w:r>
          </w:p>
        </w:tc>
        <w:tc>
          <w:tcPr>
            <w:tcW w:w="993" w:type="dxa"/>
            <w:shd w:val="clear" w:color="auto" w:fill="auto"/>
            <w:vAlign w:val="center"/>
          </w:tcPr>
          <w:p w14:paraId="16F04EC0" w14:textId="77777777"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FF0000"/>
                <w:sz w:val="28"/>
                <w:szCs w:val="28"/>
              </w:rPr>
              <w:t>æ</w:t>
            </w:r>
            <w:r w:rsidRPr="00261CCE">
              <w:rPr>
                <w:rFonts w:ascii="Wingdings" w:hAnsi="Wingdings" w:cs="Wingdings"/>
                <w:color w:val="00B050"/>
                <w:sz w:val="28"/>
                <w:szCs w:val="28"/>
              </w:rPr>
              <w:t>ä</w:t>
            </w:r>
            <w:r w:rsidRPr="00261CCE">
              <w:rPr>
                <w:rFonts w:ascii="Wingdings" w:hAnsi="Wingdings" w:cs="Wingdings"/>
                <w:color w:val="FF0000"/>
                <w:sz w:val="28"/>
                <w:szCs w:val="28"/>
              </w:rPr>
              <w:t>æ</w:t>
            </w:r>
          </w:p>
        </w:tc>
        <w:tc>
          <w:tcPr>
            <w:tcW w:w="1134" w:type="dxa"/>
            <w:shd w:val="clear" w:color="auto" w:fill="auto"/>
            <w:vAlign w:val="center"/>
          </w:tcPr>
          <w:p w14:paraId="1C09CC15" w14:textId="0FA68174" w:rsidR="0009316F" w:rsidRPr="00261CCE" w:rsidRDefault="0009316F" w:rsidP="00C439AF">
            <w:pPr>
              <w:suppressAutoHyphens w:val="0"/>
              <w:spacing w:before="40" w:after="40" w:line="220" w:lineRule="exact"/>
              <w:jc w:val="center"/>
              <w:rPr>
                <w:sz w:val="18"/>
              </w:rPr>
            </w:pPr>
            <w:r w:rsidRPr="00261CCE">
              <w:rPr>
                <w:rFonts w:ascii="Wingdings" w:hAnsi="Wingdings" w:cs="Wingdings"/>
                <w:color w:val="00B050"/>
                <w:sz w:val="28"/>
                <w:szCs w:val="28"/>
              </w:rPr>
              <w:t>ää</w:t>
            </w:r>
            <w:r w:rsidRPr="00261CCE">
              <w:rPr>
                <w:rFonts w:ascii="Wingdings" w:hAnsi="Wingdings" w:cs="Wingdings"/>
                <w:color w:val="FFC000"/>
                <w:sz w:val="28"/>
                <w:szCs w:val="28"/>
              </w:rPr>
              <w:t>à</w:t>
            </w:r>
          </w:p>
        </w:tc>
      </w:tr>
      <w:tr w:rsidR="008044E6" w:rsidRPr="00261CCE" w14:paraId="2F7CAE2D" w14:textId="77777777" w:rsidTr="00C439AF">
        <w:trPr>
          <w:trHeight w:val="862"/>
        </w:trPr>
        <w:tc>
          <w:tcPr>
            <w:tcW w:w="1560" w:type="dxa"/>
            <w:shd w:val="clear" w:color="auto" w:fill="auto"/>
          </w:tcPr>
          <w:p w14:paraId="6DC531F8" w14:textId="6FD2B0BC" w:rsidR="008044E6" w:rsidRPr="00061D6D" w:rsidRDefault="00154B4A" w:rsidP="00C439AF">
            <w:pPr>
              <w:spacing w:before="40" w:after="40" w:line="220" w:lineRule="exact"/>
              <w:rPr>
                <w:sz w:val="18"/>
                <w:szCs w:val="18"/>
              </w:rPr>
            </w:pPr>
            <w:r w:rsidRPr="00061D6D">
              <w:rPr>
                <w:sz w:val="18"/>
                <w:szCs w:val="18"/>
              </w:rPr>
              <w:t>Consumption of hydrochlorofluoro</w:t>
            </w:r>
            <w:r w:rsidRPr="00061D6D">
              <w:rPr>
                <w:sz w:val="18"/>
                <w:szCs w:val="18"/>
              </w:rPr>
              <w:softHyphen/>
              <w:t>carbons, ODP g per capita (2010–2019)</w:t>
            </w:r>
          </w:p>
        </w:tc>
        <w:tc>
          <w:tcPr>
            <w:tcW w:w="992" w:type="dxa"/>
            <w:shd w:val="clear" w:color="auto" w:fill="auto"/>
            <w:vAlign w:val="center"/>
          </w:tcPr>
          <w:p w14:paraId="16B94F62" w14:textId="77777777" w:rsidR="00154B4A" w:rsidRPr="00061D6D" w:rsidRDefault="00154B4A" w:rsidP="00154B4A">
            <w:pPr>
              <w:pStyle w:val="SingleTxtG"/>
              <w:keepNext/>
              <w:ind w:left="0" w:right="0"/>
              <w:jc w:val="center"/>
              <w:rPr>
                <w:rFonts w:ascii="Wingdings" w:eastAsia="Wingdings" w:hAnsi="Wingdings" w:cs="Wingdings"/>
                <w:color w:val="00B050"/>
                <w:sz w:val="28"/>
                <w:szCs w:val="28"/>
              </w:rPr>
            </w:pPr>
            <w:r w:rsidRPr="00061D6D">
              <w:rPr>
                <w:rFonts w:ascii="Wingdings" w:eastAsia="Wingdings" w:hAnsi="Wingdings" w:cs="Wingdings"/>
                <w:color w:val="00B050"/>
                <w:sz w:val="28"/>
                <w:szCs w:val="28"/>
              </w:rPr>
              <w:sym w:font="Wingdings" w:char="F04A"/>
            </w:r>
          </w:p>
          <w:p w14:paraId="411AF5A6" w14:textId="2C63758C" w:rsidR="008044E6" w:rsidRPr="00061D6D" w:rsidRDefault="008044E6" w:rsidP="00154B4A">
            <w:pPr>
              <w:spacing w:before="40" w:after="40" w:line="220" w:lineRule="exact"/>
              <w:jc w:val="center"/>
              <w:rPr>
                <w:rFonts w:ascii="Wingdings" w:hAnsi="Wingdings" w:cs="Wingdings"/>
                <w:color w:val="00B050"/>
                <w:sz w:val="28"/>
                <w:szCs w:val="28"/>
              </w:rPr>
            </w:pPr>
          </w:p>
        </w:tc>
        <w:tc>
          <w:tcPr>
            <w:tcW w:w="992" w:type="dxa"/>
            <w:shd w:val="clear" w:color="auto" w:fill="auto"/>
            <w:vAlign w:val="center"/>
          </w:tcPr>
          <w:p w14:paraId="134F49EB" w14:textId="77777777" w:rsidR="00154B4A" w:rsidRPr="00061D6D" w:rsidRDefault="00154B4A" w:rsidP="00154B4A">
            <w:pPr>
              <w:pStyle w:val="SingleTxtG"/>
              <w:keepNext/>
              <w:ind w:left="0" w:right="0"/>
              <w:jc w:val="center"/>
              <w:rPr>
                <w:rFonts w:ascii="Wingdings" w:eastAsia="Wingdings" w:hAnsi="Wingdings" w:cs="Wingdings"/>
                <w:color w:val="00B050"/>
                <w:sz w:val="28"/>
                <w:szCs w:val="28"/>
              </w:rPr>
            </w:pPr>
            <w:r w:rsidRPr="00061D6D">
              <w:rPr>
                <w:rFonts w:ascii="Wingdings" w:eastAsia="Wingdings" w:hAnsi="Wingdings" w:cs="Wingdings"/>
                <w:color w:val="00B050"/>
                <w:sz w:val="28"/>
                <w:szCs w:val="28"/>
              </w:rPr>
              <w:sym w:font="Wingdings" w:char="F04A"/>
            </w:r>
          </w:p>
          <w:p w14:paraId="424EB334" w14:textId="7EA133FA" w:rsidR="008044E6" w:rsidRPr="00061D6D" w:rsidRDefault="008044E6" w:rsidP="00154B4A">
            <w:pPr>
              <w:spacing w:before="40" w:after="40" w:line="220" w:lineRule="exact"/>
              <w:jc w:val="center"/>
              <w:rPr>
                <w:rFonts w:ascii="Wingdings" w:hAnsi="Wingdings" w:cs="Wingdings"/>
                <w:color w:val="00B050"/>
                <w:sz w:val="28"/>
                <w:szCs w:val="28"/>
              </w:rPr>
            </w:pPr>
          </w:p>
        </w:tc>
        <w:tc>
          <w:tcPr>
            <w:tcW w:w="992" w:type="dxa"/>
            <w:shd w:val="clear" w:color="auto" w:fill="auto"/>
            <w:vAlign w:val="center"/>
          </w:tcPr>
          <w:p w14:paraId="7616AF6E" w14:textId="77777777" w:rsidR="00154B4A" w:rsidRPr="00061D6D" w:rsidRDefault="00154B4A" w:rsidP="00154B4A">
            <w:pPr>
              <w:pStyle w:val="SingleTxtG"/>
              <w:keepNext/>
              <w:ind w:left="0" w:right="0"/>
              <w:jc w:val="center"/>
              <w:rPr>
                <w:rFonts w:ascii="Wingdings" w:eastAsia="Wingdings" w:hAnsi="Wingdings" w:cs="Wingdings"/>
                <w:color w:val="FFC000"/>
                <w:sz w:val="28"/>
                <w:szCs w:val="28"/>
              </w:rPr>
            </w:pPr>
            <w:r w:rsidRPr="00061D6D">
              <w:rPr>
                <w:rFonts w:ascii="Wingdings" w:eastAsia="Wingdings" w:hAnsi="Wingdings" w:cs="Wingdings"/>
                <w:color w:val="FFC000"/>
                <w:sz w:val="28"/>
                <w:szCs w:val="28"/>
              </w:rPr>
              <w:t>K</w:t>
            </w:r>
          </w:p>
          <w:p w14:paraId="603D99D2" w14:textId="5F5514B5" w:rsidR="008044E6" w:rsidRPr="00061D6D" w:rsidRDefault="00154B4A" w:rsidP="00154B4A">
            <w:pPr>
              <w:spacing w:before="40" w:after="40" w:line="220" w:lineRule="exact"/>
              <w:jc w:val="center"/>
              <w:rPr>
                <w:rFonts w:ascii="Wingdings" w:hAnsi="Wingdings" w:cs="Wingdings"/>
                <w:color w:val="FFC000"/>
                <w:sz w:val="28"/>
                <w:szCs w:val="28"/>
              </w:rPr>
            </w:pPr>
            <w:r w:rsidRPr="00061D6D">
              <w:rPr>
                <w:rFonts w:ascii="Wingdings" w:eastAsia="Wingdings" w:hAnsi="Wingdings" w:cs="Wingdings"/>
                <w:color w:val="00B050"/>
                <w:sz w:val="28"/>
                <w:szCs w:val="28"/>
              </w:rPr>
              <w:t>ä</w:t>
            </w:r>
          </w:p>
        </w:tc>
        <w:tc>
          <w:tcPr>
            <w:tcW w:w="1134" w:type="dxa"/>
            <w:shd w:val="clear" w:color="auto" w:fill="auto"/>
            <w:vAlign w:val="center"/>
          </w:tcPr>
          <w:p w14:paraId="2D73EC35" w14:textId="77777777" w:rsidR="00154B4A" w:rsidRPr="00061D6D" w:rsidRDefault="00154B4A" w:rsidP="00154B4A">
            <w:pPr>
              <w:pStyle w:val="SingleTxtG"/>
              <w:keepNext/>
              <w:ind w:left="0" w:right="0"/>
              <w:jc w:val="center"/>
              <w:rPr>
                <w:rFonts w:ascii="Wingdings" w:eastAsia="Wingdings" w:hAnsi="Wingdings" w:cs="Wingdings"/>
                <w:color w:val="FFC000"/>
                <w:sz w:val="28"/>
                <w:szCs w:val="28"/>
              </w:rPr>
            </w:pPr>
            <w:r w:rsidRPr="00061D6D">
              <w:rPr>
                <w:rFonts w:ascii="Wingdings" w:eastAsia="Wingdings" w:hAnsi="Wingdings" w:cs="Wingdings"/>
                <w:color w:val="FFC000"/>
                <w:sz w:val="28"/>
                <w:szCs w:val="28"/>
              </w:rPr>
              <w:t>K</w:t>
            </w:r>
          </w:p>
          <w:p w14:paraId="3642F584" w14:textId="53397F3A" w:rsidR="008044E6" w:rsidRPr="00061D6D" w:rsidRDefault="00154B4A" w:rsidP="00154B4A">
            <w:pPr>
              <w:spacing w:before="40" w:after="40" w:line="220" w:lineRule="exact"/>
              <w:jc w:val="center"/>
              <w:rPr>
                <w:rFonts w:ascii="Wingdings" w:hAnsi="Wingdings" w:cs="Wingdings"/>
                <w:color w:val="00B050"/>
                <w:sz w:val="28"/>
                <w:szCs w:val="28"/>
              </w:rPr>
            </w:pPr>
            <w:r w:rsidRPr="00061D6D">
              <w:rPr>
                <w:rFonts w:ascii="Wingdings" w:eastAsia="Wingdings" w:hAnsi="Wingdings" w:cs="Wingdings"/>
                <w:color w:val="00B050"/>
                <w:sz w:val="28"/>
                <w:szCs w:val="28"/>
              </w:rPr>
              <w:t>ä</w:t>
            </w:r>
          </w:p>
        </w:tc>
        <w:tc>
          <w:tcPr>
            <w:tcW w:w="993" w:type="dxa"/>
            <w:shd w:val="clear" w:color="auto" w:fill="auto"/>
            <w:vAlign w:val="center"/>
          </w:tcPr>
          <w:p w14:paraId="5269DA51" w14:textId="77777777" w:rsidR="00154B4A" w:rsidRPr="00061D6D" w:rsidRDefault="00154B4A" w:rsidP="00154B4A">
            <w:pPr>
              <w:pStyle w:val="SingleTxtG"/>
              <w:keepNext/>
              <w:ind w:left="0" w:right="0"/>
              <w:jc w:val="center"/>
              <w:rPr>
                <w:rFonts w:ascii="Wingdings" w:eastAsia="Wingdings" w:hAnsi="Wingdings" w:cs="Wingdings"/>
                <w:color w:val="FFC000"/>
                <w:sz w:val="28"/>
                <w:szCs w:val="28"/>
              </w:rPr>
            </w:pPr>
            <w:r w:rsidRPr="00061D6D">
              <w:rPr>
                <w:rFonts w:ascii="Wingdings" w:eastAsia="Wingdings" w:hAnsi="Wingdings" w:cs="Wingdings"/>
                <w:color w:val="FFC000"/>
                <w:sz w:val="28"/>
                <w:szCs w:val="28"/>
              </w:rPr>
              <w:t>K</w:t>
            </w:r>
          </w:p>
          <w:p w14:paraId="41D195D4" w14:textId="41E9346F" w:rsidR="008044E6" w:rsidRPr="00061D6D" w:rsidRDefault="00154B4A" w:rsidP="00154B4A">
            <w:pPr>
              <w:spacing w:before="40" w:after="40" w:line="220" w:lineRule="exact"/>
              <w:jc w:val="center"/>
              <w:rPr>
                <w:rFonts w:ascii="Wingdings" w:hAnsi="Wingdings" w:cs="Wingdings"/>
                <w:color w:val="FF0000"/>
                <w:sz w:val="28"/>
                <w:szCs w:val="28"/>
              </w:rPr>
            </w:pPr>
            <w:r w:rsidRPr="00061D6D">
              <w:rPr>
                <w:rFonts w:ascii="Wingdings" w:eastAsia="Wingdings" w:hAnsi="Wingdings" w:cs="Wingdings"/>
                <w:color w:val="00B050"/>
                <w:sz w:val="28"/>
                <w:szCs w:val="28"/>
              </w:rPr>
              <w:t>ä</w:t>
            </w:r>
          </w:p>
        </w:tc>
        <w:tc>
          <w:tcPr>
            <w:tcW w:w="1134" w:type="dxa"/>
            <w:shd w:val="clear" w:color="auto" w:fill="auto"/>
            <w:vAlign w:val="center"/>
          </w:tcPr>
          <w:p w14:paraId="1B60677F" w14:textId="77777777" w:rsidR="00154B4A" w:rsidRPr="00061D6D" w:rsidRDefault="00154B4A" w:rsidP="00154B4A">
            <w:pPr>
              <w:pStyle w:val="SingleTxtG"/>
              <w:keepNext/>
              <w:ind w:left="0" w:right="0"/>
              <w:jc w:val="center"/>
              <w:rPr>
                <w:rFonts w:ascii="Wingdings" w:eastAsia="Wingdings" w:hAnsi="Wingdings" w:cs="Wingdings"/>
                <w:color w:val="FFC000"/>
                <w:sz w:val="28"/>
                <w:szCs w:val="28"/>
              </w:rPr>
            </w:pPr>
            <w:r w:rsidRPr="00061D6D">
              <w:rPr>
                <w:rFonts w:ascii="Wingdings" w:eastAsia="Wingdings" w:hAnsi="Wingdings" w:cs="Wingdings"/>
                <w:color w:val="FFC000"/>
                <w:sz w:val="28"/>
                <w:szCs w:val="28"/>
              </w:rPr>
              <w:t>K</w:t>
            </w:r>
          </w:p>
          <w:p w14:paraId="206DCDCB" w14:textId="5C6F2BB5" w:rsidR="008044E6" w:rsidRPr="00061D6D" w:rsidRDefault="00154B4A" w:rsidP="00154B4A">
            <w:pPr>
              <w:spacing w:before="40" w:after="40" w:line="220" w:lineRule="exact"/>
              <w:jc w:val="center"/>
              <w:rPr>
                <w:rFonts w:ascii="Wingdings" w:hAnsi="Wingdings" w:cs="Wingdings"/>
                <w:color w:val="00B050"/>
                <w:sz w:val="28"/>
                <w:szCs w:val="28"/>
              </w:rPr>
            </w:pPr>
            <w:r w:rsidRPr="00061D6D">
              <w:rPr>
                <w:rFonts w:ascii="Wingdings" w:eastAsia="Wingdings" w:hAnsi="Wingdings" w:cs="Wingdings"/>
                <w:color w:val="00B050"/>
                <w:sz w:val="28"/>
                <w:szCs w:val="28"/>
              </w:rPr>
              <w:t>ä</w:t>
            </w:r>
          </w:p>
        </w:tc>
      </w:tr>
      <w:tr w:rsidR="0009316F" w:rsidRPr="00261CCE" w14:paraId="0CE16808" w14:textId="77777777" w:rsidTr="00C439AF">
        <w:trPr>
          <w:trHeight w:hRule="exact" w:val="53"/>
        </w:trPr>
        <w:tc>
          <w:tcPr>
            <w:tcW w:w="1560" w:type="dxa"/>
            <w:tcBorders>
              <w:bottom w:val="single" w:sz="12" w:space="0" w:color="auto"/>
            </w:tcBorders>
            <w:shd w:val="clear" w:color="auto" w:fill="auto"/>
          </w:tcPr>
          <w:p w14:paraId="3E3EB401" w14:textId="77777777" w:rsidR="0009316F" w:rsidRPr="00261CCE" w:rsidRDefault="0009316F" w:rsidP="00C439AF">
            <w:pPr>
              <w:suppressAutoHyphens w:val="0"/>
              <w:spacing w:before="40" w:after="40" w:line="220" w:lineRule="exact"/>
              <w:rPr>
                <w:sz w:val="18"/>
                <w:szCs w:val="18"/>
              </w:rPr>
            </w:pPr>
          </w:p>
        </w:tc>
        <w:tc>
          <w:tcPr>
            <w:tcW w:w="992" w:type="dxa"/>
            <w:tcBorders>
              <w:bottom w:val="single" w:sz="12" w:space="0" w:color="auto"/>
            </w:tcBorders>
            <w:shd w:val="clear" w:color="auto" w:fill="auto"/>
            <w:vAlign w:val="center"/>
          </w:tcPr>
          <w:p w14:paraId="068C6F38"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54937D8D"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39446BA1" w14:textId="77777777" w:rsidR="0009316F" w:rsidRPr="00261CCE" w:rsidRDefault="0009316F" w:rsidP="00C439AF">
            <w:pPr>
              <w:suppressAutoHyphens w:val="0"/>
              <w:spacing w:before="40" w:after="40" w:line="220" w:lineRule="exact"/>
              <w:jc w:val="center"/>
              <w:rPr>
                <w:rFonts w:ascii="Wingdings" w:hAnsi="Wingdings" w:cs="Wingdings"/>
                <w:color w:val="FFC000"/>
                <w:sz w:val="28"/>
                <w:szCs w:val="28"/>
              </w:rPr>
            </w:pPr>
          </w:p>
        </w:tc>
        <w:tc>
          <w:tcPr>
            <w:tcW w:w="1134" w:type="dxa"/>
            <w:tcBorders>
              <w:bottom w:val="single" w:sz="12" w:space="0" w:color="auto"/>
            </w:tcBorders>
            <w:shd w:val="clear" w:color="auto" w:fill="auto"/>
            <w:vAlign w:val="center"/>
          </w:tcPr>
          <w:p w14:paraId="10E1DE6D"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993" w:type="dxa"/>
            <w:tcBorders>
              <w:bottom w:val="single" w:sz="12" w:space="0" w:color="auto"/>
            </w:tcBorders>
            <w:shd w:val="clear" w:color="auto" w:fill="auto"/>
            <w:vAlign w:val="center"/>
          </w:tcPr>
          <w:p w14:paraId="441EB465" w14:textId="77777777" w:rsidR="0009316F" w:rsidRPr="00261CCE" w:rsidRDefault="0009316F" w:rsidP="00C439AF">
            <w:pPr>
              <w:suppressAutoHyphens w:val="0"/>
              <w:spacing w:before="40" w:after="40" w:line="220" w:lineRule="exact"/>
              <w:jc w:val="center"/>
              <w:rPr>
                <w:rFonts w:ascii="Wingdings" w:hAnsi="Wingdings" w:cs="Wingdings"/>
                <w:color w:val="FF0000"/>
                <w:sz w:val="28"/>
                <w:szCs w:val="28"/>
              </w:rPr>
            </w:pPr>
          </w:p>
        </w:tc>
        <w:tc>
          <w:tcPr>
            <w:tcW w:w="1134" w:type="dxa"/>
            <w:tcBorders>
              <w:bottom w:val="single" w:sz="12" w:space="0" w:color="auto"/>
            </w:tcBorders>
            <w:shd w:val="clear" w:color="auto" w:fill="auto"/>
            <w:vAlign w:val="center"/>
          </w:tcPr>
          <w:p w14:paraId="68FB5464"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r>
    </w:tbl>
    <w:p w14:paraId="3E60BD5E" w14:textId="24C173C2" w:rsidR="0009316F" w:rsidRPr="00867C64" w:rsidRDefault="0009316F" w:rsidP="0009316F">
      <w:pPr>
        <w:spacing w:before="120"/>
        <w:ind w:left="1134" w:right="708" w:firstLine="425"/>
        <w:jc w:val="both"/>
        <w:rPr>
          <w:sz w:val="18"/>
          <w:szCs w:val="18"/>
        </w:rPr>
      </w:pPr>
      <w:r w:rsidRPr="00261CCE">
        <w:rPr>
          <w:i/>
          <w:iCs/>
          <w:sz w:val="18"/>
          <w:szCs w:val="18"/>
        </w:rPr>
        <w:t>Sources:</w:t>
      </w:r>
      <w:r>
        <w:rPr>
          <w:i/>
          <w:iCs/>
          <w:sz w:val="18"/>
          <w:szCs w:val="18"/>
        </w:rPr>
        <w:t xml:space="preserve"> </w:t>
      </w:r>
      <w:r w:rsidRPr="00D36AD2">
        <w:rPr>
          <w:sz w:val="18"/>
          <w:szCs w:val="18"/>
        </w:rPr>
        <w:t>For Ambient PM</w:t>
      </w:r>
      <w:r w:rsidRPr="00D30424">
        <w:rPr>
          <w:sz w:val="18"/>
          <w:szCs w:val="18"/>
          <w:vertAlign w:val="subscript"/>
        </w:rPr>
        <w:t>2.5</w:t>
      </w:r>
      <w:r w:rsidRPr="00D36AD2">
        <w:rPr>
          <w:sz w:val="18"/>
          <w:szCs w:val="18"/>
        </w:rPr>
        <w:t xml:space="preserve"> (</w:t>
      </w:r>
      <w:r w:rsidR="00A5049A" w:rsidRPr="00A5049A">
        <w:rPr>
          <w:sz w:val="18"/>
          <w:szCs w:val="18"/>
        </w:rPr>
        <w:t>µg</w:t>
      </w:r>
      <w:r w:rsidRPr="00D36AD2">
        <w:rPr>
          <w:sz w:val="18"/>
          <w:szCs w:val="18"/>
        </w:rPr>
        <w:t>/m3 in 2016)</w:t>
      </w:r>
      <w:r w:rsidRPr="00867C64">
        <w:rPr>
          <w:i/>
          <w:iCs/>
          <w:sz w:val="18"/>
          <w:szCs w:val="18"/>
        </w:rPr>
        <w:t xml:space="preserve"> – World Health Organization,</w:t>
      </w:r>
      <w:r w:rsidRPr="00867C64">
        <w:rPr>
          <w:sz w:val="18"/>
          <w:szCs w:val="18"/>
        </w:rPr>
        <w:t xml:space="preserve"> Global Health Observatory, “SDG Indicator 11.6.2 Concentration of fine particulate matter (PM2.5)”, available at</w:t>
      </w:r>
      <w:r w:rsidR="00490078">
        <w:rPr>
          <w:sz w:val="18"/>
          <w:szCs w:val="18"/>
        </w:rPr>
        <w:t xml:space="preserve"> </w:t>
      </w:r>
      <w:r w:rsidRPr="00867C64">
        <w:rPr>
          <w:sz w:val="18"/>
          <w:szCs w:val="18"/>
        </w:rPr>
        <w:t>www.who.int/data/gho/data/indicators/indicator-details/GHO/concentrations-of-fine-particulate-matter-(pm2-5), last</w:t>
      </w:r>
      <w:r>
        <w:rPr>
          <w:sz w:val="18"/>
          <w:szCs w:val="18"/>
        </w:rPr>
        <w:t xml:space="preserve"> </w:t>
      </w:r>
      <w:r w:rsidRPr="00867C64">
        <w:rPr>
          <w:sz w:val="18"/>
          <w:szCs w:val="18"/>
        </w:rPr>
        <w:t>update 7 May 2021; For emissions of SOx, NOx and PM</w:t>
      </w:r>
      <w:r w:rsidRPr="00061D6D">
        <w:rPr>
          <w:sz w:val="18"/>
          <w:szCs w:val="18"/>
          <w:vertAlign w:val="subscript"/>
        </w:rPr>
        <w:t>2.5</w:t>
      </w:r>
      <w:r w:rsidRPr="00867C64">
        <w:rPr>
          <w:sz w:val="18"/>
          <w:szCs w:val="18"/>
        </w:rPr>
        <w:t xml:space="preserve"> (2015–2019) – Cooperative Programme for Monitoring and Evaluation of the Long-range Transmission of Air Pollutants in Europe - Centre on Emission Inventories and Projections, 2021, officially reported emission data.</w:t>
      </w:r>
    </w:p>
    <w:p w14:paraId="204D9D69" w14:textId="49472C49" w:rsidR="0009316F" w:rsidRPr="00261CCE" w:rsidRDefault="0009316F" w:rsidP="0009316F">
      <w:pPr>
        <w:tabs>
          <w:tab w:val="left" w:pos="1701"/>
        </w:tabs>
        <w:spacing w:before="120" w:after="120"/>
        <w:ind w:left="1134" w:right="851" w:firstLine="425"/>
        <w:jc w:val="both"/>
        <w:rPr>
          <w:sz w:val="18"/>
          <w:szCs w:val="18"/>
        </w:rPr>
      </w:pPr>
      <w:r w:rsidRPr="00261CCE">
        <w:rPr>
          <w:i/>
          <w:iCs/>
          <w:sz w:val="18"/>
          <w:szCs w:val="18"/>
        </w:rPr>
        <w:t>Note</w:t>
      </w:r>
      <w:r w:rsidRPr="00261CCE">
        <w:rPr>
          <w:sz w:val="18"/>
          <w:szCs w:val="18"/>
        </w:rPr>
        <w:t xml:space="preserve">: Trend is </w:t>
      </w:r>
      <w:r w:rsidRPr="00C843C6">
        <w:rPr>
          <w:rFonts w:ascii="Wingdings" w:eastAsia="Wingdings" w:hAnsi="Wingdings" w:cs="Wingdings"/>
          <w:color w:val="00B050"/>
          <w:sz w:val="28"/>
          <w:szCs w:val="28"/>
        </w:rPr>
        <w:t>ä</w:t>
      </w:r>
      <w:r w:rsidRPr="00261CCE">
        <w:rPr>
          <w:sz w:val="18"/>
          <w:szCs w:val="18"/>
        </w:rPr>
        <w:t xml:space="preserve"> improving (emissions falling),</w:t>
      </w:r>
      <w:r w:rsidRPr="00261CCE">
        <w:rPr>
          <w:color w:val="E36C0A" w:themeColor="accent6" w:themeShade="BF"/>
          <w:sz w:val="18"/>
          <w:szCs w:val="18"/>
        </w:rPr>
        <w:t xml:space="preserve"> </w:t>
      </w:r>
      <w:r w:rsidRPr="00C843C6">
        <w:rPr>
          <w:rFonts w:ascii="Wingdings" w:eastAsia="Wingdings" w:hAnsi="Wingdings" w:cs="Wingdings"/>
          <w:color w:val="FFC000"/>
          <w:sz w:val="28"/>
          <w:szCs w:val="28"/>
        </w:rPr>
        <w:t>à</w:t>
      </w:r>
      <w:r w:rsidRPr="00261CCE">
        <w:rPr>
          <w:sz w:val="18"/>
          <w:szCs w:val="18"/>
        </w:rPr>
        <w:t xml:space="preserve"> stable or </w:t>
      </w:r>
      <w:r w:rsidRPr="00C843C6">
        <w:rPr>
          <w:rFonts w:ascii="Wingdings" w:eastAsia="Wingdings" w:hAnsi="Wingdings" w:cs="Wingdings"/>
          <w:color w:val="FF0000"/>
          <w:sz w:val="28"/>
          <w:szCs w:val="28"/>
        </w:rPr>
        <w:t>æ</w:t>
      </w:r>
      <w:r w:rsidRPr="00261CCE">
        <w:rPr>
          <w:sz w:val="18"/>
          <w:szCs w:val="18"/>
        </w:rPr>
        <w:t xml:space="preserve"> worsening; status of PM</w:t>
      </w:r>
      <w:r w:rsidRPr="00261CCE">
        <w:rPr>
          <w:sz w:val="18"/>
          <w:szCs w:val="18"/>
          <w:vertAlign w:val="subscript"/>
        </w:rPr>
        <w:t>2.5</w:t>
      </w:r>
      <w:r w:rsidRPr="00261CCE">
        <w:rPr>
          <w:sz w:val="18"/>
          <w:szCs w:val="18"/>
        </w:rPr>
        <w:t xml:space="preserve"> concentration is </w:t>
      </w:r>
      <w:r w:rsidRPr="00C843C6">
        <w:rPr>
          <w:rFonts w:ascii="Wingdings" w:eastAsia="Wingdings" w:hAnsi="Wingdings" w:cs="Wingdings"/>
          <w:color w:val="FF0000"/>
          <w:sz w:val="28"/>
          <w:szCs w:val="28"/>
        </w:rPr>
        <w:t>L</w:t>
      </w:r>
      <w:r w:rsidRPr="00261CCE">
        <w:rPr>
          <w:sz w:val="18"/>
          <w:szCs w:val="18"/>
        </w:rPr>
        <w:t xml:space="preserve"> (exceeds </w:t>
      </w:r>
      <w:r w:rsidR="00AC1125">
        <w:rPr>
          <w:sz w:val="18"/>
          <w:szCs w:val="18"/>
        </w:rPr>
        <w:t xml:space="preserve">the 2005 </w:t>
      </w:r>
      <w:r w:rsidRPr="00261CCE">
        <w:rPr>
          <w:sz w:val="18"/>
          <w:szCs w:val="18"/>
        </w:rPr>
        <w:t xml:space="preserve">World Health Organization air quality guideline of </w:t>
      </w:r>
      <w:r w:rsidR="00A204B7">
        <w:rPr>
          <w:sz w:val="18"/>
          <w:szCs w:val="18"/>
        </w:rPr>
        <w:t xml:space="preserve">10 </w:t>
      </w:r>
      <w:r w:rsidR="00A204B7" w:rsidRPr="00A5049A">
        <w:rPr>
          <w:sz w:val="18"/>
          <w:szCs w:val="18"/>
        </w:rPr>
        <w:t>µ</w:t>
      </w:r>
      <w:r w:rsidR="00A204B7">
        <w:rPr>
          <w:sz w:val="18"/>
          <w:szCs w:val="18"/>
        </w:rPr>
        <w:t>g/m</w:t>
      </w:r>
      <w:r w:rsidR="00A204B7" w:rsidRPr="00A737D5">
        <w:rPr>
          <w:sz w:val="18"/>
          <w:szCs w:val="18"/>
          <w:vertAlign w:val="superscript"/>
        </w:rPr>
        <w:t>3</w:t>
      </w:r>
      <w:r w:rsidR="00AC1125">
        <w:rPr>
          <w:sz w:val="18"/>
          <w:szCs w:val="18"/>
        </w:rPr>
        <w:t xml:space="preserve"> and the subsequent stricter 2021 limit of </w:t>
      </w:r>
      <w:r w:rsidRPr="005455D3">
        <w:rPr>
          <w:sz w:val="18"/>
          <w:szCs w:val="18"/>
        </w:rPr>
        <w:t>5 </w:t>
      </w:r>
      <w:r w:rsidR="0077186C" w:rsidRPr="005455D3">
        <w:rPr>
          <w:sz w:val="18"/>
          <w:szCs w:val="18"/>
        </w:rPr>
        <w:t>µ</w:t>
      </w:r>
      <w:r w:rsidRPr="005455D3">
        <w:rPr>
          <w:sz w:val="18"/>
          <w:szCs w:val="18"/>
        </w:rPr>
        <w:t>g/m</w:t>
      </w:r>
      <w:r w:rsidRPr="005455D3">
        <w:rPr>
          <w:sz w:val="18"/>
          <w:szCs w:val="18"/>
          <w:vertAlign w:val="superscript"/>
        </w:rPr>
        <w:t>3</w:t>
      </w:r>
      <w:r w:rsidRPr="00261CCE">
        <w:rPr>
          <w:sz w:val="18"/>
          <w:szCs w:val="18"/>
        </w:rPr>
        <w:t xml:space="preserve">); status of consumption of hydrochlorofluorocarbons is </w:t>
      </w:r>
      <w:r w:rsidRPr="00C843C6">
        <w:rPr>
          <w:rFonts w:ascii="Wingdings" w:eastAsia="Wingdings" w:hAnsi="Wingdings" w:cs="Wingdings"/>
          <w:color w:val="00B050"/>
          <w:sz w:val="28"/>
          <w:szCs w:val="28"/>
        </w:rPr>
        <w:t>J</w:t>
      </w:r>
      <w:r w:rsidRPr="00261CCE">
        <w:rPr>
          <w:sz w:val="18"/>
          <w:szCs w:val="18"/>
        </w:rPr>
        <w:t xml:space="preserve"> (phased out) or </w:t>
      </w:r>
      <w:r w:rsidRPr="00C843C6">
        <w:rPr>
          <w:rFonts w:ascii="Wingdings" w:eastAsia="Wingdings" w:hAnsi="Wingdings" w:cs="Wingdings"/>
          <w:color w:val="FFC000"/>
          <w:sz w:val="28"/>
          <w:szCs w:val="28"/>
        </w:rPr>
        <w:t>K</w:t>
      </w:r>
      <w:r w:rsidRPr="00261CCE">
        <w:rPr>
          <w:sz w:val="18"/>
          <w:szCs w:val="18"/>
        </w:rPr>
        <w:t xml:space="preserve"> (below but close to target). European Union net consumption of hydrochlorofluoro</w:t>
      </w:r>
      <w:r w:rsidRPr="00261CCE">
        <w:rPr>
          <w:sz w:val="18"/>
          <w:szCs w:val="18"/>
        </w:rPr>
        <w:softHyphen/>
        <w:t>carbons has been below zero since 2010; Western Europe except Israel has had zero consumption since 2015; Azerbaijan and Belarus achieved zero consumption in 2019, Kyrgyzstan did so in 2020. Regarding ambient PM</w:t>
      </w:r>
      <w:r w:rsidRPr="00261CCE">
        <w:rPr>
          <w:sz w:val="18"/>
          <w:szCs w:val="18"/>
          <w:vertAlign w:val="subscript"/>
        </w:rPr>
        <w:t xml:space="preserve">2.5 </w:t>
      </w:r>
      <w:r w:rsidRPr="00261CCE">
        <w:rPr>
          <w:sz w:val="18"/>
          <w:szCs w:val="18"/>
        </w:rPr>
        <w:t>(</w:t>
      </w:r>
      <w:r w:rsidR="006A40E8" w:rsidRPr="006A40E8">
        <w:rPr>
          <w:sz w:val="18"/>
          <w:szCs w:val="18"/>
        </w:rPr>
        <w:t>µg</w:t>
      </w:r>
      <w:r w:rsidRPr="00261CCE">
        <w:rPr>
          <w:sz w:val="18"/>
          <w:szCs w:val="18"/>
        </w:rPr>
        <w:t>/m3 in 2016):</w:t>
      </w:r>
      <w:r w:rsidRPr="00261CCE">
        <w:rPr>
          <w:i/>
          <w:iCs/>
          <w:sz w:val="18"/>
          <w:szCs w:val="18"/>
        </w:rPr>
        <w:t xml:space="preserve"> </w:t>
      </w:r>
      <w:r w:rsidRPr="00261CCE">
        <w:rPr>
          <w:sz w:val="18"/>
          <w:szCs w:val="18"/>
        </w:rPr>
        <w:t xml:space="preserve">Regional values are population weighted. No data for Liechtenstein. Corresponds to Sustainable Development Goal indicator 11.6.2. </w:t>
      </w:r>
    </w:p>
    <w:p w14:paraId="5C9C8BF3" w14:textId="77777777" w:rsidR="0009316F" w:rsidRPr="00261CCE" w:rsidRDefault="0009316F" w:rsidP="0009316F">
      <w:pPr>
        <w:spacing w:after="120"/>
        <w:ind w:left="1134" w:right="1134" w:firstLine="426"/>
        <w:jc w:val="both"/>
        <w:rPr>
          <w:sz w:val="18"/>
          <w:szCs w:val="18"/>
        </w:rPr>
      </w:pPr>
      <w:r w:rsidRPr="00261CCE">
        <w:rPr>
          <w:i/>
          <w:iCs/>
          <w:sz w:val="18"/>
          <w:szCs w:val="18"/>
        </w:rPr>
        <w:t>Abbreviations</w:t>
      </w:r>
      <w:r w:rsidRPr="00261CCE">
        <w:rPr>
          <w:sz w:val="18"/>
          <w:szCs w:val="18"/>
        </w:rPr>
        <w:t>: ODP, oxygen depletion potential; SO</w:t>
      </w:r>
      <w:r w:rsidRPr="00261CCE">
        <w:rPr>
          <w:sz w:val="18"/>
          <w:szCs w:val="18"/>
          <w:vertAlign w:val="subscript"/>
        </w:rPr>
        <w:t>x</w:t>
      </w:r>
      <w:r w:rsidRPr="00261CCE">
        <w:rPr>
          <w:sz w:val="18"/>
          <w:szCs w:val="18"/>
        </w:rPr>
        <w:t>, sulfur oxides.</w:t>
      </w:r>
    </w:p>
    <w:bookmarkEnd w:id="2"/>
    <w:p w14:paraId="7CB1DC10" w14:textId="59DDA5FB" w:rsidR="0009316F" w:rsidRPr="00261CCE" w:rsidRDefault="0009316F" w:rsidP="0009316F">
      <w:pPr>
        <w:keepNext/>
        <w:keepLines/>
        <w:tabs>
          <w:tab w:val="right" w:pos="851"/>
        </w:tabs>
        <w:spacing w:before="240" w:after="120" w:line="240" w:lineRule="exact"/>
        <w:ind w:left="1134" w:right="1134" w:hanging="1134"/>
        <w:rPr>
          <w:b/>
          <w:lang w:eastAsia="zh-TW"/>
        </w:rPr>
      </w:pPr>
      <w:r w:rsidRPr="00261CCE">
        <w:rPr>
          <w:b/>
          <w:lang w:eastAsia="zh-TW"/>
        </w:rPr>
        <w:tab/>
        <w:t>2.</w:t>
      </w:r>
      <w:r w:rsidRPr="00261CCE">
        <w:rPr>
          <w:b/>
          <w:lang w:eastAsia="zh-TW"/>
        </w:rPr>
        <w:tab/>
        <w:t>Greenhouse gas emissions</w:t>
      </w:r>
    </w:p>
    <w:p w14:paraId="4E545C81" w14:textId="77777777" w:rsidR="0009316F" w:rsidRPr="00896398" w:rsidRDefault="0009316F" w:rsidP="0009316F">
      <w:pPr>
        <w:spacing w:after="120"/>
        <w:ind w:left="1134" w:right="1134"/>
        <w:jc w:val="both"/>
        <w:rPr>
          <w:rStyle w:val="SingleTxtGChar"/>
        </w:rPr>
      </w:pPr>
      <w:r w:rsidRPr="00261CCE">
        <w:t>5.</w:t>
      </w:r>
      <w:r w:rsidRPr="00261CCE">
        <w:tab/>
      </w:r>
      <w:r w:rsidRPr="00896398">
        <w:rPr>
          <w:rStyle w:val="SingleTxtGChar"/>
        </w:rPr>
        <w:t xml:space="preserve">All pan-European region countries have committed to reducing greenhouse gas emissions, but net emissions in the region are still rising. Efforts and achievements are unevenly distributed throughout the region. Reductions, which are mostly achieved in the western part of Europe (2014–2019), are offset by the increase in emissions in the rest of the region (see table 2 below). National commitments under the Paris Agreement were renewed by 35 countries in the region with more ambitious targets. However, some countries still do not have firm, quantifiable commitments or mechanisms to follow the progress towards them, resulting in significant data gaps. </w:t>
      </w:r>
    </w:p>
    <w:p w14:paraId="156DA319" w14:textId="610048F9" w:rsidR="0009316F" w:rsidRPr="00261CCE" w:rsidRDefault="0009316F" w:rsidP="0009316F">
      <w:pPr>
        <w:spacing w:after="120"/>
        <w:ind w:left="1134" w:right="1134"/>
        <w:jc w:val="both"/>
      </w:pPr>
      <w:r w:rsidRPr="00261CCE">
        <w:rPr>
          <w:b/>
          <w:bCs/>
        </w:rPr>
        <w:t>Recommendation</w:t>
      </w:r>
      <w:r w:rsidR="000C0F47">
        <w:rPr>
          <w:b/>
          <w:bCs/>
        </w:rPr>
        <w:t>s</w:t>
      </w:r>
      <w:r w:rsidRPr="00261CCE">
        <w:t xml:space="preserve">: </w:t>
      </w:r>
    </w:p>
    <w:p w14:paraId="2A16AE94" w14:textId="0F6E018F" w:rsidR="0009316F" w:rsidRPr="00261CCE" w:rsidRDefault="0009316F" w:rsidP="00C90020">
      <w:pPr>
        <w:spacing w:after="120"/>
        <w:ind w:left="1134" w:right="1134"/>
        <w:jc w:val="both"/>
        <w:rPr>
          <w:lang w:eastAsia="zh-TW"/>
        </w:rPr>
      </w:pPr>
      <w:r w:rsidRPr="00261CCE">
        <w:t>6.</w:t>
      </w:r>
      <w:r w:rsidRPr="00261CCE">
        <w:tab/>
      </w:r>
      <w:r w:rsidRPr="00261CCE">
        <w:rPr>
          <w:lang w:eastAsia="zh-TW"/>
        </w:rPr>
        <w:t xml:space="preserve">Governments in the pan-European region should </w:t>
      </w:r>
      <w:r w:rsidR="00E4295A" w:rsidRPr="00E4295A">
        <w:rPr>
          <w:lang w:eastAsia="zh-TW"/>
        </w:rPr>
        <w:t xml:space="preserve">enhance their </w:t>
      </w:r>
      <w:r w:rsidR="00AD5530">
        <w:rPr>
          <w:lang w:eastAsia="zh-TW"/>
        </w:rPr>
        <w:t>commit</w:t>
      </w:r>
      <w:r w:rsidR="00233646">
        <w:rPr>
          <w:lang w:eastAsia="zh-TW"/>
        </w:rPr>
        <w:t xml:space="preserve">ments </w:t>
      </w:r>
      <w:r w:rsidR="007A2F6F">
        <w:rPr>
          <w:lang w:eastAsia="zh-TW"/>
        </w:rPr>
        <w:t>in</w:t>
      </w:r>
      <w:r w:rsidR="00233646">
        <w:rPr>
          <w:lang w:eastAsia="zh-TW"/>
        </w:rPr>
        <w:t xml:space="preserve"> nationally</w:t>
      </w:r>
      <w:r w:rsidR="00E4295A" w:rsidRPr="00E4295A">
        <w:rPr>
          <w:lang w:eastAsia="zh-TW"/>
        </w:rPr>
        <w:t xml:space="preserve"> determined contributions under the Paris Agreement</w:t>
      </w:r>
      <w:r w:rsidR="007A2F6F">
        <w:rPr>
          <w:lang w:eastAsia="zh-TW"/>
        </w:rPr>
        <w:t>,</w:t>
      </w:r>
      <w:r w:rsidR="00E4295A" w:rsidRPr="00E4295A">
        <w:rPr>
          <w:lang w:eastAsia="zh-TW"/>
        </w:rPr>
        <w:t xml:space="preserve"> </w:t>
      </w:r>
      <w:r w:rsidR="00B10A3B">
        <w:rPr>
          <w:lang w:eastAsia="zh-TW"/>
        </w:rPr>
        <w:t>commit to</w:t>
      </w:r>
      <w:r w:rsidR="00E4295A" w:rsidRPr="00E4295A">
        <w:rPr>
          <w:lang w:eastAsia="zh-TW"/>
        </w:rPr>
        <w:t xml:space="preserve"> economy-wide absolute emission reduction targets and regularly report on their progress towards implementation and achievement of their targets.</w:t>
      </w:r>
      <w:r w:rsidR="00E4295A">
        <w:rPr>
          <w:lang w:eastAsia="zh-TW"/>
        </w:rPr>
        <w:t xml:space="preserve"> </w:t>
      </w:r>
      <w:r w:rsidR="00C90020">
        <w:rPr>
          <w:lang w:eastAsia="zh-TW"/>
        </w:rPr>
        <w:t xml:space="preserve">They should also </w:t>
      </w:r>
      <w:r w:rsidRPr="00261CCE">
        <w:rPr>
          <w:lang w:eastAsia="zh-TW"/>
        </w:rPr>
        <w:t xml:space="preserve">establish the conditions for medium- and long-term sustainable mobilization of funds for climate action, both by accelerating the use of available regional and global funds and mechanisms and by creating national financial instruments. </w:t>
      </w:r>
    </w:p>
    <w:p w14:paraId="43343BF5" w14:textId="77777777" w:rsidR="0009316F" w:rsidRPr="00261CCE" w:rsidRDefault="0009316F" w:rsidP="001B7D0D">
      <w:pPr>
        <w:keepNext/>
        <w:keepLines/>
        <w:spacing w:before="240" w:after="120"/>
        <w:ind w:left="1134" w:right="1134"/>
        <w:rPr>
          <w:b/>
          <w:bCs/>
          <w:lang w:eastAsia="zh-TW"/>
        </w:rPr>
      </w:pPr>
      <w:r w:rsidRPr="00261CCE">
        <w:rPr>
          <w:lang w:eastAsia="zh-TW"/>
        </w:rPr>
        <w:lastRenderedPageBreak/>
        <w:t>Table 2</w:t>
      </w:r>
      <w:r w:rsidRPr="00261CCE">
        <w:rPr>
          <w:lang w:eastAsia="zh-TW"/>
        </w:rPr>
        <w:br/>
      </w:r>
      <w:r w:rsidRPr="00261CCE">
        <w:rPr>
          <w:b/>
          <w:bCs/>
          <w:lang w:eastAsia="zh-TW"/>
        </w:rPr>
        <w:t>Overview on status and trends for the selected indicator on greenhouse gas emissions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2"/>
        <w:gridCol w:w="809"/>
        <w:gridCol w:w="1053"/>
        <w:gridCol w:w="1053"/>
        <w:gridCol w:w="1053"/>
      </w:tblGrid>
      <w:tr w:rsidR="0009316F" w:rsidRPr="00261CCE" w14:paraId="5DCA6B39" w14:textId="77777777" w:rsidTr="00C439AF">
        <w:tc>
          <w:tcPr>
            <w:tcW w:w="1560" w:type="dxa"/>
            <w:tcBorders>
              <w:top w:val="single" w:sz="4" w:space="0" w:color="auto"/>
              <w:bottom w:val="single" w:sz="12" w:space="0" w:color="auto"/>
            </w:tcBorders>
            <w:shd w:val="clear" w:color="auto" w:fill="auto"/>
          </w:tcPr>
          <w:p w14:paraId="45ECF7D3" w14:textId="77777777" w:rsidR="0009316F" w:rsidRPr="00261CCE" w:rsidRDefault="0009316F" w:rsidP="001B7D0D">
            <w:pPr>
              <w:keepNext/>
              <w:keepLines/>
              <w:spacing w:before="80" w:line="200" w:lineRule="exact"/>
              <w:rPr>
                <w:i/>
                <w:sz w:val="16"/>
              </w:rPr>
            </w:pPr>
            <w:r w:rsidRPr="00261CCE">
              <w:rPr>
                <w:i/>
                <w:iCs/>
                <w:sz w:val="18"/>
                <w:szCs w:val="18"/>
              </w:rPr>
              <w:t>Indicator</w:t>
            </w:r>
          </w:p>
        </w:tc>
        <w:tc>
          <w:tcPr>
            <w:tcW w:w="850" w:type="dxa"/>
            <w:tcBorders>
              <w:top w:val="single" w:sz="4" w:space="0" w:color="auto"/>
              <w:bottom w:val="single" w:sz="12" w:space="0" w:color="auto"/>
            </w:tcBorders>
            <w:shd w:val="clear" w:color="auto" w:fill="auto"/>
          </w:tcPr>
          <w:p w14:paraId="2EEC40FB" w14:textId="77777777" w:rsidR="0009316F" w:rsidRPr="00261CCE" w:rsidRDefault="0009316F" w:rsidP="001B7D0D">
            <w:pPr>
              <w:keepNext/>
              <w:keepLines/>
              <w:spacing w:before="80" w:line="200" w:lineRule="exact"/>
              <w:jc w:val="center"/>
              <w:rPr>
                <w:i/>
                <w:sz w:val="16"/>
              </w:rPr>
            </w:pPr>
            <w:r w:rsidRPr="00261CCE">
              <w:rPr>
                <w:i/>
                <w:iCs/>
                <w:sz w:val="18"/>
                <w:szCs w:val="18"/>
              </w:rPr>
              <w:t>European Union</w:t>
            </w:r>
          </w:p>
        </w:tc>
        <w:tc>
          <w:tcPr>
            <w:tcW w:w="992" w:type="dxa"/>
            <w:tcBorders>
              <w:top w:val="single" w:sz="4" w:space="0" w:color="auto"/>
              <w:bottom w:val="single" w:sz="12" w:space="0" w:color="auto"/>
            </w:tcBorders>
            <w:shd w:val="clear" w:color="auto" w:fill="auto"/>
          </w:tcPr>
          <w:p w14:paraId="3885A32B" w14:textId="77777777" w:rsidR="0009316F" w:rsidRPr="00261CCE" w:rsidRDefault="0009316F" w:rsidP="001B7D0D">
            <w:pPr>
              <w:keepNext/>
              <w:keepLines/>
              <w:spacing w:before="80" w:line="200" w:lineRule="exact"/>
              <w:jc w:val="center"/>
              <w:rPr>
                <w:i/>
                <w:sz w:val="16"/>
              </w:rPr>
            </w:pPr>
            <w:r w:rsidRPr="00261CCE">
              <w:rPr>
                <w:i/>
                <w:iCs/>
                <w:sz w:val="18"/>
                <w:szCs w:val="18"/>
              </w:rPr>
              <w:t>Western Europe</w:t>
            </w:r>
          </w:p>
        </w:tc>
        <w:tc>
          <w:tcPr>
            <w:tcW w:w="809" w:type="dxa"/>
            <w:tcBorders>
              <w:top w:val="single" w:sz="4" w:space="0" w:color="auto"/>
              <w:bottom w:val="single" w:sz="12" w:space="0" w:color="auto"/>
            </w:tcBorders>
            <w:shd w:val="clear" w:color="auto" w:fill="auto"/>
          </w:tcPr>
          <w:p w14:paraId="79D1751F" w14:textId="77777777" w:rsidR="0009316F" w:rsidRPr="00261CCE" w:rsidRDefault="0009316F" w:rsidP="001B7D0D">
            <w:pPr>
              <w:keepNext/>
              <w:keepLines/>
              <w:spacing w:before="80" w:line="200" w:lineRule="exact"/>
              <w:jc w:val="center"/>
              <w:rPr>
                <w:i/>
                <w:sz w:val="16"/>
              </w:rPr>
            </w:pPr>
            <w:r w:rsidRPr="00261CCE">
              <w:rPr>
                <w:i/>
                <w:iCs/>
                <w:sz w:val="18"/>
                <w:szCs w:val="18"/>
              </w:rPr>
              <w:t>Central Asia</w:t>
            </w:r>
          </w:p>
        </w:tc>
        <w:tc>
          <w:tcPr>
            <w:tcW w:w="1053" w:type="dxa"/>
            <w:tcBorders>
              <w:top w:val="single" w:sz="4" w:space="0" w:color="auto"/>
              <w:bottom w:val="single" w:sz="12" w:space="0" w:color="auto"/>
            </w:tcBorders>
            <w:shd w:val="clear" w:color="auto" w:fill="auto"/>
          </w:tcPr>
          <w:p w14:paraId="7387118E" w14:textId="77777777" w:rsidR="0009316F" w:rsidRPr="00261CCE" w:rsidRDefault="0009316F" w:rsidP="001B7D0D">
            <w:pPr>
              <w:keepNext/>
              <w:keepLines/>
              <w:spacing w:before="80" w:line="200" w:lineRule="exact"/>
              <w:jc w:val="center"/>
              <w:rPr>
                <w:i/>
                <w:sz w:val="16"/>
              </w:rPr>
            </w:pPr>
            <w:r w:rsidRPr="00261CCE">
              <w:rPr>
                <w:i/>
                <w:iCs/>
                <w:sz w:val="18"/>
                <w:szCs w:val="18"/>
              </w:rPr>
              <w:t>Eastern Europe</w:t>
            </w:r>
          </w:p>
        </w:tc>
        <w:tc>
          <w:tcPr>
            <w:tcW w:w="1053" w:type="dxa"/>
            <w:tcBorders>
              <w:top w:val="single" w:sz="4" w:space="0" w:color="auto"/>
              <w:bottom w:val="single" w:sz="12" w:space="0" w:color="auto"/>
            </w:tcBorders>
            <w:shd w:val="clear" w:color="auto" w:fill="auto"/>
          </w:tcPr>
          <w:p w14:paraId="1FB978FD" w14:textId="77777777" w:rsidR="0009316F" w:rsidRPr="00261CCE" w:rsidRDefault="0009316F" w:rsidP="001B7D0D">
            <w:pPr>
              <w:keepNext/>
              <w:keepLines/>
              <w:spacing w:before="80" w:line="200" w:lineRule="exact"/>
              <w:jc w:val="center"/>
              <w:rPr>
                <w:i/>
                <w:sz w:val="16"/>
              </w:rPr>
            </w:pPr>
            <w:r w:rsidRPr="00261CCE">
              <w:rPr>
                <w:i/>
                <w:iCs/>
                <w:sz w:val="18"/>
                <w:szCs w:val="18"/>
              </w:rPr>
              <w:t>South-Eastern Europe</w:t>
            </w:r>
          </w:p>
        </w:tc>
        <w:tc>
          <w:tcPr>
            <w:tcW w:w="1053" w:type="dxa"/>
            <w:tcBorders>
              <w:top w:val="single" w:sz="4" w:space="0" w:color="auto"/>
              <w:bottom w:val="single" w:sz="12" w:space="0" w:color="auto"/>
            </w:tcBorders>
            <w:shd w:val="clear" w:color="auto" w:fill="auto"/>
          </w:tcPr>
          <w:p w14:paraId="296333E4" w14:textId="77777777" w:rsidR="0009316F" w:rsidRPr="00261CCE" w:rsidRDefault="0009316F" w:rsidP="001B7D0D">
            <w:pPr>
              <w:keepNext/>
              <w:keepLines/>
              <w:spacing w:before="80" w:line="200" w:lineRule="exact"/>
              <w:jc w:val="center"/>
              <w:rPr>
                <w:i/>
                <w:sz w:val="16"/>
              </w:rPr>
            </w:pPr>
            <w:r w:rsidRPr="00261CCE">
              <w:rPr>
                <w:i/>
                <w:iCs/>
                <w:sz w:val="18"/>
                <w:szCs w:val="18"/>
              </w:rPr>
              <w:t>Pan-European region</w:t>
            </w:r>
          </w:p>
        </w:tc>
      </w:tr>
      <w:tr w:rsidR="0009316F" w:rsidRPr="00261CCE" w14:paraId="652FD4E9" w14:textId="77777777" w:rsidTr="00C439AF">
        <w:trPr>
          <w:trHeight w:hRule="exact" w:val="80"/>
        </w:trPr>
        <w:tc>
          <w:tcPr>
            <w:tcW w:w="1560" w:type="dxa"/>
            <w:tcBorders>
              <w:top w:val="single" w:sz="12" w:space="0" w:color="auto"/>
            </w:tcBorders>
            <w:shd w:val="clear" w:color="auto" w:fill="auto"/>
            <w:vAlign w:val="bottom"/>
          </w:tcPr>
          <w:p w14:paraId="398048CB" w14:textId="77777777" w:rsidR="0009316F" w:rsidRPr="00261CCE" w:rsidRDefault="0009316F" w:rsidP="001B7D0D">
            <w:pPr>
              <w:keepNext/>
              <w:keepLines/>
              <w:spacing w:before="40" w:after="40" w:line="220" w:lineRule="exact"/>
              <w:rPr>
                <w:sz w:val="18"/>
              </w:rPr>
            </w:pPr>
          </w:p>
        </w:tc>
        <w:tc>
          <w:tcPr>
            <w:tcW w:w="850" w:type="dxa"/>
            <w:tcBorders>
              <w:top w:val="single" w:sz="12" w:space="0" w:color="auto"/>
            </w:tcBorders>
            <w:shd w:val="clear" w:color="auto" w:fill="auto"/>
            <w:vAlign w:val="bottom"/>
          </w:tcPr>
          <w:p w14:paraId="09755A7B" w14:textId="77777777" w:rsidR="0009316F" w:rsidRPr="00261CCE" w:rsidRDefault="0009316F" w:rsidP="001B7D0D">
            <w:pPr>
              <w:keepNext/>
              <w:keepLines/>
              <w:spacing w:before="40" w:after="40" w:line="220" w:lineRule="exact"/>
              <w:jc w:val="right"/>
              <w:rPr>
                <w:sz w:val="18"/>
              </w:rPr>
            </w:pPr>
          </w:p>
        </w:tc>
        <w:tc>
          <w:tcPr>
            <w:tcW w:w="992" w:type="dxa"/>
            <w:tcBorders>
              <w:top w:val="single" w:sz="12" w:space="0" w:color="auto"/>
            </w:tcBorders>
            <w:shd w:val="clear" w:color="auto" w:fill="auto"/>
            <w:vAlign w:val="bottom"/>
          </w:tcPr>
          <w:p w14:paraId="761CE624" w14:textId="77777777" w:rsidR="0009316F" w:rsidRPr="00261CCE" w:rsidRDefault="0009316F" w:rsidP="001B7D0D">
            <w:pPr>
              <w:keepNext/>
              <w:keepLines/>
              <w:spacing w:before="40" w:after="40" w:line="220" w:lineRule="exact"/>
              <w:jc w:val="right"/>
              <w:rPr>
                <w:sz w:val="18"/>
              </w:rPr>
            </w:pPr>
          </w:p>
        </w:tc>
        <w:tc>
          <w:tcPr>
            <w:tcW w:w="809" w:type="dxa"/>
            <w:tcBorders>
              <w:top w:val="single" w:sz="12" w:space="0" w:color="auto"/>
            </w:tcBorders>
            <w:shd w:val="clear" w:color="auto" w:fill="auto"/>
            <w:vAlign w:val="bottom"/>
          </w:tcPr>
          <w:p w14:paraId="4DB5DB87" w14:textId="77777777" w:rsidR="0009316F" w:rsidRPr="00261CCE" w:rsidRDefault="0009316F" w:rsidP="001B7D0D">
            <w:pPr>
              <w:keepNext/>
              <w:keepLines/>
              <w:spacing w:before="40" w:after="40" w:line="220" w:lineRule="exact"/>
              <w:jc w:val="right"/>
              <w:rPr>
                <w:sz w:val="18"/>
              </w:rPr>
            </w:pPr>
          </w:p>
        </w:tc>
        <w:tc>
          <w:tcPr>
            <w:tcW w:w="1053" w:type="dxa"/>
            <w:tcBorders>
              <w:top w:val="single" w:sz="12" w:space="0" w:color="auto"/>
            </w:tcBorders>
            <w:shd w:val="clear" w:color="auto" w:fill="auto"/>
            <w:vAlign w:val="bottom"/>
          </w:tcPr>
          <w:p w14:paraId="54B3ABF9" w14:textId="77777777" w:rsidR="0009316F" w:rsidRPr="00261CCE" w:rsidRDefault="0009316F" w:rsidP="001B7D0D">
            <w:pPr>
              <w:keepNext/>
              <w:keepLines/>
              <w:spacing w:before="40" w:after="40" w:line="220" w:lineRule="exact"/>
              <w:jc w:val="right"/>
              <w:rPr>
                <w:sz w:val="18"/>
              </w:rPr>
            </w:pPr>
          </w:p>
        </w:tc>
        <w:tc>
          <w:tcPr>
            <w:tcW w:w="1053" w:type="dxa"/>
            <w:tcBorders>
              <w:top w:val="single" w:sz="12" w:space="0" w:color="auto"/>
            </w:tcBorders>
            <w:shd w:val="clear" w:color="auto" w:fill="auto"/>
            <w:vAlign w:val="bottom"/>
          </w:tcPr>
          <w:p w14:paraId="0BD958CF" w14:textId="77777777" w:rsidR="0009316F" w:rsidRPr="00261CCE" w:rsidRDefault="0009316F" w:rsidP="001B7D0D">
            <w:pPr>
              <w:keepNext/>
              <w:keepLines/>
              <w:spacing w:before="40" w:after="40" w:line="220" w:lineRule="exact"/>
              <w:jc w:val="right"/>
              <w:rPr>
                <w:sz w:val="18"/>
              </w:rPr>
            </w:pPr>
          </w:p>
        </w:tc>
        <w:tc>
          <w:tcPr>
            <w:tcW w:w="1053" w:type="dxa"/>
            <w:tcBorders>
              <w:top w:val="single" w:sz="12" w:space="0" w:color="auto"/>
            </w:tcBorders>
            <w:shd w:val="clear" w:color="auto" w:fill="auto"/>
            <w:vAlign w:val="bottom"/>
          </w:tcPr>
          <w:p w14:paraId="2C30BF83" w14:textId="77777777" w:rsidR="0009316F" w:rsidRPr="00261CCE" w:rsidRDefault="0009316F" w:rsidP="001B7D0D">
            <w:pPr>
              <w:keepNext/>
              <w:keepLines/>
              <w:spacing w:before="40" w:after="40" w:line="220" w:lineRule="exact"/>
              <w:jc w:val="right"/>
              <w:rPr>
                <w:sz w:val="18"/>
              </w:rPr>
            </w:pPr>
          </w:p>
        </w:tc>
      </w:tr>
      <w:tr w:rsidR="0009316F" w:rsidRPr="00261CCE" w14:paraId="36FF6618" w14:textId="77777777" w:rsidTr="00C439AF">
        <w:trPr>
          <w:trHeight w:val="1056"/>
        </w:trPr>
        <w:tc>
          <w:tcPr>
            <w:tcW w:w="1560" w:type="dxa"/>
            <w:shd w:val="clear" w:color="auto" w:fill="auto"/>
          </w:tcPr>
          <w:p w14:paraId="7707E40E" w14:textId="77777777" w:rsidR="0009316F" w:rsidRPr="00261CCE" w:rsidRDefault="0009316F" w:rsidP="00C439AF">
            <w:pPr>
              <w:spacing w:before="40" w:after="40" w:line="220" w:lineRule="exact"/>
              <w:rPr>
                <w:sz w:val="18"/>
              </w:rPr>
            </w:pPr>
            <w:r w:rsidRPr="00261CCE">
              <w:rPr>
                <w:sz w:val="18"/>
                <w:szCs w:val="18"/>
              </w:rPr>
              <w:t>GHG emissions (2014–2019) (percentage change)</w:t>
            </w:r>
          </w:p>
        </w:tc>
        <w:tc>
          <w:tcPr>
            <w:tcW w:w="850" w:type="dxa"/>
            <w:shd w:val="clear" w:color="auto" w:fill="auto"/>
            <w:vAlign w:val="center"/>
          </w:tcPr>
          <w:p w14:paraId="04C4DF21"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0FB0BA26" w14:textId="77777777" w:rsidR="0009316F" w:rsidRPr="00261CCE" w:rsidRDefault="0009316F" w:rsidP="00C439AF">
            <w:pPr>
              <w:spacing w:before="40" w:after="40" w:line="220" w:lineRule="exact"/>
              <w:jc w:val="center"/>
              <w:rPr>
                <w:sz w:val="18"/>
              </w:rPr>
            </w:pPr>
            <w:r w:rsidRPr="00261CCE">
              <w:rPr>
                <w:sz w:val="18"/>
                <w:szCs w:val="18"/>
              </w:rPr>
              <w:t>(-4.3)</w:t>
            </w:r>
          </w:p>
        </w:tc>
        <w:tc>
          <w:tcPr>
            <w:tcW w:w="992" w:type="dxa"/>
            <w:shd w:val="clear" w:color="auto" w:fill="auto"/>
            <w:vAlign w:val="center"/>
          </w:tcPr>
          <w:p w14:paraId="09E21063"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409B4B81" w14:textId="77777777" w:rsidR="0009316F" w:rsidRPr="00261CCE" w:rsidRDefault="0009316F" w:rsidP="00C439AF">
            <w:pPr>
              <w:spacing w:before="40" w:after="40" w:line="220" w:lineRule="exact"/>
              <w:jc w:val="center"/>
              <w:rPr>
                <w:sz w:val="18"/>
              </w:rPr>
            </w:pPr>
            <w:r w:rsidRPr="00261CCE">
              <w:rPr>
                <w:sz w:val="18"/>
                <w:szCs w:val="18"/>
              </w:rPr>
              <w:t>(-10.8)</w:t>
            </w:r>
          </w:p>
        </w:tc>
        <w:tc>
          <w:tcPr>
            <w:tcW w:w="809" w:type="dxa"/>
            <w:shd w:val="clear" w:color="auto" w:fill="auto"/>
            <w:vAlign w:val="center"/>
          </w:tcPr>
          <w:p w14:paraId="20AC6DC8" w14:textId="77777777" w:rsidR="0009316F" w:rsidRPr="00261CCE" w:rsidRDefault="0009316F" w:rsidP="00C439AF">
            <w:pPr>
              <w:spacing w:before="40" w:after="40" w:line="220" w:lineRule="exact"/>
              <w:jc w:val="center"/>
              <w:rPr>
                <w:sz w:val="18"/>
              </w:rPr>
            </w:pPr>
            <w:r w:rsidRPr="00261CCE">
              <w:rPr>
                <w:sz w:val="18"/>
                <w:szCs w:val="18"/>
              </w:rPr>
              <w:t>–</w:t>
            </w:r>
          </w:p>
        </w:tc>
        <w:tc>
          <w:tcPr>
            <w:tcW w:w="1053" w:type="dxa"/>
            <w:shd w:val="clear" w:color="auto" w:fill="auto"/>
            <w:vAlign w:val="center"/>
          </w:tcPr>
          <w:p w14:paraId="11FC43F0"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FF0000"/>
                <w:sz w:val="28"/>
                <w:szCs w:val="28"/>
              </w:rPr>
              <w:t>æ</w:t>
            </w:r>
          </w:p>
          <w:p w14:paraId="15C6FD18" w14:textId="77777777" w:rsidR="0009316F" w:rsidRPr="00261CCE" w:rsidRDefault="0009316F" w:rsidP="00C439AF">
            <w:pPr>
              <w:spacing w:before="40" w:after="40" w:line="220" w:lineRule="exact"/>
              <w:jc w:val="center"/>
              <w:rPr>
                <w:sz w:val="18"/>
              </w:rPr>
            </w:pPr>
            <w:r w:rsidRPr="00261CCE">
              <w:rPr>
                <w:sz w:val="18"/>
                <w:szCs w:val="18"/>
              </w:rPr>
              <w:t>(+2)</w:t>
            </w:r>
          </w:p>
        </w:tc>
        <w:tc>
          <w:tcPr>
            <w:tcW w:w="1053" w:type="dxa"/>
            <w:shd w:val="clear" w:color="auto" w:fill="auto"/>
            <w:vAlign w:val="center"/>
          </w:tcPr>
          <w:p w14:paraId="0DE85052"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FF0000"/>
                <w:sz w:val="28"/>
                <w:szCs w:val="28"/>
              </w:rPr>
              <w:t>æ</w:t>
            </w:r>
          </w:p>
          <w:p w14:paraId="245E2206" w14:textId="77777777" w:rsidR="0009316F" w:rsidRPr="00261CCE" w:rsidRDefault="0009316F" w:rsidP="00C439AF">
            <w:pPr>
              <w:spacing w:before="40" w:after="40" w:line="220" w:lineRule="exact"/>
              <w:jc w:val="center"/>
              <w:rPr>
                <w:sz w:val="18"/>
              </w:rPr>
            </w:pPr>
            <w:r w:rsidRPr="00261CCE">
              <w:rPr>
                <w:sz w:val="18"/>
                <w:szCs w:val="18"/>
              </w:rPr>
              <w:t>(+10.2)</w:t>
            </w:r>
          </w:p>
        </w:tc>
        <w:tc>
          <w:tcPr>
            <w:tcW w:w="1053" w:type="dxa"/>
            <w:shd w:val="clear" w:color="auto" w:fill="auto"/>
            <w:vAlign w:val="center"/>
          </w:tcPr>
          <w:p w14:paraId="4A4BF78D"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5F64BEFA" w14:textId="77777777" w:rsidR="0009316F" w:rsidRPr="00C43FA3" w:rsidRDefault="0009316F" w:rsidP="00C439AF">
            <w:pPr>
              <w:spacing w:before="40" w:after="40" w:line="220" w:lineRule="exact"/>
              <w:jc w:val="center"/>
              <w:rPr>
                <w:sz w:val="18"/>
                <w:szCs w:val="18"/>
              </w:rPr>
            </w:pPr>
            <w:r w:rsidRPr="00261CCE">
              <w:rPr>
                <w:sz w:val="18"/>
                <w:szCs w:val="18"/>
              </w:rPr>
              <w:t>(-1.2)</w:t>
            </w:r>
          </w:p>
        </w:tc>
      </w:tr>
      <w:tr w:rsidR="0009316F" w:rsidRPr="00261CCE" w14:paraId="70A709F7" w14:textId="77777777" w:rsidTr="00C439AF">
        <w:trPr>
          <w:trHeight w:hRule="exact" w:val="52"/>
        </w:trPr>
        <w:tc>
          <w:tcPr>
            <w:tcW w:w="1560" w:type="dxa"/>
            <w:tcBorders>
              <w:bottom w:val="single" w:sz="12" w:space="0" w:color="auto"/>
            </w:tcBorders>
            <w:shd w:val="clear" w:color="auto" w:fill="auto"/>
          </w:tcPr>
          <w:p w14:paraId="7EFC886C" w14:textId="77777777" w:rsidR="0009316F" w:rsidRPr="00261CCE" w:rsidRDefault="0009316F" w:rsidP="00C439AF">
            <w:pPr>
              <w:spacing w:before="40" w:after="40" w:line="220" w:lineRule="exact"/>
              <w:rPr>
                <w:sz w:val="18"/>
                <w:szCs w:val="18"/>
              </w:rPr>
            </w:pPr>
          </w:p>
        </w:tc>
        <w:tc>
          <w:tcPr>
            <w:tcW w:w="850" w:type="dxa"/>
            <w:tcBorders>
              <w:bottom w:val="single" w:sz="12" w:space="0" w:color="auto"/>
            </w:tcBorders>
            <w:shd w:val="clear" w:color="auto" w:fill="auto"/>
            <w:vAlign w:val="center"/>
          </w:tcPr>
          <w:p w14:paraId="390A920B"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65917EBE" w14:textId="77777777" w:rsidR="0009316F" w:rsidRPr="00261CCE" w:rsidRDefault="0009316F" w:rsidP="00C439AF">
            <w:pPr>
              <w:keepNext/>
              <w:spacing w:after="120"/>
              <w:jc w:val="center"/>
              <w:rPr>
                <w:rFonts w:ascii="Wingdings" w:hAnsi="Wingdings" w:cs="Wingdings"/>
                <w:color w:val="00B050"/>
                <w:sz w:val="28"/>
                <w:szCs w:val="28"/>
              </w:rPr>
            </w:pPr>
          </w:p>
        </w:tc>
        <w:tc>
          <w:tcPr>
            <w:tcW w:w="809" w:type="dxa"/>
            <w:tcBorders>
              <w:bottom w:val="single" w:sz="12" w:space="0" w:color="auto"/>
            </w:tcBorders>
            <w:shd w:val="clear" w:color="auto" w:fill="auto"/>
            <w:vAlign w:val="center"/>
          </w:tcPr>
          <w:p w14:paraId="19B83B8F" w14:textId="77777777" w:rsidR="0009316F" w:rsidRPr="00261CCE" w:rsidRDefault="0009316F" w:rsidP="00C439AF">
            <w:pPr>
              <w:spacing w:before="40" w:after="40" w:line="220" w:lineRule="exact"/>
              <w:jc w:val="center"/>
              <w:rPr>
                <w:sz w:val="18"/>
                <w:szCs w:val="18"/>
              </w:rPr>
            </w:pPr>
          </w:p>
        </w:tc>
        <w:tc>
          <w:tcPr>
            <w:tcW w:w="1053" w:type="dxa"/>
            <w:tcBorders>
              <w:bottom w:val="single" w:sz="12" w:space="0" w:color="auto"/>
            </w:tcBorders>
            <w:shd w:val="clear" w:color="auto" w:fill="auto"/>
            <w:vAlign w:val="center"/>
          </w:tcPr>
          <w:p w14:paraId="4BD18C14" w14:textId="77777777" w:rsidR="0009316F" w:rsidRPr="00261CCE" w:rsidRDefault="0009316F" w:rsidP="00C439AF">
            <w:pPr>
              <w:keepNext/>
              <w:spacing w:after="120"/>
              <w:jc w:val="center"/>
              <w:rPr>
                <w:rFonts w:ascii="Wingdings" w:hAnsi="Wingdings" w:cs="Wingdings"/>
                <w:color w:val="FF0000"/>
                <w:sz w:val="28"/>
                <w:szCs w:val="28"/>
              </w:rPr>
            </w:pPr>
          </w:p>
        </w:tc>
        <w:tc>
          <w:tcPr>
            <w:tcW w:w="1053" w:type="dxa"/>
            <w:tcBorders>
              <w:bottom w:val="single" w:sz="12" w:space="0" w:color="auto"/>
            </w:tcBorders>
            <w:shd w:val="clear" w:color="auto" w:fill="auto"/>
            <w:vAlign w:val="center"/>
          </w:tcPr>
          <w:p w14:paraId="40F7BEC5" w14:textId="77777777" w:rsidR="0009316F" w:rsidRPr="00261CCE" w:rsidRDefault="0009316F" w:rsidP="00C439AF">
            <w:pPr>
              <w:keepNext/>
              <w:spacing w:after="120"/>
              <w:jc w:val="center"/>
              <w:rPr>
                <w:rFonts w:ascii="Wingdings" w:hAnsi="Wingdings" w:cs="Wingdings"/>
                <w:color w:val="FF0000"/>
                <w:sz w:val="28"/>
                <w:szCs w:val="28"/>
              </w:rPr>
            </w:pPr>
          </w:p>
        </w:tc>
        <w:tc>
          <w:tcPr>
            <w:tcW w:w="1053" w:type="dxa"/>
            <w:tcBorders>
              <w:bottom w:val="single" w:sz="12" w:space="0" w:color="auto"/>
            </w:tcBorders>
            <w:shd w:val="clear" w:color="auto" w:fill="auto"/>
            <w:vAlign w:val="center"/>
          </w:tcPr>
          <w:p w14:paraId="7B5E6DCB" w14:textId="77777777" w:rsidR="0009316F" w:rsidRPr="00261CCE" w:rsidRDefault="0009316F" w:rsidP="00C439AF">
            <w:pPr>
              <w:keepNext/>
              <w:spacing w:after="120"/>
              <w:jc w:val="center"/>
              <w:rPr>
                <w:rFonts w:ascii="Wingdings" w:hAnsi="Wingdings" w:cs="Wingdings"/>
                <w:color w:val="00B050"/>
                <w:sz w:val="28"/>
                <w:szCs w:val="28"/>
              </w:rPr>
            </w:pPr>
          </w:p>
        </w:tc>
      </w:tr>
    </w:tbl>
    <w:p w14:paraId="5336476F" w14:textId="77777777" w:rsidR="0009316F" w:rsidRPr="00261CCE" w:rsidRDefault="0009316F" w:rsidP="0009316F">
      <w:pPr>
        <w:spacing w:before="120"/>
        <w:ind w:left="1134" w:right="1134" w:firstLine="425"/>
        <w:jc w:val="both"/>
        <w:rPr>
          <w:sz w:val="18"/>
          <w:szCs w:val="18"/>
        </w:rPr>
      </w:pPr>
      <w:r w:rsidRPr="00261CCE">
        <w:rPr>
          <w:i/>
          <w:iCs/>
          <w:sz w:val="18"/>
          <w:szCs w:val="18"/>
        </w:rPr>
        <w:t>Source</w:t>
      </w:r>
      <w:r w:rsidRPr="00261CCE">
        <w:rPr>
          <w:sz w:val="18"/>
          <w:szCs w:val="18"/>
        </w:rPr>
        <w:t>: Global Sustainable Development Goal Indicators Database, available at https://unstats.un.org/sdgs/unsdg.</w:t>
      </w:r>
    </w:p>
    <w:p w14:paraId="645F4D28" w14:textId="77777777" w:rsidR="0009316F" w:rsidRPr="00261CCE" w:rsidRDefault="0009316F" w:rsidP="0009316F">
      <w:pPr>
        <w:spacing w:after="120"/>
        <w:ind w:left="1134" w:right="1134" w:firstLine="426"/>
        <w:jc w:val="both"/>
        <w:rPr>
          <w:i/>
          <w:iCs/>
          <w:sz w:val="18"/>
          <w:szCs w:val="18"/>
        </w:rPr>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 (emissions falling),</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stable or </w:t>
      </w:r>
      <w:r w:rsidRPr="00261CCE">
        <w:rPr>
          <w:rFonts w:ascii="Wingdings" w:eastAsia="Wingdings" w:hAnsi="Wingdings" w:cs="Wingdings"/>
          <w:color w:val="FF0000"/>
          <w:sz w:val="28"/>
          <w:szCs w:val="28"/>
        </w:rPr>
        <w:t>æ</w:t>
      </w:r>
      <w:r w:rsidRPr="00261CCE">
        <w:t xml:space="preserve"> </w:t>
      </w:r>
      <w:r w:rsidRPr="00261CCE">
        <w:rPr>
          <w:sz w:val="18"/>
          <w:szCs w:val="18"/>
        </w:rPr>
        <w:t>worsening. Insufficient data for Central Asia, where emissions are rising.</w:t>
      </w:r>
      <w:r w:rsidRPr="00261CCE">
        <w:rPr>
          <w:i/>
          <w:iCs/>
          <w:sz w:val="18"/>
          <w:szCs w:val="18"/>
        </w:rPr>
        <w:t xml:space="preserve"> </w:t>
      </w:r>
    </w:p>
    <w:p w14:paraId="371FDD96" w14:textId="77777777" w:rsidR="0009316F" w:rsidRPr="00261CCE" w:rsidRDefault="0009316F" w:rsidP="0009316F">
      <w:pPr>
        <w:spacing w:after="120"/>
        <w:ind w:left="1134" w:right="1134" w:firstLine="426"/>
        <w:jc w:val="both"/>
        <w:rPr>
          <w:sz w:val="18"/>
          <w:szCs w:val="18"/>
        </w:rPr>
      </w:pPr>
      <w:r w:rsidRPr="00261CCE">
        <w:rPr>
          <w:i/>
          <w:iCs/>
          <w:sz w:val="18"/>
          <w:szCs w:val="18"/>
        </w:rPr>
        <w:t>Abbreviations</w:t>
      </w:r>
      <w:r w:rsidRPr="00261CCE">
        <w:rPr>
          <w:sz w:val="18"/>
          <w:szCs w:val="18"/>
        </w:rPr>
        <w:t>: GHG, greenhouse gas.</w:t>
      </w:r>
    </w:p>
    <w:p w14:paraId="5C84861A" w14:textId="77777777" w:rsidR="0009316F" w:rsidRPr="00261CCE" w:rsidRDefault="0009316F" w:rsidP="0009316F">
      <w:pPr>
        <w:keepNext/>
        <w:keepLines/>
        <w:tabs>
          <w:tab w:val="right" w:pos="851"/>
        </w:tabs>
        <w:spacing w:before="240" w:after="120" w:line="240" w:lineRule="exact"/>
        <w:ind w:left="1134" w:right="1134" w:hanging="1134"/>
        <w:rPr>
          <w:b/>
          <w:lang w:eastAsia="zh-TW"/>
        </w:rPr>
      </w:pPr>
      <w:r w:rsidRPr="00261CCE">
        <w:rPr>
          <w:b/>
          <w:lang w:eastAsia="zh-TW"/>
        </w:rPr>
        <w:tab/>
        <w:t>3.</w:t>
      </w:r>
      <w:r w:rsidRPr="00261CCE">
        <w:rPr>
          <w:b/>
          <w:lang w:eastAsia="zh-TW"/>
        </w:rPr>
        <w:tab/>
        <w:t>Decarbonization</w:t>
      </w:r>
    </w:p>
    <w:p w14:paraId="63197FA4" w14:textId="77777777" w:rsidR="0009316F" w:rsidRPr="00261CCE" w:rsidRDefault="0009316F" w:rsidP="0009316F">
      <w:pPr>
        <w:spacing w:after="120"/>
        <w:ind w:left="1134" w:right="1134"/>
        <w:jc w:val="both"/>
      </w:pPr>
      <w:r w:rsidRPr="00261CCE">
        <w:rPr>
          <w:lang w:eastAsia="zh-TW"/>
        </w:rPr>
        <w:t>7.</w:t>
      </w:r>
      <w:r w:rsidRPr="00261CCE">
        <w:rPr>
          <w:lang w:eastAsia="zh-TW"/>
        </w:rPr>
        <w:tab/>
        <w:t xml:space="preserve">Decarbonization is becoming a strong narrative across the pan-European region, but action lags behind. The use of renewables was increased in 29 countries in the pan-European region in the period 2013–2017, but the region still largely relies on fossil fuels – some 78 per cent of the total final energy consumption on average comes from fossil fuels (see table 3 below). The penetration of renewables in the energy mix is rising more slowly than the increase in the total final energy consumption in the region. </w:t>
      </w:r>
    </w:p>
    <w:p w14:paraId="64429B81" w14:textId="5AE36757" w:rsidR="0009316F" w:rsidRPr="00261CCE" w:rsidRDefault="0009316F" w:rsidP="0009316F">
      <w:pPr>
        <w:spacing w:after="120"/>
        <w:ind w:left="1134" w:right="1134"/>
        <w:jc w:val="both"/>
      </w:pPr>
      <w:r w:rsidRPr="00261CCE">
        <w:rPr>
          <w:b/>
          <w:bCs/>
        </w:rPr>
        <w:t>Recommendation</w:t>
      </w:r>
      <w:r w:rsidR="000C0F47">
        <w:rPr>
          <w:b/>
          <w:bCs/>
        </w:rPr>
        <w:t>s</w:t>
      </w:r>
      <w:r w:rsidRPr="00261CCE">
        <w:t xml:space="preserve">: </w:t>
      </w:r>
    </w:p>
    <w:p w14:paraId="6A549767" w14:textId="77777777" w:rsidR="0009316F" w:rsidRPr="00261CCE" w:rsidRDefault="0009316F" w:rsidP="0009316F">
      <w:pPr>
        <w:spacing w:after="120"/>
        <w:ind w:left="1134" w:right="1134"/>
        <w:jc w:val="both"/>
        <w:rPr>
          <w:lang w:eastAsia="zh-TW"/>
        </w:rPr>
      </w:pPr>
      <w:r w:rsidRPr="00261CCE">
        <w:t>8</w:t>
      </w:r>
      <w:r w:rsidRPr="00261CCE">
        <w:rPr>
          <w:lang w:eastAsia="zh-TW"/>
        </w:rPr>
        <w:t>.</w:t>
      </w:r>
      <w:r w:rsidRPr="00261CCE">
        <w:rPr>
          <w:lang w:eastAsia="zh-TW"/>
        </w:rPr>
        <w:tab/>
        <w:t>Governments in the pan-European region should eliminate or reform harmful subsidies and incentives, and develop effective positive incentives to deepen decarbonization, by shifting promotion of investments towards renewable energy.</w:t>
      </w:r>
    </w:p>
    <w:p w14:paraId="4A4127B4" w14:textId="77777777" w:rsidR="0009316F" w:rsidRPr="00261CCE" w:rsidRDefault="0009316F" w:rsidP="0009316F">
      <w:pPr>
        <w:keepNext/>
        <w:spacing w:before="240" w:after="120"/>
        <w:ind w:left="1134" w:right="1134"/>
        <w:rPr>
          <w:lang w:eastAsia="zh-TW"/>
        </w:rPr>
      </w:pPr>
      <w:r w:rsidRPr="00261CCE">
        <w:rPr>
          <w:lang w:eastAsia="zh-TW"/>
        </w:rPr>
        <w:t>Table 3</w:t>
      </w:r>
      <w:r w:rsidRPr="00261CCE">
        <w:rPr>
          <w:lang w:eastAsia="zh-TW"/>
        </w:rPr>
        <w:br/>
      </w:r>
      <w:r w:rsidRPr="00261CCE">
        <w:rPr>
          <w:b/>
          <w:bCs/>
          <w:lang w:eastAsia="zh-TW"/>
        </w:rPr>
        <w:t>Overview on status and trends for the selected indicator on renewable energy share</w:t>
      </w:r>
    </w:p>
    <w:tbl>
      <w:tblPr>
        <w:tblStyle w:val="TableGrid1"/>
        <w:tblW w:w="7655"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701"/>
        <w:gridCol w:w="993"/>
        <w:gridCol w:w="850"/>
        <w:gridCol w:w="851"/>
        <w:gridCol w:w="992"/>
        <w:gridCol w:w="1134"/>
        <w:gridCol w:w="1134"/>
      </w:tblGrid>
      <w:tr w:rsidR="0009316F" w:rsidRPr="00261CCE" w14:paraId="113D8CA3" w14:textId="77777777" w:rsidTr="00C439AF">
        <w:trPr>
          <w:tblHeader/>
        </w:trPr>
        <w:tc>
          <w:tcPr>
            <w:tcW w:w="1701" w:type="dxa"/>
            <w:shd w:val="clear" w:color="auto" w:fill="auto"/>
          </w:tcPr>
          <w:p w14:paraId="409D03B3" w14:textId="77777777" w:rsidR="0009316F" w:rsidRPr="00261CCE" w:rsidRDefault="0009316F" w:rsidP="00C439AF">
            <w:pPr>
              <w:suppressAutoHyphens w:val="0"/>
              <w:spacing w:before="80" w:line="200" w:lineRule="exact"/>
              <w:rPr>
                <w:bCs/>
                <w:i/>
                <w:sz w:val="16"/>
                <w:szCs w:val="18"/>
              </w:rPr>
            </w:pPr>
            <w:r w:rsidRPr="00261CCE">
              <w:rPr>
                <w:i/>
                <w:iCs/>
                <w:sz w:val="18"/>
                <w:szCs w:val="18"/>
              </w:rPr>
              <w:t>Indicator</w:t>
            </w:r>
          </w:p>
        </w:tc>
        <w:tc>
          <w:tcPr>
            <w:tcW w:w="993" w:type="dxa"/>
            <w:shd w:val="clear" w:color="auto" w:fill="auto"/>
          </w:tcPr>
          <w:p w14:paraId="62A3C5AA"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European Union</w:t>
            </w:r>
          </w:p>
        </w:tc>
        <w:tc>
          <w:tcPr>
            <w:tcW w:w="850" w:type="dxa"/>
            <w:shd w:val="clear" w:color="auto" w:fill="auto"/>
          </w:tcPr>
          <w:p w14:paraId="3FE2EA37"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Western Europe</w:t>
            </w:r>
          </w:p>
        </w:tc>
        <w:tc>
          <w:tcPr>
            <w:tcW w:w="851" w:type="dxa"/>
            <w:shd w:val="clear" w:color="auto" w:fill="auto"/>
          </w:tcPr>
          <w:p w14:paraId="7F40298D"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Central Asia</w:t>
            </w:r>
          </w:p>
        </w:tc>
        <w:tc>
          <w:tcPr>
            <w:tcW w:w="992" w:type="dxa"/>
            <w:shd w:val="clear" w:color="auto" w:fill="auto"/>
          </w:tcPr>
          <w:p w14:paraId="5B8703CD"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Eastern Europe</w:t>
            </w:r>
          </w:p>
        </w:tc>
        <w:tc>
          <w:tcPr>
            <w:tcW w:w="1134" w:type="dxa"/>
            <w:shd w:val="clear" w:color="auto" w:fill="auto"/>
          </w:tcPr>
          <w:p w14:paraId="65A9B9CB"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South-Eastern Europe</w:t>
            </w:r>
          </w:p>
        </w:tc>
        <w:tc>
          <w:tcPr>
            <w:tcW w:w="1134" w:type="dxa"/>
            <w:shd w:val="clear" w:color="auto" w:fill="auto"/>
          </w:tcPr>
          <w:p w14:paraId="3B499749"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Pan-European region</w:t>
            </w:r>
          </w:p>
        </w:tc>
      </w:tr>
      <w:tr w:rsidR="0009316F" w:rsidRPr="00261CCE" w14:paraId="66F84B58" w14:textId="77777777" w:rsidTr="00C439AF">
        <w:trPr>
          <w:trHeight w:hRule="exact" w:val="82"/>
        </w:trPr>
        <w:tc>
          <w:tcPr>
            <w:tcW w:w="1701" w:type="dxa"/>
            <w:tcBorders>
              <w:bottom w:val="nil"/>
            </w:tcBorders>
            <w:shd w:val="clear" w:color="auto" w:fill="auto"/>
          </w:tcPr>
          <w:p w14:paraId="0148F6C7" w14:textId="77777777" w:rsidR="0009316F" w:rsidRPr="00261CCE" w:rsidRDefault="0009316F" w:rsidP="00C439AF">
            <w:pPr>
              <w:suppressAutoHyphens w:val="0"/>
              <w:spacing w:before="40" w:after="40" w:line="220" w:lineRule="exact"/>
              <w:rPr>
                <w:sz w:val="18"/>
                <w:szCs w:val="18"/>
              </w:rPr>
            </w:pPr>
          </w:p>
        </w:tc>
        <w:tc>
          <w:tcPr>
            <w:tcW w:w="993" w:type="dxa"/>
            <w:tcBorders>
              <w:bottom w:val="nil"/>
            </w:tcBorders>
            <w:shd w:val="clear" w:color="auto" w:fill="auto"/>
          </w:tcPr>
          <w:p w14:paraId="672FCE30" w14:textId="77777777" w:rsidR="0009316F" w:rsidRPr="00261CCE" w:rsidRDefault="0009316F" w:rsidP="00C439AF">
            <w:pPr>
              <w:keepNext/>
              <w:spacing w:after="120"/>
              <w:jc w:val="center"/>
              <w:rPr>
                <w:rFonts w:ascii="Wingdings" w:hAnsi="Wingdings" w:cs="Wingdings"/>
                <w:color w:val="FFC000"/>
                <w:sz w:val="28"/>
                <w:szCs w:val="28"/>
              </w:rPr>
            </w:pPr>
          </w:p>
        </w:tc>
        <w:tc>
          <w:tcPr>
            <w:tcW w:w="850" w:type="dxa"/>
            <w:tcBorders>
              <w:bottom w:val="nil"/>
            </w:tcBorders>
            <w:shd w:val="clear" w:color="auto" w:fill="auto"/>
          </w:tcPr>
          <w:p w14:paraId="3005F37D"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bottom w:val="nil"/>
            </w:tcBorders>
            <w:shd w:val="clear" w:color="auto" w:fill="auto"/>
          </w:tcPr>
          <w:p w14:paraId="6F5ABE80"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nil"/>
            </w:tcBorders>
            <w:shd w:val="clear" w:color="auto" w:fill="auto"/>
          </w:tcPr>
          <w:p w14:paraId="074B2845"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bottom w:val="nil"/>
            </w:tcBorders>
            <w:shd w:val="clear" w:color="auto" w:fill="auto"/>
          </w:tcPr>
          <w:p w14:paraId="6954849A"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bottom w:val="nil"/>
            </w:tcBorders>
            <w:shd w:val="clear" w:color="auto" w:fill="auto"/>
          </w:tcPr>
          <w:p w14:paraId="6A700838" w14:textId="77777777" w:rsidR="0009316F" w:rsidRPr="00261CCE" w:rsidRDefault="0009316F" w:rsidP="00C439AF">
            <w:pPr>
              <w:keepNext/>
              <w:spacing w:after="120"/>
              <w:jc w:val="center"/>
              <w:rPr>
                <w:rFonts w:ascii="Wingdings" w:hAnsi="Wingdings" w:cs="Wingdings"/>
                <w:color w:val="FFC000"/>
                <w:sz w:val="28"/>
                <w:szCs w:val="28"/>
              </w:rPr>
            </w:pPr>
          </w:p>
        </w:tc>
      </w:tr>
      <w:tr w:rsidR="0009316F" w:rsidRPr="00261CCE" w14:paraId="5411AB92" w14:textId="77777777" w:rsidTr="00C439AF">
        <w:trPr>
          <w:trHeight w:val="1243"/>
        </w:trPr>
        <w:tc>
          <w:tcPr>
            <w:tcW w:w="1701" w:type="dxa"/>
            <w:tcBorders>
              <w:top w:val="nil"/>
              <w:bottom w:val="nil"/>
            </w:tcBorders>
            <w:shd w:val="clear" w:color="auto" w:fill="auto"/>
          </w:tcPr>
          <w:p w14:paraId="5E6F6A99" w14:textId="77777777" w:rsidR="0009316F" w:rsidRPr="00261CCE" w:rsidRDefault="0009316F" w:rsidP="00C439AF">
            <w:pPr>
              <w:suppressAutoHyphens w:val="0"/>
              <w:spacing w:before="40" w:after="40" w:line="220" w:lineRule="exact"/>
              <w:rPr>
                <w:sz w:val="18"/>
                <w:szCs w:val="18"/>
              </w:rPr>
            </w:pPr>
            <w:r w:rsidRPr="00261CCE">
              <w:rPr>
                <w:sz w:val="18"/>
                <w:szCs w:val="18"/>
              </w:rPr>
              <w:t>Renewable energy share in total energy consumption (2014–2018) (latest rate, percentage)</w:t>
            </w:r>
          </w:p>
        </w:tc>
        <w:tc>
          <w:tcPr>
            <w:tcW w:w="993" w:type="dxa"/>
            <w:tcBorders>
              <w:top w:val="nil"/>
              <w:bottom w:val="nil"/>
            </w:tcBorders>
            <w:shd w:val="clear" w:color="auto" w:fill="auto"/>
            <w:vAlign w:val="center"/>
          </w:tcPr>
          <w:p w14:paraId="7359648B" w14:textId="77777777" w:rsidR="0009316F" w:rsidRPr="00261CCE" w:rsidRDefault="0009316F" w:rsidP="00C439AF">
            <w:pPr>
              <w:keepNext/>
              <w:spacing w:after="120"/>
              <w:jc w:val="center"/>
              <w:rPr>
                <w:rFonts w:ascii="Wingdings" w:hAnsi="Wingdings" w:cs="Wingdings"/>
                <w:color w:val="FFC000"/>
                <w:sz w:val="28"/>
                <w:szCs w:val="28"/>
              </w:rPr>
            </w:pPr>
            <w:r w:rsidRPr="00261CCE">
              <w:rPr>
                <w:rFonts w:ascii="Wingdings" w:eastAsia="Wingdings" w:hAnsi="Wingdings" w:cs="Wingdings"/>
                <w:color w:val="FFC000"/>
                <w:sz w:val="28"/>
                <w:szCs w:val="28"/>
              </w:rPr>
              <w:t>à</w:t>
            </w:r>
          </w:p>
          <w:p w14:paraId="47731717" w14:textId="77777777" w:rsidR="0009316F" w:rsidRPr="00261CCE" w:rsidRDefault="0009316F" w:rsidP="00C439AF">
            <w:pPr>
              <w:suppressAutoHyphens w:val="0"/>
              <w:spacing w:before="40" w:after="40" w:line="220" w:lineRule="exact"/>
              <w:jc w:val="center"/>
              <w:rPr>
                <w:sz w:val="18"/>
                <w:szCs w:val="28"/>
              </w:rPr>
            </w:pPr>
            <w:r w:rsidRPr="00261CCE">
              <w:rPr>
                <w:sz w:val="18"/>
                <w:szCs w:val="18"/>
              </w:rPr>
              <w:t>(18)</w:t>
            </w:r>
          </w:p>
        </w:tc>
        <w:tc>
          <w:tcPr>
            <w:tcW w:w="850" w:type="dxa"/>
            <w:tcBorders>
              <w:top w:val="nil"/>
              <w:bottom w:val="nil"/>
            </w:tcBorders>
            <w:shd w:val="clear" w:color="auto" w:fill="auto"/>
            <w:vAlign w:val="center"/>
          </w:tcPr>
          <w:p w14:paraId="2549AB18"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1635741D" w14:textId="77777777" w:rsidR="0009316F" w:rsidRPr="00261CCE" w:rsidRDefault="0009316F" w:rsidP="00C439AF">
            <w:pPr>
              <w:suppressAutoHyphens w:val="0"/>
              <w:spacing w:before="40" w:after="40" w:line="220" w:lineRule="exact"/>
              <w:jc w:val="center"/>
              <w:rPr>
                <w:sz w:val="18"/>
                <w:szCs w:val="28"/>
              </w:rPr>
            </w:pPr>
            <w:r w:rsidRPr="00261CCE">
              <w:rPr>
                <w:sz w:val="18"/>
                <w:szCs w:val="18"/>
              </w:rPr>
              <w:t>(18)</w:t>
            </w:r>
          </w:p>
        </w:tc>
        <w:tc>
          <w:tcPr>
            <w:tcW w:w="851" w:type="dxa"/>
            <w:tcBorders>
              <w:top w:val="nil"/>
              <w:bottom w:val="nil"/>
            </w:tcBorders>
            <w:shd w:val="clear" w:color="auto" w:fill="auto"/>
            <w:vAlign w:val="center"/>
          </w:tcPr>
          <w:p w14:paraId="1BB43F73"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6CF2DA1E" w14:textId="77777777" w:rsidR="0009316F" w:rsidRPr="00261CCE" w:rsidRDefault="0009316F" w:rsidP="00C439AF">
            <w:pPr>
              <w:suppressAutoHyphens w:val="0"/>
              <w:spacing w:before="40" w:after="40" w:line="220" w:lineRule="exact"/>
              <w:jc w:val="center"/>
              <w:rPr>
                <w:sz w:val="18"/>
                <w:szCs w:val="28"/>
              </w:rPr>
            </w:pPr>
            <w:r w:rsidRPr="00261CCE">
              <w:rPr>
                <w:sz w:val="18"/>
                <w:szCs w:val="18"/>
              </w:rPr>
              <w:t>(4)</w:t>
            </w:r>
          </w:p>
        </w:tc>
        <w:tc>
          <w:tcPr>
            <w:tcW w:w="992" w:type="dxa"/>
            <w:tcBorders>
              <w:top w:val="nil"/>
              <w:bottom w:val="nil"/>
            </w:tcBorders>
            <w:shd w:val="clear" w:color="auto" w:fill="auto"/>
            <w:vAlign w:val="center"/>
          </w:tcPr>
          <w:p w14:paraId="3BA6ABB5"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04160D82" w14:textId="77777777" w:rsidR="0009316F" w:rsidRPr="00261CCE" w:rsidRDefault="0009316F" w:rsidP="00C439AF">
            <w:pPr>
              <w:suppressAutoHyphens w:val="0"/>
              <w:spacing w:before="40" w:after="40" w:line="220" w:lineRule="exact"/>
              <w:jc w:val="center"/>
              <w:rPr>
                <w:sz w:val="18"/>
                <w:szCs w:val="28"/>
              </w:rPr>
            </w:pPr>
            <w:r w:rsidRPr="00261CCE">
              <w:rPr>
                <w:sz w:val="18"/>
                <w:szCs w:val="18"/>
              </w:rPr>
              <w:t>(4)</w:t>
            </w:r>
          </w:p>
        </w:tc>
        <w:tc>
          <w:tcPr>
            <w:tcW w:w="1134" w:type="dxa"/>
            <w:tcBorders>
              <w:top w:val="nil"/>
              <w:bottom w:val="nil"/>
            </w:tcBorders>
            <w:shd w:val="clear" w:color="auto" w:fill="auto"/>
            <w:vAlign w:val="center"/>
          </w:tcPr>
          <w:p w14:paraId="5D10E408"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6C08DC66" w14:textId="77777777" w:rsidR="0009316F" w:rsidRPr="00261CCE" w:rsidRDefault="0009316F" w:rsidP="00C439AF">
            <w:pPr>
              <w:suppressAutoHyphens w:val="0"/>
              <w:spacing w:before="40" w:after="40" w:line="220" w:lineRule="exact"/>
              <w:jc w:val="center"/>
              <w:rPr>
                <w:sz w:val="18"/>
                <w:szCs w:val="28"/>
              </w:rPr>
            </w:pPr>
            <w:r w:rsidRPr="00261CCE">
              <w:rPr>
                <w:sz w:val="18"/>
                <w:szCs w:val="18"/>
              </w:rPr>
              <w:t>(14)</w:t>
            </w:r>
          </w:p>
        </w:tc>
        <w:tc>
          <w:tcPr>
            <w:tcW w:w="1134" w:type="dxa"/>
            <w:tcBorders>
              <w:top w:val="nil"/>
              <w:bottom w:val="nil"/>
            </w:tcBorders>
            <w:shd w:val="clear" w:color="auto" w:fill="auto"/>
            <w:vAlign w:val="center"/>
          </w:tcPr>
          <w:p w14:paraId="2AFC1890"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2447082F" w14:textId="77777777" w:rsidR="0009316F" w:rsidRPr="00261CCE" w:rsidRDefault="0009316F" w:rsidP="00C439AF">
            <w:pPr>
              <w:suppressAutoHyphens w:val="0"/>
              <w:spacing w:before="40" w:after="40" w:line="220" w:lineRule="exact"/>
              <w:ind w:right="139"/>
              <w:jc w:val="center"/>
              <w:rPr>
                <w:sz w:val="18"/>
                <w:szCs w:val="28"/>
              </w:rPr>
            </w:pPr>
            <w:r w:rsidRPr="00261CCE">
              <w:rPr>
                <w:sz w:val="18"/>
                <w:szCs w:val="18"/>
              </w:rPr>
              <w:t>(13)</w:t>
            </w:r>
          </w:p>
        </w:tc>
      </w:tr>
      <w:tr w:rsidR="0009316F" w:rsidRPr="00261CCE" w14:paraId="0C009F8F" w14:textId="77777777" w:rsidTr="00C439AF">
        <w:trPr>
          <w:trHeight w:hRule="exact" w:val="50"/>
        </w:trPr>
        <w:tc>
          <w:tcPr>
            <w:tcW w:w="1701" w:type="dxa"/>
            <w:tcBorders>
              <w:top w:val="nil"/>
            </w:tcBorders>
            <w:shd w:val="clear" w:color="auto" w:fill="auto"/>
          </w:tcPr>
          <w:p w14:paraId="44EFD83B" w14:textId="77777777" w:rsidR="0009316F" w:rsidRPr="00261CCE" w:rsidRDefault="0009316F" w:rsidP="00C439AF">
            <w:pPr>
              <w:suppressAutoHyphens w:val="0"/>
              <w:spacing w:before="40" w:after="40" w:line="220" w:lineRule="exact"/>
              <w:rPr>
                <w:sz w:val="18"/>
                <w:szCs w:val="18"/>
              </w:rPr>
            </w:pPr>
          </w:p>
        </w:tc>
        <w:tc>
          <w:tcPr>
            <w:tcW w:w="993" w:type="dxa"/>
            <w:tcBorders>
              <w:top w:val="nil"/>
            </w:tcBorders>
            <w:shd w:val="clear" w:color="auto" w:fill="auto"/>
            <w:vAlign w:val="center"/>
          </w:tcPr>
          <w:p w14:paraId="40472141" w14:textId="77777777" w:rsidR="0009316F" w:rsidRPr="00261CCE" w:rsidRDefault="0009316F" w:rsidP="00C439AF">
            <w:pPr>
              <w:keepNext/>
              <w:spacing w:after="120"/>
              <w:jc w:val="center"/>
              <w:rPr>
                <w:rFonts w:ascii="Wingdings" w:hAnsi="Wingdings" w:cs="Wingdings"/>
                <w:color w:val="FFC000"/>
                <w:sz w:val="28"/>
                <w:szCs w:val="28"/>
              </w:rPr>
            </w:pPr>
          </w:p>
        </w:tc>
        <w:tc>
          <w:tcPr>
            <w:tcW w:w="850" w:type="dxa"/>
            <w:tcBorders>
              <w:top w:val="nil"/>
            </w:tcBorders>
            <w:shd w:val="clear" w:color="auto" w:fill="auto"/>
            <w:vAlign w:val="center"/>
          </w:tcPr>
          <w:p w14:paraId="03D3A1F2"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top w:val="nil"/>
            </w:tcBorders>
            <w:shd w:val="clear" w:color="auto" w:fill="auto"/>
            <w:vAlign w:val="center"/>
          </w:tcPr>
          <w:p w14:paraId="68F86088"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top w:val="nil"/>
            </w:tcBorders>
            <w:shd w:val="clear" w:color="auto" w:fill="auto"/>
            <w:vAlign w:val="center"/>
          </w:tcPr>
          <w:p w14:paraId="1B9C3446"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top w:val="nil"/>
            </w:tcBorders>
            <w:shd w:val="clear" w:color="auto" w:fill="auto"/>
            <w:vAlign w:val="center"/>
          </w:tcPr>
          <w:p w14:paraId="528E265D"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top w:val="nil"/>
            </w:tcBorders>
            <w:shd w:val="clear" w:color="auto" w:fill="auto"/>
            <w:vAlign w:val="center"/>
          </w:tcPr>
          <w:p w14:paraId="32629BD2" w14:textId="77777777" w:rsidR="0009316F" w:rsidRPr="00261CCE" w:rsidRDefault="0009316F" w:rsidP="00C439AF">
            <w:pPr>
              <w:keepNext/>
              <w:spacing w:after="120"/>
              <w:jc w:val="center"/>
              <w:rPr>
                <w:rFonts w:ascii="Wingdings" w:hAnsi="Wingdings" w:cs="Wingdings"/>
                <w:color w:val="FFC000"/>
                <w:sz w:val="28"/>
                <w:szCs w:val="28"/>
              </w:rPr>
            </w:pPr>
          </w:p>
        </w:tc>
      </w:tr>
    </w:tbl>
    <w:p w14:paraId="0EF5E361" w14:textId="77777777" w:rsidR="0009316F" w:rsidRPr="00180759" w:rsidRDefault="0009316F" w:rsidP="0009316F">
      <w:pPr>
        <w:spacing w:before="120" w:after="120"/>
        <w:ind w:left="1134" w:right="1134" w:firstLine="567"/>
        <w:jc w:val="both"/>
        <w:rPr>
          <w:sz w:val="18"/>
          <w:szCs w:val="18"/>
        </w:rPr>
      </w:pPr>
      <w:r w:rsidRPr="00261CCE">
        <w:rPr>
          <w:i/>
          <w:iCs/>
          <w:sz w:val="18"/>
          <w:szCs w:val="18"/>
        </w:rPr>
        <w:t>Source</w:t>
      </w:r>
      <w:r w:rsidRPr="00261CCE">
        <w:rPr>
          <w:sz w:val="18"/>
          <w:szCs w:val="18"/>
        </w:rPr>
        <w:t xml:space="preserve">: </w:t>
      </w:r>
      <w:r w:rsidRPr="00180759">
        <w:rPr>
          <w:sz w:val="18"/>
          <w:szCs w:val="18"/>
        </w:rPr>
        <w:t>2019 Energy Balances</w:t>
      </w:r>
      <w:r w:rsidRPr="00180759">
        <w:t xml:space="preserve"> (</w:t>
      </w:r>
      <w:r w:rsidRPr="00180759">
        <w:rPr>
          <w:sz w:val="18"/>
          <w:szCs w:val="18"/>
        </w:rPr>
        <w:t xml:space="preserve">United Nations publication, Sales No. E.22.XVII.5). </w:t>
      </w:r>
    </w:p>
    <w:p w14:paraId="0A20BD15" w14:textId="77777777" w:rsidR="0009316F" w:rsidRPr="00261CCE" w:rsidRDefault="0009316F" w:rsidP="0009316F">
      <w:pPr>
        <w:spacing w:after="120"/>
        <w:ind w:left="1134" w:right="1134" w:firstLine="567"/>
        <w:jc w:val="both"/>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stable or </w:t>
      </w:r>
      <w:r w:rsidRPr="00261CCE">
        <w:rPr>
          <w:rFonts w:ascii="Wingdings" w:eastAsia="Wingdings" w:hAnsi="Wingdings" w:cs="Wingdings"/>
          <w:color w:val="FF0000"/>
          <w:sz w:val="28"/>
          <w:szCs w:val="28"/>
        </w:rPr>
        <w:t>æ</w:t>
      </w:r>
      <w:r w:rsidRPr="00261CCE">
        <w:t xml:space="preserve"> </w:t>
      </w:r>
      <w:r w:rsidRPr="00261CCE">
        <w:rPr>
          <w:sz w:val="18"/>
          <w:szCs w:val="18"/>
        </w:rPr>
        <w:t>worsening.</w:t>
      </w:r>
    </w:p>
    <w:p w14:paraId="250294FD" w14:textId="77777777" w:rsidR="0009316F" w:rsidRPr="00261CCE" w:rsidRDefault="0009316F" w:rsidP="0009316F">
      <w:pPr>
        <w:pStyle w:val="H23G"/>
        <w:rPr>
          <w:lang w:eastAsia="zh-TW"/>
        </w:rPr>
      </w:pPr>
      <w:r w:rsidRPr="00261CCE">
        <w:rPr>
          <w:lang w:eastAsia="zh-TW"/>
        </w:rPr>
        <w:tab/>
        <w:t>4.</w:t>
      </w:r>
      <w:r w:rsidRPr="00261CCE">
        <w:rPr>
          <w:lang w:eastAsia="zh-TW"/>
        </w:rPr>
        <w:tab/>
      </w:r>
      <w:r w:rsidRPr="00261CCE">
        <w:rPr>
          <w:lang w:eastAsia="zh-TW"/>
        </w:rPr>
        <w:tab/>
        <w:t>Fresh-water quantity and quality</w:t>
      </w:r>
    </w:p>
    <w:p w14:paraId="6F1A76E3" w14:textId="0A3E8D90" w:rsidR="0009316F" w:rsidRPr="00261CCE" w:rsidRDefault="0009316F" w:rsidP="0009316F">
      <w:pPr>
        <w:spacing w:after="120"/>
        <w:ind w:left="1134" w:right="1134"/>
        <w:jc w:val="both"/>
      </w:pPr>
      <w:r w:rsidRPr="00261CCE">
        <w:t>9.</w:t>
      </w:r>
      <w:r w:rsidRPr="00261CCE">
        <w:tab/>
        <w:t>Water quantity has an asymmetric space and time distribution in the pan-European region and climate change is delivering additional challenges with impacts on human health through various water-related phenomena such as floods, droughts, water-borne diseases and biodiversity changes in aquatic ecosystems. Anthropogenic pressures</w:t>
      </w:r>
      <w:r w:rsidR="008241C8">
        <w:t>, including through hydromorphol</w:t>
      </w:r>
      <w:r w:rsidR="00132EB5">
        <w:t>ogical alterations</w:t>
      </w:r>
      <w:r w:rsidR="00C05B11">
        <w:t xml:space="preserve"> and barriers,</w:t>
      </w:r>
      <w:r w:rsidRPr="00261CCE">
        <w:t xml:space="preserve"> amplify water asymmetry by constraining fresh-water quality (see tables 4 and 5 below) and aquatic biodiversity</w:t>
      </w:r>
      <w:r w:rsidR="00DD3F3A">
        <w:t xml:space="preserve">, as well as </w:t>
      </w:r>
      <w:r w:rsidR="00AF6AF6">
        <w:t xml:space="preserve">directly </w:t>
      </w:r>
      <w:r w:rsidR="006B4A66">
        <w:t xml:space="preserve">impacting </w:t>
      </w:r>
      <w:r w:rsidR="0098478D">
        <w:t>resources through withdrawal</w:t>
      </w:r>
      <w:r w:rsidRPr="00261CCE">
        <w:t>. River basins, lakes and aquifers are subject to multiple stressors. Diffuse pollution and urban and industrial wastewater discharges remain significant in many locations and persistent organic contaminants are of greater public health concern. Science is advancing to provide solutions and foster new processes and technologies to face these negative impacts.</w:t>
      </w:r>
    </w:p>
    <w:p w14:paraId="654FDF85" w14:textId="1FE2CD1C" w:rsidR="0009316F" w:rsidRPr="00261CCE" w:rsidRDefault="0009316F" w:rsidP="0009316F">
      <w:pPr>
        <w:pStyle w:val="H23G"/>
      </w:pPr>
      <w:r w:rsidRPr="00261CCE">
        <w:lastRenderedPageBreak/>
        <w:tab/>
      </w:r>
      <w:r w:rsidRPr="00261CCE">
        <w:tab/>
      </w:r>
      <w:r w:rsidRPr="00606167">
        <w:t>Recommendation</w:t>
      </w:r>
      <w:r w:rsidR="000C0F47">
        <w:t>s</w:t>
      </w:r>
      <w:r w:rsidRPr="00261CCE">
        <w:t xml:space="preserve">: </w:t>
      </w:r>
    </w:p>
    <w:p w14:paraId="443ED14D" w14:textId="19415160" w:rsidR="0009316F" w:rsidRPr="00261CCE" w:rsidRDefault="0009316F" w:rsidP="0009316F">
      <w:pPr>
        <w:spacing w:after="120"/>
        <w:ind w:left="1134" w:right="1134"/>
        <w:jc w:val="both"/>
      </w:pPr>
      <w:r w:rsidRPr="00261CCE">
        <w:t>10.</w:t>
      </w:r>
      <w:r w:rsidRPr="00261CCE">
        <w:tab/>
        <w:t xml:space="preserve">Whenever fresh waters and aquatic ecosystems are at risk, the best available technology should be applied. Some examples of high readiness solutions include water conservation measures and conventional mitigation approaches, plus measures for resource protection and more efficient water use, such as digitalization and precision agriculture, nature-based solutions for water retention basins or in riparian zone restoration, and the use of new methods for environmental flow regimes. </w:t>
      </w:r>
      <w:r w:rsidR="002041D9">
        <w:t xml:space="preserve">The </w:t>
      </w:r>
      <w:r w:rsidR="006A7B7D">
        <w:t>potential</w:t>
      </w:r>
      <w:r w:rsidR="002041D9">
        <w:t xml:space="preserve"> of n</w:t>
      </w:r>
      <w:r w:rsidRPr="00261CCE">
        <w:t xml:space="preserve">on-conventional water sources </w:t>
      </w:r>
      <w:r w:rsidR="002041D9">
        <w:t xml:space="preserve">should be </w:t>
      </w:r>
      <w:r w:rsidR="006A7B7D">
        <w:t>explored</w:t>
      </w:r>
      <w:r w:rsidRPr="00261CCE">
        <w:t>.</w:t>
      </w:r>
    </w:p>
    <w:p w14:paraId="38F04499" w14:textId="77777777" w:rsidR="0009316F" w:rsidRPr="00261CCE" w:rsidRDefault="0009316F" w:rsidP="0009316F">
      <w:pPr>
        <w:keepNext/>
        <w:spacing w:after="120"/>
        <w:ind w:left="1134" w:right="1134"/>
        <w:rPr>
          <w:b/>
          <w:bCs/>
          <w:lang w:eastAsia="zh-TW"/>
        </w:rPr>
      </w:pPr>
      <w:r w:rsidRPr="00261CCE">
        <w:rPr>
          <w:lang w:eastAsia="zh-TW"/>
        </w:rPr>
        <w:t>Table 4</w:t>
      </w:r>
      <w:r w:rsidRPr="00261CCE">
        <w:rPr>
          <w:lang w:eastAsia="zh-TW"/>
        </w:rPr>
        <w:br/>
      </w:r>
      <w:r w:rsidRPr="00261CCE">
        <w:rPr>
          <w:b/>
          <w:bCs/>
          <w:lang w:eastAsia="zh-TW"/>
        </w:rPr>
        <w:t>Overview on status and trends for the selected indicator on ambient water quality</w:t>
      </w:r>
    </w:p>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850"/>
        <w:gridCol w:w="809"/>
        <w:gridCol w:w="1053"/>
        <w:gridCol w:w="1053"/>
        <w:gridCol w:w="1338"/>
      </w:tblGrid>
      <w:tr w:rsidR="0009316F" w:rsidRPr="00261CCE" w14:paraId="73DA3EC2" w14:textId="77777777" w:rsidTr="00C439AF">
        <w:trPr>
          <w:tblHeader/>
        </w:trPr>
        <w:tc>
          <w:tcPr>
            <w:tcW w:w="1701" w:type="dxa"/>
            <w:tcBorders>
              <w:top w:val="single" w:sz="4" w:space="0" w:color="auto"/>
            </w:tcBorders>
            <w:shd w:val="clear" w:color="auto" w:fill="auto"/>
            <w:vAlign w:val="bottom"/>
          </w:tcPr>
          <w:p w14:paraId="74848250" w14:textId="77777777" w:rsidR="0009316F" w:rsidRPr="00261CCE" w:rsidRDefault="0009316F" w:rsidP="00C439AF">
            <w:pPr>
              <w:suppressAutoHyphens w:val="0"/>
              <w:spacing w:before="80" w:line="200" w:lineRule="exact"/>
              <w:rPr>
                <w:rFonts w:eastAsia="PMingLiU"/>
                <w:i/>
                <w:sz w:val="16"/>
              </w:rPr>
            </w:pPr>
          </w:p>
        </w:tc>
        <w:tc>
          <w:tcPr>
            <w:tcW w:w="5954" w:type="dxa"/>
            <w:gridSpan w:val="6"/>
            <w:tcBorders>
              <w:top w:val="single" w:sz="4" w:space="0" w:color="auto"/>
              <w:bottom w:val="single" w:sz="12" w:space="0" w:color="auto"/>
            </w:tcBorders>
            <w:shd w:val="clear" w:color="auto" w:fill="auto"/>
          </w:tcPr>
          <w:p w14:paraId="1A882403" w14:textId="77777777" w:rsidR="0009316F" w:rsidRPr="002C6C70" w:rsidRDefault="0009316F" w:rsidP="00C439AF">
            <w:pPr>
              <w:spacing w:before="80" w:line="200" w:lineRule="exact"/>
              <w:ind w:right="113"/>
              <w:rPr>
                <w:rFonts w:eastAsia="PMingLiU"/>
                <w:i/>
                <w:sz w:val="16"/>
                <w:szCs w:val="16"/>
              </w:rPr>
            </w:pPr>
            <w:r w:rsidRPr="002C6C70">
              <w:rPr>
                <w:i/>
                <w:sz w:val="16"/>
                <w:szCs w:val="16"/>
              </w:rPr>
              <w:t>Percentage of bodies of water with good ambient water quality, for countries having data available (national value ranges by subregions)</w:t>
            </w:r>
          </w:p>
        </w:tc>
      </w:tr>
      <w:tr w:rsidR="0009316F" w:rsidRPr="00261CCE" w14:paraId="2198B69B" w14:textId="77777777" w:rsidTr="00C439AF">
        <w:trPr>
          <w:trHeight w:val="620"/>
        </w:trPr>
        <w:tc>
          <w:tcPr>
            <w:tcW w:w="1701" w:type="dxa"/>
            <w:tcBorders>
              <w:bottom w:val="single" w:sz="12" w:space="0" w:color="auto"/>
            </w:tcBorders>
            <w:shd w:val="clear" w:color="auto" w:fill="auto"/>
          </w:tcPr>
          <w:p w14:paraId="16A6971C" w14:textId="77777777" w:rsidR="0009316F" w:rsidRPr="00261CCE" w:rsidRDefault="0009316F" w:rsidP="00C439AF">
            <w:pPr>
              <w:suppressAutoHyphens w:val="0"/>
              <w:spacing w:before="40" w:after="40" w:line="220" w:lineRule="exact"/>
              <w:rPr>
                <w:rFonts w:eastAsia="PMingLiU"/>
                <w:sz w:val="18"/>
              </w:rPr>
            </w:pPr>
            <w:r w:rsidRPr="00261CCE">
              <w:rPr>
                <w:i/>
                <w:iCs/>
                <w:sz w:val="18"/>
                <w:szCs w:val="18"/>
              </w:rPr>
              <w:t>Year</w:t>
            </w:r>
          </w:p>
        </w:tc>
        <w:tc>
          <w:tcPr>
            <w:tcW w:w="851" w:type="dxa"/>
            <w:tcBorders>
              <w:top w:val="single" w:sz="12" w:space="0" w:color="auto"/>
              <w:bottom w:val="single" w:sz="12" w:space="0" w:color="auto"/>
            </w:tcBorders>
            <w:shd w:val="clear" w:color="auto" w:fill="auto"/>
          </w:tcPr>
          <w:p w14:paraId="0FFFBFC0"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European Union</w:t>
            </w:r>
          </w:p>
        </w:tc>
        <w:tc>
          <w:tcPr>
            <w:tcW w:w="850" w:type="dxa"/>
            <w:tcBorders>
              <w:top w:val="single" w:sz="12" w:space="0" w:color="auto"/>
              <w:bottom w:val="single" w:sz="12" w:space="0" w:color="auto"/>
            </w:tcBorders>
            <w:shd w:val="clear" w:color="auto" w:fill="auto"/>
          </w:tcPr>
          <w:p w14:paraId="616BF387"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Western Europe</w:t>
            </w:r>
          </w:p>
        </w:tc>
        <w:tc>
          <w:tcPr>
            <w:tcW w:w="809" w:type="dxa"/>
            <w:tcBorders>
              <w:top w:val="single" w:sz="12" w:space="0" w:color="auto"/>
              <w:bottom w:val="single" w:sz="12" w:space="0" w:color="auto"/>
            </w:tcBorders>
            <w:shd w:val="clear" w:color="auto" w:fill="auto"/>
          </w:tcPr>
          <w:p w14:paraId="056A6687"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Central Asia</w:t>
            </w:r>
          </w:p>
        </w:tc>
        <w:tc>
          <w:tcPr>
            <w:tcW w:w="1053" w:type="dxa"/>
            <w:tcBorders>
              <w:top w:val="single" w:sz="12" w:space="0" w:color="auto"/>
              <w:bottom w:val="single" w:sz="12" w:space="0" w:color="auto"/>
            </w:tcBorders>
            <w:shd w:val="clear" w:color="auto" w:fill="auto"/>
          </w:tcPr>
          <w:p w14:paraId="5DEBEC68"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Eastern Europe</w:t>
            </w:r>
          </w:p>
        </w:tc>
        <w:tc>
          <w:tcPr>
            <w:tcW w:w="1053" w:type="dxa"/>
            <w:tcBorders>
              <w:top w:val="single" w:sz="12" w:space="0" w:color="auto"/>
              <w:bottom w:val="single" w:sz="12" w:space="0" w:color="auto"/>
            </w:tcBorders>
            <w:shd w:val="clear" w:color="auto" w:fill="auto"/>
          </w:tcPr>
          <w:p w14:paraId="3ED947CB"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South-Eastern Europe</w:t>
            </w:r>
          </w:p>
        </w:tc>
        <w:tc>
          <w:tcPr>
            <w:tcW w:w="1338" w:type="dxa"/>
            <w:tcBorders>
              <w:top w:val="single" w:sz="12" w:space="0" w:color="auto"/>
              <w:bottom w:val="single" w:sz="12" w:space="0" w:color="auto"/>
            </w:tcBorders>
            <w:shd w:val="clear" w:color="auto" w:fill="auto"/>
          </w:tcPr>
          <w:p w14:paraId="30A413CF" w14:textId="77777777" w:rsidR="0009316F" w:rsidRPr="00261CCE" w:rsidRDefault="0009316F" w:rsidP="00C439AF">
            <w:pPr>
              <w:suppressAutoHyphens w:val="0"/>
              <w:spacing w:before="40" w:after="40" w:line="220" w:lineRule="exact"/>
              <w:jc w:val="center"/>
              <w:rPr>
                <w:rFonts w:eastAsia="PMingLiU"/>
                <w:sz w:val="18"/>
              </w:rPr>
            </w:pPr>
            <w:r w:rsidRPr="00261CCE">
              <w:rPr>
                <w:i/>
                <w:iCs/>
                <w:sz w:val="18"/>
                <w:szCs w:val="18"/>
              </w:rPr>
              <w:t>Pan-European region</w:t>
            </w:r>
          </w:p>
        </w:tc>
      </w:tr>
      <w:tr w:rsidR="0009316F" w:rsidRPr="00261CCE" w14:paraId="33571945" w14:textId="77777777" w:rsidTr="00C439AF">
        <w:trPr>
          <w:trHeight w:val="403"/>
        </w:trPr>
        <w:tc>
          <w:tcPr>
            <w:tcW w:w="1701" w:type="dxa"/>
            <w:tcBorders>
              <w:top w:val="single" w:sz="12" w:space="0" w:color="auto"/>
            </w:tcBorders>
            <w:shd w:val="clear" w:color="auto" w:fill="auto"/>
            <w:vAlign w:val="center"/>
          </w:tcPr>
          <w:p w14:paraId="7AA219F1"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 xml:space="preserve">2017 </w:t>
            </w:r>
          </w:p>
        </w:tc>
        <w:tc>
          <w:tcPr>
            <w:tcW w:w="851" w:type="dxa"/>
            <w:tcBorders>
              <w:top w:val="single" w:sz="12" w:space="0" w:color="auto"/>
            </w:tcBorders>
            <w:shd w:val="clear" w:color="auto" w:fill="auto"/>
            <w:vAlign w:val="center"/>
          </w:tcPr>
          <w:p w14:paraId="37CA3740"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34–100</w:t>
            </w:r>
          </w:p>
        </w:tc>
        <w:tc>
          <w:tcPr>
            <w:tcW w:w="850" w:type="dxa"/>
            <w:tcBorders>
              <w:top w:val="single" w:sz="12" w:space="0" w:color="auto"/>
            </w:tcBorders>
            <w:shd w:val="clear" w:color="auto" w:fill="auto"/>
            <w:vAlign w:val="center"/>
          </w:tcPr>
          <w:p w14:paraId="63B66019"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80–100</w:t>
            </w:r>
          </w:p>
        </w:tc>
        <w:tc>
          <w:tcPr>
            <w:tcW w:w="809" w:type="dxa"/>
            <w:tcBorders>
              <w:top w:val="single" w:sz="12" w:space="0" w:color="auto"/>
            </w:tcBorders>
            <w:shd w:val="clear" w:color="auto" w:fill="auto"/>
            <w:vAlign w:val="center"/>
          </w:tcPr>
          <w:p w14:paraId="669194B8"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w:t>
            </w:r>
          </w:p>
        </w:tc>
        <w:tc>
          <w:tcPr>
            <w:tcW w:w="1053" w:type="dxa"/>
            <w:tcBorders>
              <w:top w:val="single" w:sz="12" w:space="0" w:color="auto"/>
            </w:tcBorders>
            <w:shd w:val="clear" w:color="auto" w:fill="auto"/>
            <w:vAlign w:val="center"/>
          </w:tcPr>
          <w:p w14:paraId="7A03376C"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96</w:t>
            </w:r>
          </w:p>
        </w:tc>
        <w:tc>
          <w:tcPr>
            <w:tcW w:w="1053" w:type="dxa"/>
            <w:tcBorders>
              <w:top w:val="single" w:sz="12" w:space="0" w:color="auto"/>
            </w:tcBorders>
            <w:shd w:val="clear" w:color="auto" w:fill="auto"/>
            <w:vAlign w:val="center"/>
          </w:tcPr>
          <w:p w14:paraId="68722F9B"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6–94</w:t>
            </w:r>
          </w:p>
        </w:tc>
        <w:tc>
          <w:tcPr>
            <w:tcW w:w="1338" w:type="dxa"/>
            <w:tcBorders>
              <w:top w:val="single" w:sz="12" w:space="0" w:color="auto"/>
            </w:tcBorders>
            <w:shd w:val="clear" w:color="auto" w:fill="auto"/>
            <w:vAlign w:val="center"/>
          </w:tcPr>
          <w:p w14:paraId="7F99336F"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6–100</w:t>
            </w:r>
          </w:p>
        </w:tc>
      </w:tr>
      <w:tr w:rsidR="0009316F" w:rsidRPr="00261CCE" w14:paraId="7B355A0A" w14:textId="77777777" w:rsidTr="00C439AF">
        <w:trPr>
          <w:trHeight w:val="521"/>
        </w:trPr>
        <w:tc>
          <w:tcPr>
            <w:tcW w:w="1701" w:type="dxa"/>
            <w:tcBorders>
              <w:bottom w:val="single" w:sz="12" w:space="0" w:color="auto"/>
            </w:tcBorders>
            <w:shd w:val="clear" w:color="auto" w:fill="auto"/>
            <w:vAlign w:val="center"/>
          </w:tcPr>
          <w:p w14:paraId="2F712DEE"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2020</w:t>
            </w:r>
          </w:p>
        </w:tc>
        <w:tc>
          <w:tcPr>
            <w:tcW w:w="851" w:type="dxa"/>
            <w:tcBorders>
              <w:bottom w:val="single" w:sz="12" w:space="0" w:color="auto"/>
            </w:tcBorders>
            <w:shd w:val="clear" w:color="auto" w:fill="auto"/>
            <w:vAlign w:val="center"/>
          </w:tcPr>
          <w:p w14:paraId="23FBD057"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41</w:t>
            </w:r>
            <w:r w:rsidRPr="00261CCE">
              <w:rPr>
                <w:sz w:val="18"/>
                <w:szCs w:val="18"/>
              </w:rPr>
              <w:softHyphen/>
              <w:t>–99</w:t>
            </w:r>
          </w:p>
        </w:tc>
        <w:tc>
          <w:tcPr>
            <w:tcW w:w="850" w:type="dxa"/>
            <w:tcBorders>
              <w:bottom w:val="single" w:sz="12" w:space="0" w:color="auto"/>
            </w:tcBorders>
            <w:shd w:val="clear" w:color="auto" w:fill="auto"/>
            <w:vAlign w:val="center"/>
          </w:tcPr>
          <w:p w14:paraId="0E745B05"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61–</w:t>
            </w:r>
            <w:r w:rsidRPr="00261CCE">
              <w:rPr>
                <w:sz w:val="18"/>
                <w:szCs w:val="18"/>
              </w:rPr>
              <w:softHyphen/>
              <w:t>100</w:t>
            </w:r>
          </w:p>
        </w:tc>
        <w:tc>
          <w:tcPr>
            <w:tcW w:w="809" w:type="dxa"/>
            <w:tcBorders>
              <w:bottom w:val="single" w:sz="12" w:space="0" w:color="auto"/>
            </w:tcBorders>
            <w:shd w:val="clear" w:color="auto" w:fill="auto"/>
            <w:vAlign w:val="center"/>
          </w:tcPr>
          <w:p w14:paraId="20D49840"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64</w:t>
            </w:r>
          </w:p>
        </w:tc>
        <w:tc>
          <w:tcPr>
            <w:tcW w:w="1053" w:type="dxa"/>
            <w:tcBorders>
              <w:bottom w:val="single" w:sz="12" w:space="0" w:color="auto"/>
            </w:tcBorders>
            <w:shd w:val="clear" w:color="auto" w:fill="auto"/>
            <w:vAlign w:val="center"/>
          </w:tcPr>
          <w:p w14:paraId="16E18307"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89–</w:t>
            </w:r>
            <w:r w:rsidRPr="00261CCE">
              <w:rPr>
                <w:sz w:val="18"/>
                <w:szCs w:val="18"/>
              </w:rPr>
              <w:softHyphen/>
              <w:t>96</w:t>
            </w:r>
          </w:p>
        </w:tc>
        <w:tc>
          <w:tcPr>
            <w:tcW w:w="1053" w:type="dxa"/>
            <w:tcBorders>
              <w:bottom w:val="single" w:sz="12" w:space="0" w:color="auto"/>
            </w:tcBorders>
            <w:shd w:val="clear" w:color="auto" w:fill="auto"/>
            <w:vAlign w:val="center"/>
          </w:tcPr>
          <w:p w14:paraId="646C6AB9"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31–</w:t>
            </w:r>
            <w:r w:rsidRPr="00261CCE">
              <w:rPr>
                <w:sz w:val="18"/>
                <w:szCs w:val="18"/>
              </w:rPr>
              <w:softHyphen/>
              <w:t>88</w:t>
            </w:r>
          </w:p>
        </w:tc>
        <w:tc>
          <w:tcPr>
            <w:tcW w:w="1338" w:type="dxa"/>
            <w:tcBorders>
              <w:bottom w:val="single" w:sz="12" w:space="0" w:color="auto"/>
            </w:tcBorders>
            <w:shd w:val="clear" w:color="auto" w:fill="auto"/>
            <w:vAlign w:val="center"/>
          </w:tcPr>
          <w:p w14:paraId="2E472A7A"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31–</w:t>
            </w:r>
            <w:r w:rsidRPr="00261CCE">
              <w:rPr>
                <w:sz w:val="18"/>
                <w:szCs w:val="18"/>
              </w:rPr>
              <w:softHyphen/>
              <w:t>100</w:t>
            </w:r>
          </w:p>
        </w:tc>
      </w:tr>
    </w:tbl>
    <w:p w14:paraId="48CC3C06" w14:textId="77777777" w:rsidR="0009316F" w:rsidRPr="00261CCE" w:rsidRDefault="0009316F" w:rsidP="0009316F">
      <w:pPr>
        <w:spacing w:before="120" w:after="120"/>
        <w:ind w:left="1134" w:right="1134" w:firstLine="567"/>
        <w:jc w:val="both"/>
        <w:rPr>
          <w:sz w:val="18"/>
          <w:szCs w:val="18"/>
        </w:rPr>
      </w:pPr>
      <w:r w:rsidRPr="00261CCE">
        <w:rPr>
          <w:i/>
          <w:iCs/>
          <w:sz w:val="18"/>
          <w:szCs w:val="18"/>
        </w:rPr>
        <w:t>Source</w:t>
      </w:r>
      <w:r w:rsidRPr="00261CCE">
        <w:rPr>
          <w:sz w:val="18"/>
          <w:szCs w:val="18"/>
        </w:rPr>
        <w:t>: Global Sustainable Development Goal Indicators Database.</w:t>
      </w:r>
    </w:p>
    <w:p w14:paraId="5E279EE6" w14:textId="77777777" w:rsidR="0009316F" w:rsidRPr="00261CCE" w:rsidRDefault="0009316F" w:rsidP="0009316F">
      <w:pPr>
        <w:spacing w:after="120"/>
        <w:ind w:left="1134" w:right="1134" w:firstLine="567"/>
        <w:jc w:val="both"/>
        <w:rPr>
          <w:sz w:val="18"/>
          <w:szCs w:val="18"/>
        </w:rPr>
      </w:pPr>
      <w:r w:rsidRPr="00261CCE">
        <w:rPr>
          <w:i/>
          <w:iCs/>
          <w:sz w:val="18"/>
          <w:szCs w:val="18"/>
        </w:rPr>
        <w:t>Note</w:t>
      </w:r>
      <w:r w:rsidRPr="00261CCE">
        <w:rPr>
          <w:sz w:val="18"/>
          <w:szCs w:val="18"/>
        </w:rPr>
        <w:t xml:space="preserve">: Based on the available information, with no data produced for several countries in 2017 and 2020 and different countries having data in each year. Insufficient data for Central Asia in 2017. </w:t>
      </w:r>
    </w:p>
    <w:p w14:paraId="3107CCE6" w14:textId="77777777" w:rsidR="0009316F" w:rsidRPr="00261CCE" w:rsidRDefault="0009316F" w:rsidP="0009316F">
      <w:pPr>
        <w:keepNext/>
        <w:spacing w:before="240" w:after="120"/>
        <w:ind w:left="1134" w:right="1134"/>
        <w:rPr>
          <w:b/>
          <w:bCs/>
          <w:lang w:eastAsia="zh-TW"/>
        </w:rPr>
      </w:pPr>
      <w:r w:rsidRPr="00261CCE">
        <w:rPr>
          <w:lang w:eastAsia="zh-TW"/>
        </w:rPr>
        <w:t>Table 5</w:t>
      </w:r>
      <w:r w:rsidRPr="00261CCE">
        <w:rPr>
          <w:lang w:eastAsia="zh-TW"/>
        </w:rPr>
        <w:br/>
      </w:r>
      <w:r w:rsidRPr="00261CCE">
        <w:rPr>
          <w:b/>
          <w:bCs/>
          <w:lang w:eastAsia="zh-TW"/>
        </w:rPr>
        <w:t>Overview on status and trends for selected indicators for safely managed drinking water or sanitation services</w:t>
      </w:r>
    </w:p>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7"/>
        <w:gridCol w:w="915"/>
        <w:gridCol w:w="850"/>
        <w:gridCol w:w="993"/>
        <w:gridCol w:w="992"/>
        <w:gridCol w:w="1134"/>
        <w:gridCol w:w="1134"/>
      </w:tblGrid>
      <w:tr w:rsidR="0009316F" w:rsidRPr="00261CCE" w14:paraId="6967A2C4" w14:textId="77777777" w:rsidTr="00C439AF">
        <w:trPr>
          <w:tblHeader/>
        </w:trPr>
        <w:tc>
          <w:tcPr>
            <w:tcW w:w="1637" w:type="dxa"/>
            <w:tcBorders>
              <w:top w:val="single" w:sz="4" w:space="0" w:color="auto"/>
            </w:tcBorders>
            <w:shd w:val="clear" w:color="auto" w:fill="auto"/>
            <w:vAlign w:val="bottom"/>
          </w:tcPr>
          <w:p w14:paraId="134C6A40" w14:textId="77777777" w:rsidR="0009316F" w:rsidRPr="00261CCE" w:rsidRDefault="0009316F" w:rsidP="00C439AF">
            <w:pPr>
              <w:spacing w:before="80" w:line="200" w:lineRule="exact"/>
              <w:ind w:right="113"/>
              <w:rPr>
                <w:i/>
                <w:sz w:val="16"/>
              </w:rPr>
            </w:pPr>
          </w:p>
        </w:tc>
        <w:tc>
          <w:tcPr>
            <w:tcW w:w="6018" w:type="dxa"/>
            <w:gridSpan w:val="6"/>
            <w:tcBorders>
              <w:top w:val="single" w:sz="4" w:space="0" w:color="auto"/>
              <w:bottom w:val="single" w:sz="12" w:space="0" w:color="auto"/>
            </w:tcBorders>
            <w:shd w:val="clear" w:color="auto" w:fill="auto"/>
            <w:vAlign w:val="bottom"/>
          </w:tcPr>
          <w:p w14:paraId="7594D2CB" w14:textId="77777777" w:rsidR="0009316F" w:rsidRPr="002C6C70" w:rsidRDefault="0009316F" w:rsidP="00C439AF">
            <w:pPr>
              <w:spacing w:before="80" w:line="200" w:lineRule="exact"/>
              <w:ind w:right="113"/>
              <w:rPr>
                <w:i/>
                <w:sz w:val="16"/>
                <w:szCs w:val="16"/>
              </w:rPr>
            </w:pPr>
            <w:r w:rsidRPr="002C6C70">
              <w:rPr>
                <w:i/>
                <w:sz w:val="16"/>
                <w:szCs w:val="16"/>
              </w:rPr>
              <w:t>Proportion of population using safely managed drinking water or sanitation services percentage</w:t>
            </w:r>
          </w:p>
        </w:tc>
      </w:tr>
      <w:tr w:rsidR="0009316F" w:rsidRPr="00261CCE" w14:paraId="566E1AED" w14:textId="77777777" w:rsidTr="00C439AF">
        <w:tc>
          <w:tcPr>
            <w:tcW w:w="1637" w:type="dxa"/>
            <w:tcBorders>
              <w:bottom w:val="single" w:sz="12" w:space="0" w:color="auto"/>
            </w:tcBorders>
            <w:shd w:val="clear" w:color="auto" w:fill="auto"/>
          </w:tcPr>
          <w:p w14:paraId="47DC1E22" w14:textId="77777777" w:rsidR="0009316F" w:rsidRPr="00261CCE" w:rsidRDefault="0009316F" w:rsidP="00C439AF">
            <w:pPr>
              <w:keepNext/>
              <w:spacing w:after="120"/>
              <w:jc w:val="both"/>
              <w:rPr>
                <w:i/>
                <w:iCs/>
                <w:sz w:val="18"/>
                <w:szCs w:val="18"/>
              </w:rPr>
            </w:pPr>
            <w:r w:rsidRPr="00261CCE">
              <w:rPr>
                <w:i/>
                <w:iCs/>
                <w:sz w:val="18"/>
                <w:szCs w:val="18"/>
              </w:rPr>
              <w:t>Indicator</w:t>
            </w:r>
          </w:p>
        </w:tc>
        <w:tc>
          <w:tcPr>
            <w:tcW w:w="915" w:type="dxa"/>
            <w:tcBorders>
              <w:top w:val="single" w:sz="12" w:space="0" w:color="auto"/>
              <w:bottom w:val="single" w:sz="12" w:space="0" w:color="auto"/>
            </w:tcBorders>
            <w:shd w:val="clear" w:color="auto" w:fill="auto"/>
            <w:vAlign w:val="center"/>
          </w:tcPr>
          <w:p w14:paraId="627CCB87" w14:textId="77777777" w:rsidR="0009316F" w:rsidRPr="00261CCE" w:rsidRDefault="0009316F" w:rsidP="00C439AF">
            <w:pPr>
              <w:keepNext/>
              <w:spacing w:after="120"/>
              <w:jc w:val="center"/>
              <w:rPr>
                <w:i/>
                <w:iCs/>
                <w:sz w:val="18"/>
                <w:szCs w:val="18"/>
              </w:rPr>
            </w:pPr>
            <w:r w:rsidRPr="00261CCE">
              <w:rPr>
                <w:i/>
                <w:iCs/>
                <w:sz w:val="18"/>
                <w:szCs w:val="18"/>
              </w:rPr>
              <w:t>European Union</w:t>
            </w:r>
          </w:p>
        </w:tc>
        <w:tc>
          <w:tcPr>
            <w:tcW w:w="850" w:type="dxa"/>
            <w:tcBorders>
              <w:top w:val="single" w:sz="12" w:space="0" w:color="auto"/>
              <w:bottom w:val="single" w:sz="12" w:space="0" w:color="auto"/>
            </w:tcBorders>
            <w:shd w:val="clear" w:color="auto" w:fill="auto"/>
            <w:vAlign w:val="center"/>
          </w:tcPr>
          <w:p w14:paraId="6898D754" w14:textId="77777777" w:rsidR="0009316F" w:rsidRPr="00261CCE" w:rsidRDefault="0009316F" w:rsidP="00C439AF">
            <w:pPr>
              <w:keepNext/>
              <w:spacing w:after="120"/>
              <w:jc w:val="center"/>
              <w:rPr>
                <w:i/>
                <w:iCs/>
                <w:sz w:val="18"/>
                <w:szCs w:val="18"/>
              </w:rPr>
            </w:pPr>
            <w:r w:rsidRPr="00261CCE">
              <w:rPr>
                <w:i/>
                <w:iCs/>
                <w:sz w:val="18"/>
                <w:szCs w:val="18"/>
              </w:rPr>
              <w:t>Western Europe</w:t>
            </w:r>
          </w:p>
        </w:tc>
        <w:tc>
          <w:tcPr>
            <w:tcW w:w="993" w:type="dxa"/>
            <w:tcBorders>
              <w:top w:val="single" w:sz="12" w:space="0" w:color="auto"/>
              <w:bottom w:val="single" w:sz="12" w:space="0" w:color="auto"/>
            </w:tcBorders>
            <w:shd w:val="clear" w:color="auto" w:fill="auto"/>
            <w:vAlign w:val="center"/>
          </w:tcPr>
          <w:p w14:paraId="4A8990D3" w14:textId="77777777" w:rsidR="0009316F" w:rsidRPr="00261CCE" w:rsidRDefault="0009316F" w:rsidP="00C439AF">
            <w:pPr>
              <w:keepNext/>
              <w:spacing w:after="120"/>
              <w:jc w:val="center"/>
              <w:rPr>
                <w:i/>
                <w:iCs/>
                <w:sz w:val="18"/>
                <w:szCs w:val="18"/>
              </w:rPr>
            </w:pPr>
            <w:r w:rsidRPr="00261CCE">
              <w:rPr>
                <w:i/>
                <w:iCs/>
                <w:sz w:val="18"/>
                <w:szCs w:val="18"/>
              </w:rPr>
              <w:t>Central Asia</w:t>
            </w:r>
          </w:p>
        </w:tc>
        <w:tc>
          <w:tcPr>
            <w:tcW w:w="992" w:type="dxa"/>
            <w:tcBorders>
              <w:top w:val="single" w:sz="12" w:space="0" w:color="auto"/>
              <w:bottom w:val="single" w:sz="12" w:space="0" w:color="auto"/>
            </w:tcBorders>
            <w:shd w:val="clear" w:color="auto" w:fill="auto"/>
            <w:vAlign w:val="center"/>
          </w:tcPr>
          <w:p w14:paraId="1A85CA4B" w14:textId="77777777" w:rsidR="0009316F" w:rsidRPr="00261CCE" w:rsidRDefault="0009316F" w:rsidP="00C439AF">
            <w:pPr>
              <w:keepNext/>
              <w:spacing w:after="120"/>
              <w:jc w:val="center"/>
              <w:rPr>
                <w:i/>
                <w:iCs/>
                <w:sz w:val="18"/>
                <w:szCs w:val="18"/>
              </w:rPr>
            </w:pPr>
            <w:r w:rsidRPr="00261CCE">
              <w:rPr>
                <w:i/>
                <w:iCs/>
                <w:sz w:val="18"/>
                <w:szCs w:val="18"/>
              </w:rPr>
              <w:t>Eastern Europe</w:t>
            </w:r>
          </w:p>
        </w:tc>
        <w:tc>
          <w:tcPr>
            <w:tcW w:w="1134" w:type="dxa"/>
            <w:tcBorders>
              <w:top w:val="single" w:sz="12" w:space="0" w:color="auto"/>
              <w:bottom w:val="single" w:sz="12" w:space="0" w:color="auto"/>
            </w:tcBorders>
            <w:shd w:val="clear" w:color="auto" w:fill="auto"/>
            <w:vAlign w:val="center"/>
          </w:tcPr>
          <w:p w14:paraId="19AE5858" w14:textId="77777777" w:rsidR="0009316F" w:rsidRPr="00261CCE" w:rsidRDefault="0009316F" w:rsidP="00C439AF">
            <w:pPr>
              <w:keepNext/>
              <w:spacing w:after="120"/>
              <w:jc w:val="center"/>
              <w:rPr>
                <w:i/>
                <w:iCs/>
                <w:sz w:val="18"/>
                <w:szCs w:val="18"/>
              </w:rPr>
            </w:pPr>
            <w:r w:rsidRPr="00261CCE">
              <w:rPr>
                <w:i/>
                <w:iCs/>
                <w:sz w:val="18"/>
                <w:szCs w:val="18"/>
              </w:rPr>
              <w:t>South-Eastern Europe</w:t>
            </w:r>
          </w:p>
        </w:tc>
        <w:tc>
          <w:tcPr>
            <w:tcW w:w="1134" w:type="dxa"/>
            <w:tcBorders>
              <w:top w:val="single" w:sz="12" w:space="0" w:color="auto"/>
              <w:bottom w:val="single" w:sz="12" w:space="0" w:color="auto"/>
            </w:tcBorders>
            <w:shd w:val="clear" w:color="auto" w:fill="auto"/>
            <w:vAlign w:val="center"/>
          </w:tcPr>
          <w:p w14:paraId="507FEB2E" w14:textId="77777777" w:rsidR="0009316F" w:rsidRPr="00261CCE" w:rsidRDefault="0009316F" w:rsidP="00C439AF">
            <w:pPr>
              <w:keepNext/>
              <w:spacing w:after="120"/>
              <w:jc w:val="center"/>
              <w:rPr>
                <w:i/>
                <w:iCs/>
                <w:sz w:val="18"/>
                <w:szCs w:val="18"/>
              </w:rPr>
            </w:pPr>
            <w:r w:rsidRPr="00261CCE">
              <w:rPr>
                <w:i/>
                <w:iCs/>
                <w:sz w:val="18"/>
                <w:szCs w:val="18"/>
              </w:rPr>
              <w:t>Pan-European region</w:t>
            </w:r>
          </w:p>
        </w:tc>
      </w:tr>
      <w:tr w:rsidR="0009316F" w:rsidRPr="00261CCE" w14:paraId="1EB2D13B" w14:textId="77777777" w:rsidTr="00C439AF">
        <w:tc>
          <w:tcPr>
            <w:tcW w:w="1637" w:type="dxa"/>
            <w:tcBorders>
              <w:top w:val="single" w:sz="12" w:space="0" w:color="auto"/>
            </w:tcBorders>
            <w:shd w:val="clear" w:color="auto" w:fill="auto"/>
          </w:tcPr>
          <w:p w14:paraId="590BE06B" w14:textId="77777777" w:rsidR="0009316F" w:rsidRPr="00261CCE" w:rsidRDefault="0009316F" w:rsidP="00C439AF">
            <w:pPr>
              <w:spacing w:before="40" w:after="120"/>
              <w:ind w:right="113"/>
              <w:rPr>
                <w:sz w:val="18"/>
                <w:szCs w:val="18"/>
              </w:rPr>
            </w:pPr>
            <w:r w:rsidRPr="00261CCE">
              <w:rPr>
                <w:sz w:val="18"/>
                <w:szCs w:val="18"/>
              </w:rPr>
              <w:t>Drinking water, 2016–2020 (latest rate, percentage)</w:t>
            </w:r>
          </w:p>
        </w:tc>
        <w:tc>
          <w:tcPr>
            <w:tcW w:w="915" w:type="dxa"/>
            <w:tcBorders>
              <w:top w:val="single" w:sz="12" w:space="0" w:color="auto"/>
            </w:tcBorders>
            <w:shd w:val="clear" w:color="auto" w:fill="auto"/>
            <w:vAlign w:val="center"/>
          </w:tcPr>
          <w:p w14:paraId="37AD5F69"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11320043" w14:textId="77777777" w:rsidR="0009316F" w:rsidRPr="00261CCE" w:rsidRDefault="0009316F" w:rsidP="00C439AF">
            <w:pPr>
              <w:spacing w:before="40" w:after="120"/>
              <w:ind w:right="113"/>
              <w:jc w:val="center"/>
            </w:pPr>
            <w:r w:rsidRPr="00261CCE">
              <w:rPr>
                <w:sz w:val="18"/>
                <w:szCs w:val="18"/>
              </w:rPr>
              <w:t>(97.8)</w:t>
            </w:r>
          </w:p>
        </w:tc>
        <w:tc>
          <w:tcPr>
            <w:tcW w:w="850" w:type="dxa"/>
            <w:tcBorders>
              <w:top w:val="single" w:sz="12" w:space="0" w:color="auto"/>
            </w:tcBorders>
            <w:shd w:val="clear" w:color="auto" w:fill="auto"/>
            <w:vAlign w:val="center"/>
          </w:tcPr>
          <w:p w14:paraId="4640B7E5"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FFC000"/>
                <w:sz w:val="28"/>
                <w:szCs w:val="28"/>
              </w:rPr>
              <w:t>à</w:t>
            </w:r>
          </w:p>
          <w:p w14:paraId="3BDBB6D1" w14:textId="77777777" w:rsidR="0009316F" w:rsidRPr="00261CCE" w:rsidRDefault="0009316F" w:rsidP="00C439AF">
            <w:pPr>
              <w:spacing w:before="40" w:after="120"/>
              <w:ind w:right="113"/>
              <w:jc w:val="center"/>
            </w:pPr>
            <w:r w:rsidRPr="00261CCE">
              <w:rPr>
                <w:sz w:val="18"/>
                <w:szCs w:val="18"/>
              </w:rPr>
              <w:t>(99.3)</w:t>
            </w:r>
          </w:p>
        </w:tc>
        <w:tc>
          <w:tcPr>
            <w:tcW w:w="993" w:type="dxa"/>
            <w:tcBorders>
              <w:top w:val="single" w:sz="12" w:space="0" w:color="auto"/>
            </w:tcBorders>
            <w:shd w:val="clear" w:color="auto" w:fill="auto"/>
            <w:vAlign w:val="center"/>
          </w:tcPr>
          <w:p w14:paraId="7701359B"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047278AB" w14:textId="77777777" w:rsidR="0009316F" w:rsidRPr="00261CCE" w:rsidRDefault="0009316F" w:rsidP="00C439AF">
            <w:pPr>
              <w:spacing w:before="40" w:after="120"/>
              <w:ind w:right="113"/>
              <w:jc w:val="center"/>
            </w:pPr>
            <w:r w:rsidRPr="00261CCE">
              <w:rPr>
                <w:sz w:val="18"/>
                <w:szCs w:val="18"/>
              </w:rPr>
              <w:t>(69.6)</w:t>
            </w:r>
          </w:p>
        </w:tc>
        <w:tc>
          <w:tcPr>
            <w:tcW w:w="992" w:type="dxa"/>
            <w:tcBorders>
              <w:top w:val="single" w:sz="12" w:space="0" w:color="auto"/>
            </w:tcBorders>
            <w:shd w:val="clear" w:color="auto" w:fill="auto"/>
            <w:vAlign w:val="center"/>
          </w:tcPr>
          <w:p w14:paraId="368BE740"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303365C2" w14:textId="77777777" w:rsidR="0009316F" w:rsidRPr="00261CCE" w:rsidRDefault="0009316F" w:rsidP="00C439AF">
            <w:pPr>
              <w:spacing w:before="40" w:after="120"/>
              <w:ind w:right="113"/>
              <w:jc w:val="center"/>
            </w:pPr>
            <w:r w:rsidRPr="00261CCE">
              <w:rPr>
                <w:sz w:val="18"/>
                <w:szCs w:val="18"/>
              </w:rPr>
              <w:t>(79.9)</w:t>
            </w:r>
          </w:p>
        </w:tc>
        <w:tc>
          <w:tcPr>
            <w:tcW w:w="1134" w:type="dxa"/>
            <w:tcBorders>
              <w:top w:val="single" w:sz="12" w:space="0" w:color="auto"/>
            </w:tcBorders>
            <w:shd w:val="clear" w:color="auto" w:fill="auto"/>
            <w:vAlign w:val="center"/>
          </w:tcPr>
          <w:p w14:paraId="3ED37F58" w14:textId="77777777" w:rsidR="0009316F" w:rsidRPr="00261CCE" w:rsidRDefault="0009316F" w:rsidP="00C439AF">
            <w:pPr>
              <w:keepNext/>
              <w:spacing w:after="120"/>
              <w:jc w:val="center"/>
              <w:rPr>
                <w:rFonts w:ascii="Wingdings" w:hAnsi="Wingdings" w:cs="Wingdings"/>
                <w:color w:val="FF0000"/>
                <w:sz w:val="28"/>
                <w:szCs w:val="28"/>
              </w:rPr>
            </w:pPr>
            <w:r w:rsidRPr="00261CCE">
              <w:rPr>
                <w:rFonts w:ascii="Wingdings" w:eastAsia="Wingdings" w:hAnsi="Wingdings" w:cs="Wingdings"/>
                <w:color w:val="FF0000"/>
                <w:sz w:val="28"/>
                <w:szCs w:val="28"/>
              </w:rPr>
              <w:t>æ</w:t>
            </w:r>
          </w:p>
          <w:p w14:paraId="52C931D4" w14:textId="77777777" w:rsidR="0009316F" w:rsidRPr="00261CCE" w:rsidRDefault="0009316F" w:rsidP="00C439AF">
            <w:pPr>
              <w:spacing w:before="40" w:after="120"/>
              <w:ind w:right="113"/>
              <w:jc w:val="center"/>
            </w:pPr>
            <w:r w:rsidRPr="00261CCE">
              <w:rPr>
                <w:sz w:val="18"/>
                <w:szCs w:val="18"/>
              </w:rPr>
              <w:t>(78)</w:t>
            </w:r>
          </w:p>
        </w:tc>
        <w:tc>
          <w:tcPr>
            <w:tcW w:w="1134" w:type="dxa"/>
            <w:tcBorders>
              <w:top w:val="single" w:sz="12" w:space="0" w:color="auto"/>
            </w:tcBorders>
            <w:shd w:val="clear" w:color="auto" w:fill="auto"/>
            <w:vAlign w:val="center"/>
          </w:tcPr>
          <w:p w14:paraId="0B896A36"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31BC4514" w14:textId="77777777" w:rsidR="0009316F" w:rsidRPr="00261CCE" w:rsidRDefault="0009316F" w:rsidP="00C439AF">
            <w:pPr>
              <w:spacing w:before="40" w:after="120"/>
              <w:ind w:right="113"/>
              <w:jc w:val="center"/>
            </w:pPr>
            <w:r w:rsidRPr="00261CCE">
              <w:rPr>
                <w:sz w:val="18"/>
                <w:szCs w:val="18"/>
              </w:rPr>
              <w:t>(90.4)</w:t>
            </w:r>
          </w:p>
        </w:tc>
      </w:tr>
      <w:tr w:rsidR="0009316F" w:rsidRPr="00261CCE" w14:paraId="5DFDF307" w14:textId="77777777" w:rsidTr="00C439AF">
        <w:tc>
          <w:tcPr>
            <w:tcW w:w="1637" w:type="dxa"/>
            <w:tcBorders>
              <w:bottom w:val="single" w:sz="12" w:space="0" w:color="auto"/>
            </w:tcBorders>
            <w:shd w:val="clear" w:color="auto" w:fill="auto"/>
          </w:tcPr>
          <w:p w14:paraId="4D118A6B" w14:textId="77777777" w:rsidR="0009316F" w:rsidRPr="00261CCE" w:rsidRDefault="0009316F" w:rsidP="00C439AF">
            <w:pPr>
              <w:spacing w:before="40" w:after="120"/>
              <w:ind w:right="113"/>
              <w:rPr>
                <w:sz w:val="18"/>
                <w:szCs w:val="18"/>
              </w:rPr>
            </w:pPr>
            <w:r w:rsidRPr="00261CCE">
              <w:rPr>
                <w:sz w:val="18"/>
                <w:szCs w:val="18"/>
              </w:rPr>
              <w:t>Sanitation, 2016–2020 (latest rate, percentage)</w:t>
            </w:r>
          </w:p>
        </w:tc>
        <w:tc>
          <w:tcPr>
            <w:tcW w:w="915" w:type="dxa"/>
            <w:tcBorders>
              <w:bottom w:val="single" w:sz="12" w:space="0" w:color="auto"/>
            </w:tcBorders>
            <w:shd w:val="clear" w:color="auto" w:fill="auto"/>
            <w:vAlign w:val="center"/>
          </w:tcPr>
          <w:p w14:paraId="34F7F760"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27D9E2D0" w14:textId="77777777" w:rsidR="0009316F" w:rsidRPr="00261CCE" w:rsidRDefault="0009316F" w:rsidP="00C439AF">
            <w:pPr>
              <w:spacing w:before="40" w:after="120"/>
              <w:ind w:right="113"/>
              <w:jc w:val="center"/>
            </w:pPr>
            <w:r w:rsidRPr="00261CCE">
              <w:rPr>
                <w:sz w:val="18"/>
                <w:szCs w:val="18"/>
              </w:rPr>
              <w:t>(90.5)</w:t>
            </w:r>
          </w:p>
        </w:tc>
        <w:tc>
          <w:tcPr>
            <w:tcW w:w="850" w:type="dxa"/>
            <w:tcBorders>
              <w:bottom w:val="single" w:sz="12" w:space="0" w:color="auto"/>
            </w:tcBorders>
            <w:shd w:val="clear" w:color="auto" w:fill="auto"/>
            <w:vAlign w:val="center"/>
          </w:tcPr>
          <w:p w14:paraId="6CDEFD3B"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41A5BF10" w14:textId="77777777" w:rsidR="0009316F" w:rsidRPr="00261CCE" w:rsidRDefault="0009316F" w:rsidP="00C439AF">
            <w:pPr>
              <w:spacing w:before="40" w:after="120"/>
              <w:ind w:right="113"/>
              <w:jc w:val="center"/>
            </w:pPr>
            <w:r w:rsidRPr="00261CCE">
              <w:rPr>
                <w:sz w:val="18"/>
                <w:szCs w:val="18"/>
              </w:rPr>
              <w:t>(95.9)</w:t>
            </w:r>
          </w:p>
        </w:tc>
        <w:tc>
          <w:tcPr>
            <w:tcW w:w="993" w:type="dxa"/>
            <w:tcBorders>
              <w:bottom w:val="single" w:sz="12" w:space="0" w:color="auto"/>
            </w:tcBorders>
            <w:shd w:val="clear" w:color="auto" w:fill="auto"/>
          </w:tcPr>
          <w:p w14:paraId="0E9FA1C1" w14:textId="77777777" w:rsidR="0009316F" w:rsidRPr="00261CCE" w:rsidRDefault="0009316F" w:rsidP="00C439AF">
            <w:pPr>
              <w:spacing w:before="40" w:after="120"/>
              <w:ind w:right="113"/>
            </w:pPr>
          </w:p>
        </w:tc>
        <w:tc>
          <w:tcPr>
            <w:tcW w:w="992" w:type="dxa"/>
            <w:tcBorders>
              <w:bottom w:val="single" w:sz="12" w:space="0" w:color="auto"/>
            </w:tcBorders>
            <w:shd w:val="clear" w:color="auto" w:fill="auto"/>
            <w:vAlign w:val="center"/>
          </w:tcPr>
          <w:p w14:paraId="1D0D33E5"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1E8C964F" w14:textId="77777777" w:rsidR="0009316F" w:rsidRPr="00261CCE" w:rsidRDefault="0009316F" w:rsidP="00C439AF">
            <w:pPr>
              <w:spacing w:before="40" w:after="120"/>
              <w:ind w:right="113"/>
              <w:jc w:val="center"/>
            </w:pPr>
            <w:r w:rsidRPr="00261CCE">
              <w:rPr>
                <w:sz w:val="18"/>
                <w:szCs w:val="18"/>
              </w:rPr>
              <w:t>(61.5)</w:t>
            </w:r>
          </w:p>
        </w:tc>
        <w:tc>
          <w:tcPr>
            <w:tcW w:w="1134" w:type="dxa"/>
            <w:tcBorders>
              <w:bottom w:val="single" w:sz="12" w:space="0" w:color="auto"/>
            </w:tcBorders>
            <w:shd w:val="clear" w:color="auto" w:fill="auto"/>
            <w:vAlign w:val="center"/>
          </w:tcPr>
          <w:p w14:paraId="126F1E6F"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4BEF319C" w14:textId="77777777" w:rsidR="0009316F" w:rsidRPr="00261CCE" w:rsidRDefault="0009316F" w:rsidP="00C439AF">
            <w:pPr>
              <w:spacing w:before="40" w:after="120"/>
              <w:ind w:right="113"/>
              <w:jc w:val="center"/>
            </w:pPr>
            <w:r w:rsidRPr="00261CCE">
              <w:rPr>
                <w:sz w:val="18"/>
                <w:szCs w:val="18"/>
              </w:rPr>
              <w:t>(70)</w:t>
            </w:r>
          </w:p>
        </w:tc>
        <w:tc>
          <w:tcPr>
            <w:tcW w:w="1134" w:type="dxa"/>
            <w:tcBorders>
              <w:bottom w:val="single" w:sz="12" w:space="0" w:color="auto"/>
            </w:tcBorders>
            <w:shd w:val="clear" w:color="auto" w:fill="auto"/>
            <w:vAlign w:val="center"/>
          </w:tcPr>
          <w:p w14:paraId="324F0ABC"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1D5B98B4" w14:textId="77777777" w:rsidR="0009316F" w:rsidRPr="00261CCE" w:rsidRDefault="0009316F" w:rsidP="00C439AF">
            <w:pPr>
              <w:spacing w:before="40" w:after="120"/>
              <w:ind w:right="113"/>
              <w:jc w:val="center"/>
            </w:pPr>
            <w:r w:rsidRPr="00261CCE">
              <w:rPr>
                <w:sz w:val="18"/>
                <w:szCs w:val="18"/>
              </w:rPr>
              <w:t>(81.4)</w:t>
            </w:r>
          </w:p>
        </w:tc>
      </w:tr>
    </w:tbl>
    <w:p w14:paraId="726131E0" w14:textId="77777777" w:rsidR="0009316F" w:rsidRPr="00261CCE" w:rsidRDefault="0009316F" w:rsidP="0009316F">
      <w:pPr>
        <w:spacing w:before="120" w:after="120"/>
        <w:ind w:left="1134" w:right="1134" w:firstLine="567"/>
        <w:jc w:val="both"/>
        <w:rPr>
          <w:i/>
          <w:iCs/>
          <w:sz w:val="18"/>
          <w:szCs w:val="18"/>
        </w:rPr>
      </w:pPr>
      <w:r w:rsidRPr="00261CCE">
        <w:rPr>
          <w:i/>
          <w:iCs/>
          <w:sz w:val="18"/>
          <w:szCs w:val="18"/>
        </w:rPr>
        <w:t>Source</w:t>
      </w:r>
      <w:r w:rsidRPr="00261CCE">
        <w:rPr>
          <w:sz w:val="18"/>
          <w:szCs w:val="18"/>
        </w:rPr>
        <w:t>:</w:t>
      </w:r>
      <w:r w:rsidRPr="00261CCE">
        <w:rPr>
          <w:i/>
          <w:iCs/>
          <w:sz w:val="18"/>
          <w:szCs w:val="18"/>
        </w:rPr>
        <w:t xml:space="preserve"> </w:t>
      </w:r>
      <w:r w:rsidRPr="00261CCE">
        <w:rPr>
          <w:sz w:val="18"/>
          <w:szCs w:val="18"/>
        </w:rPr>
        <w:t>Global Sustainable Development Goal Indicators Database, accessed 10 February 2022.</w:t>
      </w:r>
    </w:p>
    <w:p w14:paraId="15C35284" w14:textId="77777777" w:rsidR="0009316F" w:rsidRPr="00261CCE" w:rsidRDefault="0009316F" w:rsidP="0009316F">
      <w:pPr>
        <w:spacing w:after="120"/>
        <w:ind w:left="1134" w:right="1134" w:firstLine="567"/>
        <w:jc w:val="both"/>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stable or </w:t>
      </w:r>
      <w:r w:rsidRPr="00261CCE">
        <w:rPr>
          <w:rFonts w:ascii="Wingdings" w:eastAsia="Wingdings" w:hAnsi="Wingdings" w:cs="Wingdings"/>
          <w:color w:val="FF0000"/>
          <w:sz w:val="28"/>
          <w:szCs w:val="28"/>
        </w:rPr>
        <w:t>æ</w:t>
      </w:r>
      <w:r w:rsidRPr="00261CCE">
        <w:t xml:space="preserve"> </w:t>
      </w:r>
      <w:r w:rsidRPr="00261CCE">
        <w:rPr>
          <w:sz w:val="18"/>
          <w:szCs w:val="18"/>
        </w:rPr>
        <w:t>worsening. No data for some countries. Insufficient sanitation data for Central Asia.</w:t>
      </w:r>
    </w:p>
    <w:p w14:paraId="01415A6A" w14:textId="77777777" w:rsidR="0009316F" w:rsidRPr="00261CCE" w:rsidRDefault="0009316F" w:rsidP="0009316F">
      <w:pPr>
        <w:pStyle w:val="H23G"/>
        <w:rPr>
          <w:lang w:eastAsia="zh-TW"/>
        </w:rPr>
      </w:pPr>
      <w:r>
        <w:rPr>
          <w:lang w:eastAsia="zh-TW"/>
        </w:rPr>
        <w:tab/>
      </w:r>
      <w:r w:rsidRPr="00261CCE">
        <w:rPr>
          <w:lang w:eastAsia="zh-TW"/>
        </w:rPr>
        <w:t>5.</w:t>
      </w:r>
      <w:r w:rsidRPr="00261CCE">
        <w:rPr>
          <w:lang w:eastAsia="zh-TW"/>
        </w:rPr>
        <w:tab/>
        <w:t xml:space="preserve">Fresh water – financing </w:t>
      </w:r>
    </w:p>
    <w:p w14:paraId="43363A6C" w14:textId="77777777" w:rsidR="0009316F" w:rsidRPr="00261CCE" w:rsidRDefault="0009316F" w:rsidP="0009316F">
      <w:pPr>
        <w:spacing w:after="120"/>
        <w:ind w:left="1134" w:right="1134"/>
        <w:jc w:val="both"/>
      </w:pPr>
      <w:r w:rsidRPr="00261CCE">
        <w:t>11.</w:t>
      </w:r>
      <w:r w:rsidRPr="00261CCE">
        <w:tab/>
        <w:t>Financing of water-related projects under the international climate agenda has been limited and setting up bankable projects is difficult. Financing models are highly susceptible to technical and governance insufficiencies and have been restrained by local and regional crises during the past decade.</w:t>
      </w:r>
    </w:p>
    <w:p w14:paraId="126C17A2" w14:textId="733A552E" w:rsidR="0009316F" w:rsidRPr="00261CCE" w:rsidRDefault="0009316F" w:rsidP="0009316F">
      <w:pPr>
        <w:spacing w:after="120"/>
        <w:ind w:left="1134" w:right="1134"/>
        <w:jc w:val="both"/>
        <w:rPr>
          <w:b/>
          <w:bCs/>
        </w:rPr>
      </w:pPr>
      <w:r w:rsidRPr="00261CCE">
        <w:rPr>
          <w:b/>
          <w:bCs/>
        </w:rPr>
        <w:t>Recommendation</w:t>
      </w:r>
      <w:r w:rsidR="000C0F47">
        <w:rPr>
          <w:b/>
          <w:bCs/>
        </w:rPr>
        <w:t>s</w:t>
      </w:r>
      <w:r w:rsidRPr="00261CCE">
        <w:rPr>
          <w:b/>
          <w:bCs/>
        </w:rPr>
        <w:t xml:space="preserve">: </w:t>
      </w:r>
    </w:p>
    <w:p w14:paraId="57D34AFC" w14:textId="77777777" w:rsidR="0009316F" w:rsidRPr="00261CCE" w:rsidRDefault="0009316F" w:rsidP="0009316F">
      <w:pPr>
        <w:spacing w:after="120"/>
        <w:ind w:left="1134" w:right="1134"/>
        <w:jc w:val="both"/>
      </w:pPr>
      <w:r w:rsidRPr="00261CCE">
        <w:t>12.</w:t>
      </w:r>
      <w:r w:rsidRPr="00261CCE">
        <w:tab/>
        <w:t xml:space="preserve">Economic sustainability in water resources management should be pursued and innovative financing mechanisms are still required. Natural and human-made infrastructure </w:t>
      </w:r>
      <w:r w:rsidRPr="00261CCE">
        <w:lastRenderedPageBreak/>
        <w:t>development may use several financing tools (for example, fair water pricing, ecological payments, cost recovery and incentives) but a clear legal framework is vital for success.</w:t>
      </w:r>
    </w:p>
    <w:p w14:paraId="5FF09B08" w14:textId="77777777" w:rsidR="0009316F" w:rsidRPr="00261CCE" w:rsidRDefault="0009316F" w:rsidP="0009316F">
      <w:pPr>
        <w:pStyle w:val="H23G"/>
        <w:rPr>
          <w:lang w:eastAsia="zh-TW"/>
        </w:rPr>
      </w:pPr>
      <w:r w:rsidRPr="00261CCE">
        <w:rPr>
          <w:lang w:eastAsia="zh-TW"/>
        </w:rPr>
        <w:tab/>
        <w:t>6.</w:t>
      </w:r>
      <w:r w:rsidRPr="00261CCE">
        <w:rPr>
          <w:lang w:eastAsia="zh-TW"/>
        </w:rPr>
        <w:tab/>
      </w:r>
      <w:r w:rsidRPr="00261CCE">
        <w:rPr>
          <w:lang w:eastAsia="zh-TW"/>
        </w:rPr>
        <w:tab/>
        <w:t>Integrated water resources management and transboundary water cooperation</w:t>
      </w:r>
    </w:p>
    <w:p w14:paraId="2C787AEB" w14:textId="77777777" w:rsidR="0009316F" w:rsidRPr="00261CCE" w:rsidRDefault="0009316F" w:rsidP="0009316F">
      <w:pPr>
        <w:spacing w:after="120"/>
        <w:ind w:left="1134" w:right="1134"/>
        <w:jc w:val="both"/>
      </w:pPr>
      <w:r w:rsidRPr="00261CCE">
        <w:t>13.</w:t>
      </w:r>
      <w:r w:rsidRPr="00261CCE">
        <w:tab/>
        <w:t>Increasing water resources management challenges indicate that fragmented governance practices are unlikely to succeed in the long term. Granularity of information is important for better knowledge and involving public and private actors is becoming fundamental to successful water policy and good decision-making. Transboundary management of shared rivers, lakes and aquifers remains a challenge (see table 6 below). The problem is acute when upstream water abstraction or retention is significant and downstream countries lack alternative water sources. Despite some good examples, cooperation and participatory processes for water protection, allocation and other practical achievements are not implemented as in depth as they could be in the pan-European region.</w:t>
      </w:r>
    </w:p>
    <w:p w14:paraId="25104A43" w14:textId="3FEFF297" w:rsidR="0009316F" w:rsidRPr="00261CCE" w:rsidRDefault="0009316F" w:rsidP="0009316F">
      <w:pPr>
        <w:pStyle w:val="H23G"/>
      </w:pPr>
      <w:r>
        <w:tab/>
      </w:r>
      <w:r>
        <w:tab/>
      </w:r>
      <w:r w:rsidRPr="002C6C70">
        <w:t>Recommendation</w:t>
      </w:r>
      <w:r w:rsidR="000C0F47">
        <w:t>s</w:t>
      </w:r>
      <w:r w:rsidRPr="00261CCE">
        <w:t xml:space="preserve">: </w:t>
      </w:r>
    </w:p>
    <w:p w14:paraId="7CFDAB5A" w14:textId="77777777" w:rsidR="0009316F" w:rsidRPr="00261CCE" w:rsidRDefault="0009316F" w:rsidP="0009316F">
      <w:pPr>
        <w:spacing w:after="120"/>
        <w:ind w:left="1134" w:right="1134"/>
        <w:jc w:val="both"/>
      </w:pPr>
      <w:r w:rsidRPr="00261CCE">
        <w:t>14.</w:t>
      </w:r>
      <w:r w:rsidRPr="00261CCE">
        <w:tab/>
        <w:t>Integrated water resources management should be pursued, involving a balance between human water needs and water’s availability for nature. Water policy should enhance its interdisciplinarity and transdisciplinary character to maximize societal impact. Therefore, the water-food-energy-ecosystems nexus should strengthen an anticipatory policy approach to combining short-term projects with a long-term vision for the pan-European region. Water resources management is more efficient at the basin level and good governance is required to bring success to technology and financing. This integrated approach is even more critical in international rivers, lakes or aquifers where floods or droughts are likely to occur. Co-management should be pursued towards environmental protection and benefit-sharing within an efficient and resilient transboundary cooperation framework in the subregions, as envisaged by the ECE Convention on the Protection and Use of Transboundary Watercourses and International Lakes (Water Convention).</w:t>
      </w:r>
    </w:p>
    <w:p w14:paraId="2AA392AF" w14:textId="77777777" w:rsidR="0009316F" w:rsidRPr="00261CCE" w:rsidRDefault="0009316F" w:rsidP="0009316F">
      <w:pPr>
        <w:keepNext/>
        <w:spacing w:before="240" w:after="120"/>
        <w:ind w:left="1134" w:right="1134"/>
        <w:rPr>
          <w:b/>
          <w:bCs/>
          <w:lang w:eastAsia="zh-TW"/>
        </w:rPr>
      </w:pPr>
      <w:r w:rsidRPr="00261CCE">
        <w:rPr>
          <w:lang w:eastAsia="zh-TW"/>
        </w:rPr>
        <w:t>Table 6</w:t>
      </w:r>
      <w:r w:rsidRPr="00261CCE">
        <w:rPr>
          <w:lang w:eastAsia="zh-TW"/>
        </w:rPr>
        <w:br/>
      </w:r>
      <w:r w:rsidRPr="00261CCE">
        <w:rPr>
          <w:b/>
          <w:bCs/>
          <w:lang w:eastAsia="zh-TW"/>
        </w:rPr>
        <w:t>Overview on status and trends for the selected indicator on transboundary basin area with an operational arrangement</w:t>
      </w:r>
    </w:p>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2"/>
        <w:gridCol w:w="851"/>
        <w:gridCol w:w="850"/>
        <w:gridCol w:w="1134"/>
        <w:gridCol w:w="1418"/>
      </w:tblGrid>
      <w:tr w:rsidR="0009316F" w:rsidRPr="00261CCE" w14:paraId="2E126E27" w14:textId="77777777" w:rsidTr="00C439AF">
        <w:tc>
          <w:tcPr>
            <w:tcW w:w="1560" w:type="dxa"/>
            <w:tcBorders>
              <w:top w:val="single" w:sz="4" w:space="0" w:color="auto"/>
            </w:tcBorders>
            <w:shd w:val="clear" w:color="auto" w:fill="auto"/>
            <w:vAlign w:val="bottom"/>
          </w:tcPr>
          <w:p w14:paraId="603F0822" w14:textId="77777777" w:rsidR="0009316F" w:rsidRPr="00261CCE" w:rsidRDefault="0009316F" w:rsidP="00C439AF">
            <w:pPr>
              <w:spacing w:before="80" w:line="200" w:lineRule="exact"/>
              <w:rPr>
                <w:i/>
                <w:sz w:val="16"/>
              </w:rPr>
            </w:pPr>
          </w:p>
        </w:tc>
        <w:tc>
          <w:tcPr>
            <w:tcW w:w="6095" w:type="dxa"/>
            <w:gridSpan w:val="6"/>
            <w:tcBorders>
              <w:top w:val="single" w:sz="4" w:space="0" w:color="auto"/>
              <w:bottom w:val="single" w:sz="12" w:space="0" w:color="auto"/>
            </w:tcBorders>
            <w:shd w:val="clear" w:color="auto" w:fill="auto"/>
          </w:tcPr>
          <w:p w14:paraId="6D27E1E8" w14:textId="77777777" w:rsidR="0009316F" w:rsidRPr="002C6C70" w:rsidRDefault="0009316F" w:rsidP="00C439AF">
            <w:pPr>
              <w:spacing w:before="80" w:line="200" w:lineRule="exact"/>
              <w:rPr>
                <w:i/>
                <w:iCs/>
                <w:sz w:val="16"/>
                <w:szCs w:val="16"/>
              </w:rPr>
            </w:pPr>
            <w:r w:rsidRPr="002C6C70">
              <w:rPr>
                <w:i/>
                <w:iCs/>
                <w:sz w:val="16"/>
                <w:szCs w:val="16"/>
              </w:rPr>
              <w:t>Percentage of transboundary basin area with an operational arrangement (2020)</w:t>
            </w:r>
          </w:p>
        </w:tc>
      </w:tr>
      <w:tr w:rsidR="0009316F" w:rsidRPr="00261CCE" w14:paraId="4A7AE87E" w14:textId="77777777" w:rsidTr="00C439AF">
        <w:trPr>
          <w:trHeight w:val="604"/>
        </w:trPr>
        <w:tc>
          <w:tcPr>
            <w:tcW w:w="1560" w:type="dxa"/>
            <w:tcBorders>
              <w:bottom w:val="single" w:sz="12" w:space="0" w:color="auto"/>
            </w:tcBorders>
            <w:shd w:val="clear" w:color="auto" w:fill="auto"/>
          </w:tcPr>
          <w:p w14:paraId="1418A52A" w14:textId="77777777" w:rsidR="0009316F" w:rsidRPr="00261CCE" w:rsidRDefault="0009316F" w:rsidP="00C439AF">
            <w:pPr>
              <w:spacing w:before="40" w:after="40" w:line="220" w:lineRule="exact"/>
              <w:rPr>
                <w:sz w:val="18"/>
              </w:rPr>
            </w:pPr>
          </w:p>
        </w:tc>
        <w:tc>
          <w:tcPr>
            <w:tcW w:w="850" w:type="dxa"/>
            <w:tcBorders>
              <w:top w:val="single" w:sz="12" w:space="0" w:color="auto"/>
              <w:bottom w:val="single" w:sz="12" w:space="0" w:color="auto"/>
            </w:tcBorders>
            <w:shd w:val="clear" w:color="auto" w:fill="auto"/>
            <w:vAlign w:val="center"/>
          </w:tcPr>
          <w:p w14:paraId="1084EB51" w14:textId="77777777" w:rsidR="0009316F" w:rsidRPr="00261CCE" w:rsidRDefault="0009316F" w:rsidP="00C439AF">
            <w:pPr>
              <w:spacing w:before="40" w:after="40" w:line="220" w:lineRule="exact"/>
              <w:jc w:val="center"/>
              <w:rPr>
                <w:sz w:val="18"/>
              </w:rPr>
            </w:pPr>
            <w:r w:rsidRPr="00261CCE">
              <w:rPr>
                <w:i/>
                <w:iCs/>
                <w:sz w:val="18"/>
                <w:szCs w:val="18"/>
              </w:rPr>
              <w:t>European Union</w:t>
            </w:r>
          </w:p>
        </w:tc>
        <w:tc>
          <w:tcPr>
            <w:tcW w:w="992" w:type="dxa"/>
            <w:tcBorders>
              <w:top w:val="single" w:sz="12" w:space="0" w:color="auto"/>
              <w:bottom w:val="single" w:sz="12" w:space="0" w:color="auto"/>
            </w:tcBorders>
            <w:shd w:val="clear" w:color="auto" w:fill="auto"/>
            <w:vAlign w:val="center"/>
          </w:tcPr>
          <w:p w14:paraId="56443899" w14:textId="77777777" w:rsidR="0009316F" w:rsidRPr="00261CCE" w:rsidRDefault="0009316F" w:rsidP="00C439AF">
            <w:pPr>
              <w:spacing w:before="40" w:after="40" w:line="220" w:lineRule="exact"/>
              <w:jc w:val="center"/>
              <w:rPr>
                <w:sz w:val="18"/>
              </w:rPr>
            </w:pPr>
            <w:r w:rsidRPr="00261CCE">
              <w:rPr>
                <w:i/>
                <w:iCs/>
                <w:sz w:val="18"/>
                <w:szCs w:val="18"/>
              </w:rPr>
              <w:t>Western Europe</w:t>
            </w:r>
          </w:p>
        </w:tc>
        <w:tc>
          <w:tcPr>
            <w:tcW w:w="851" w:type="dxa"/>
            <w:tcBorders>
              <w:top w:val="single" w:sz="12" w:space="0" w:color="auto"/>
              <w:bottom w:val="single" w:sz="12" w:space="0" w:color="auto"/>
            </w:tcBorders>
            <w:shd w:val="clear" w:color="auto" w:fill="auto"/>
            <w:vAlign w:val="center"/>
          </w:tcPr>
          <w:p w14:paraId="123C2BF0" w14:textId="77777777" w:rsidR="0009316F" w:rsidRPr="00261CCE" w:rsidRDefault="0009316F" w:rsidP="00C439AF">
            <w:pPr>
              <w:spacing w:before="40" w:after="40" w:line="220" w:lineRule="exact"/>
              <w:jc w:val="center"/>
              <w:rPr>
                <w:sz w:val="18"/>
              </w:rPr>
            </w:pPr>
            <w:r w:rsidRPr="00261CCE">
              <w:rPr>
                <w:i/>
                <w:iCs/>
                <w:sz w:val="18"/>
                <w:szCs w:val="18"/>
              </w:rPr>
              <w:t>Central Asia</w:t>
            </w:r>
          </w:p>
        </w:tc>
        <w:tc>
          <w:tcPr>
            <w:tcW w:w="850" w:type="dxa"/>
            <w:tcBorders>
              <w:top w:val="single" w:sz="12" w:space="0" w:color="auto"/>
              <w:bottom w:val="single" w:sz="12" w:space="0" w:color="auto"/>
            </w:tcBorders>
            <w:shd w:val="clear" w:color="auto" w:fill="auto"/>
            <w:vAlign w:val="center"/>
          </w:tcPr>
          <w:p w14:paraId="296E4E4F" w14:textId="77777777" w:rsidR="0009316F" w:rsidRPr="00261CCE" w:rsidRDefault="0009316F" w:rsidP="00C439AF">
            <w:pPr>
              <w:spacing w:before="40" w:after="40" w:line="220" w:lineRule="exact"/>
              <w:jc w:val="center"/>
              <w:rPr>
                <w:sz w:val="18"/>
              </w:rPr>
            </w:pPr>
            <w:r w:rsidRPr="00261CCE">
              <w:rPr>
                <w:i/>
                <w:iCs/>
                <w:sz w:val="18"/>
                <w:szCs w:val="18"/>
              </w:rPr>
              <w:t>Eastern Europe</w:t>
            </w:r>
          </w:p>
        </w:tc>
        <w:tc>
          <w:tcPr>
            <w:tcW w:w="1134" w:type="dxa"/>
            <w:tcBorders>
              <w:top w:val="single" w:sz="12" w:space="0" w:color="auto"/>
              <w:bottom w:val="single" w:sz="12" w:space="0" w:color="auto"/>
            </w:tcBorders>
            <w:shd w:val="clear" w:color="auto" w:fill="auto"/>
            <w:vAlign w:val="center"/>
          </w:tcPr>
          <w:p w14:paraId="07BF086A" w14:textId="77777777" w:rsidR="0009316F" w:rsidRPr="00261CCE" w:rsidRDefault="0009316F" w:rsidP="00C439AF">
            <w:pPr>
              <w:spacing w:before="40" w:after="40" w:line="220" w:lineRule="exact"/>
              <w:jc w:val="center"/>
              <w:rPr>
                <w:sz w:val="18"/>
              </w:rPr>
            </w:pPr>
            <w:r w:rsidRPr="00261CCE">
              <w:rPr>
                <w:i/>
                <w:iCs/>
                <w:sz w:val="18"/>
                <w:szCs w:val="18"/>
              </w:rPr>
              <w:t>South-Eastern Europe</w:t>
            </w:r>
          </w:p>
        </w:tc>
        <w:tc>
          <w:tcPr>
            <w:tcW w:w="1418" w:type="dxa"/>
            <w:tcBorders>
              <w:top w:val="single" w:sz="12" w:space="0" w:color="auto"/>
              <w:bottom w:val="single" w:sz="12" w:space="0" w:color="auto"/>
            </w:tcBorders>
            <w:shd w:val="clear" w:color="auto" w:fill="auto"/>
            <w:vAlign w:val="center"/>
          </w:tcPr>
          <w:p w14:paraId="46B28A92" w14:textId="77777777" w:rsidR="0009316F" w:rsidRPr="00261CCE" w:rsidRDefault="0009316F" w:rsidP="00C439AF">
            <w:pPr>
              <w:spacing w:before="40" w:after="40" w:line="220" w:lineRule="exact"/>
              <w:jc w:val="center"/>
              <w:rPr>
                <w:sz w:val="18"/>
              </w:rPr>
            </w:pPr>
            <w:r w:rsidRPr="00261CCE">
              <w:rPr>
                <w:i/>
                <w:iCs/>
                <w:sz w:val="18"/>
                <w:szCs w:val="18"/>
              </w:rPr>
              <w:t>Pan-European region</w:t>
            </w:r>
          </w:p>
        </w:tc>
      </w:tr>
      <w:tr w:rsidR="0009316F" w:rsidRPr="00261CCE" w14:paraId="3FC67FF6" w14:textId="77777777" w:rsidTr="00C439AF">
        <w:trPr>
          <w:trHeight w:val="361"/>
        </w:trPr>
        <w:tc>
          <w:tcPr>
            <w:tcW w:w="1560" w:type="dxa"/>
            <w:tcBorders>
              <w:top w:val="single" w:sz="12" w:space="0" w:color="auto"/>
            </w:tcBorders>
            <w:shd w:val="clear" w:color="auto" w:fill="auto"/>
          </w:tcPr>
          <w:p w14:paraId="6836015D" w14:textId="77777777" w:rsidR="0009316F" w:rsidRPr="00261CCE" w:rsidRDefault="0009316F" w:rsidP="00C439AF">
            <w:pPr>
              <w:spacing w:before="40" w:after="40" w:line="220" w:lineRule="exact"/>
              <w:rPr>
                <w:sz w:val="18"/>
              </w:rPr>
            </w:pPr>
            <w:r w:rsidRPr="00261CCE">
              <w:rPr>
                <w:sz w:val="18"/>
                <w:szCs w:val="18"/>
              </w:rPr>
              <w:t>For rivers and lakes</w:t>
            </w:r>
          </w:p>
        </w:tc>
        <w:tc>
          <w:tcPr>
            <w:tcW w:w="850" w:type="dxa"/>
            <w:tcBorders>
              <w:top w:val="single" w:sz="12" w:space="0" w:color="auto"/>
            </w:tcBorders>
            <w:shd w:val="clear" w:color="auto" w:fill="auto"/>
            <w:vAlign w:val="center"/>
          </w:tcPr>
          <w:p w14:paraId="7ADF3395" w14:textId="77777777" w:rsidR="0009316F" w:rsidRPr="00261CCE" w:rsidRDefault="0009316F" w:rsidP="00C439AF">
            <w:pPr>
              <w:spacing w:before="40" w:after="40" w:line="220" w:lineRule="exact"/>
              <w:jc w:val="center"/>
              <w:rPr>
                <w:sz w:val="18"/>
              </w:rPr>
            </w:pPr>
            <w:r>
              <w:rPr>
                <w:sz w:val="18"/>
                <w:szCs w:val="18"/>
              </w:rPr>
              <w:t>89</w:t>
            </w:r>
          </w:p>
        </w:tc>
        <w:tc>
          <w:tcPr>
            <w:tcW w:w="992" w:type="dxa"/>
            <w:tcBorders>
              <w:top w:val="single" w:sz="4" w:space="0" w:color="auto"/>
              <w:left w:val="nil"/>
              <w:right w:val="nil"/>
            </w:tcBorders>
            <w:shd w:val="clear" w:color="auto" w:fill="auto"/>
            <w:vAlign w:val="center"/>
          </w:tcPr>
          <w:p w14:paraId="5FCAE36C" w14:textId="77777777" w:rsidR="0009316F" w:rsidRPr="00261CCE" w:rsidRDefault="0009316F" w:rsidP="00C439AF">
            <w:pPr>
              <w:spacing w:before="40" w:after="40" w:line="220" w:lineRule="exact"/>
              <w:jc w:val="center"/>
              <w:rPr>
                <w:sz w:val="18"/>
              </w:rPr>
            </w:pPr>
            <w:r>
              <w:rPr>
                <w:sz w:val="18"/>
                <w:szCs w:val="18"/>
              </w:rPr>
              <w:t>84</w:t>
            </w:r>
          </w:p>
        </w:tc>
        <w:tc>
          <w:tcPr>
            <w:tcW w:w="851" w:type="dxa"/>
            <w:tcBorders>
              <w:top w:val="single" w:sz="4" w:space="0" w:color="auto"/>
              <w:left w:val="nil"/>
              <w:right w:val="nil"/>
            </w:tcBorders>
            <w:shd w:val="clear" w:color="auto" w:fill="auto"/>
            <w:vAlign w:val="center"/>
          </w:tcPr>
          <w:p w14:paraId="05838FAA" w14:textId="77777777" w:rsidR="0009316F" w:rsidRPr="00261CCE" w:rsidRDefault="0009316F" w:rsidP="00C439AF">
            <w:pPr>
              <w:spacing w:before="40" w:after="40" w:line="220" w:lineRule="exact"/>
              <w:jc w:val="center"/>
              <w:rPr>
                <w:sz w:val="18"/>
              </w:rPr>
            </w:pPr>
            <w:r>
              <w:rPr>
                <w:sz w:val="18"/>
                <w:szCs w:val="18"/>
              </w:rPr>
              <w:t>91</w:t>
            </w:r>
          </w:p>
        </w:tc>
        <w:tc>
          <w:tcPr>
            <w:tcW w:w="850" w:type="dxa"/>
            <w:tcBorders>
              <w:top w:val="single" w:sz="4" w:space="0" w:color="auto"/>
              <w:left w:val="nil"/>
              <w:right w:val="nil"/>
            </w:tcBorders>
            <w:shd w:val="clear" w:color="auto" w:fill="auto"/>
            <w:vAlign w:val="center"/>
          </w:tcPr>
          <w:p w14:paraId="232B0FAD" w14:textId="77777777" w:rsidR="0009316F" w:rsidRPr="00261CCE" w:rsidRDefault="0009316F" w:rsidP="00C439AF">
            <w:pPr>
              <w:spacing w:before="40" w:after="40" w:line="220" w:lineRule="exact"/>
              <w:jc w:val="center"/>
              <w:rPr>
                <w:sz w:val="18"/>
              </w:rPr>
            </w:pPr>
            <w:r>
              <w:rPr>
                <w:sz w:val="18"/>
                <w:szCs w:val="18"/>
              </w:rPr>
              <w:t>55</w:t>
            </w:r>
          </w:p>
        </w:tc>
        <w:tc>
          <w:tcPr>
            <w:tcW w:w="1134" w:type="dxa"/>
            <w:tcBorders>
              <w:top w:val="single" w:sz="4" w:space="0" w:color="auto"/>
              <w:left w:val="nil"/>
              <w:right w:val="nil"/>
            </w:tcBorders>
            <w:shd w:val="clear" w:color="auto" w:fill="auto"/>
            <w:vAlign w:val="center"/>
          </w:tcPr>
          <w:p w14:paraId="46052C0D" w14:textId="77777777" w:rsidR="0009316F" w:rsidRPr="00261CCE" w:rsidRDefault="0009316F" w:rsidP="00C439AF">
            <w:pPr>
              <w:spacing w:before="40" w:after="40" w:line="220" w:lineRule="exact"/>
              <w:jc w:val="center"/>
              <w:rPr>
                <w:sz w:val="18"/>
              </w:rPr>
            </w:pPr>
            <w:r>
              <w:rPr>
                <w:sz w:val="18"/>
                <w:szCs w:val="18"/>
              </w:rPr>
              <w:t>80</w:t>
            </w:r>
          </w:p>
        </w:tc>
        <w:tc>
          <w:tcPr>
            <w:tcW w:w="1418" w:type="dxa"/>
            <w:tcBorders>
              <w:top w:val="single" w:sz="4" w:space="0" w:color="auto"/>
              <w:left w:val="nil"/>
              <w:right w:val="nil"/>
            </w:tcBorders>
            <w:shd w:val="clear" w:color="auto" w:fill="auto"/>
            <w:vAlign w:val="center"/>
          </w:tcPr>
          <w:p w14:paraId="4F77BE25" w14:textId="77777777" w:rsidR="0009316F" w:rsidRPr="00261CCE" w:rsidRDefault="0009316F" w:rsidP="00C439AF">
            <w:pPr>
              <w:spacing w:before="40" w:after="40" w:line="220" w:lineRule="exact"/>
              <w:jc w:val="center"/>
              <w:rPr>
                <w:sz w:val="18"/>
              </w:rPr>
            </w:pPr>
            <w:r>
              <w:rPr>
                <w:sz w:val="18"/>
                <w:szCs w:val="18"/>
              </w:rPr>
              <w:t>83</w:t>
            </w:r>
          </w:p>
        </w:tc>
      </w:tr>
      <w:tr w:rsidR="0009316F" w:rsidRPr="00261CCE" w14:paraId="2E1B7727" w14:textId="77777777" w:rsidTr="00C439AF">
        <w:trPr>
          <w:trHeight w:val="364"/>
        </w:trPr>
        <w:tc>
          <w:tcPr>
            <w:tcW w:w="1560" w:type="dxa"/>
            <w:tcBorders>
              <w:bottom w:val="single" w:sz="12" w:space="0" w:color="auto"/>
            </w:tcBorders>
            <w:shd w:val="clear" w:color="auto" w:fill="auto"/>
          </w:tcPr>
          <w:p w14:paraId="3D27D722" w14:textId="77777777" w:rsidR="0009316F" w:rsidRPr="00261CCE" w:rsidRDefault="0009316F" w:rsidP="00C439AF">
            <w:pPr>
              <w:spacing w:before="40" w:after="40" w:line="220" w:lineRule="exact"/>
              <w:rPr>
                <w:sz w:val="18"/>
              </w:rPr>
            </w:pPr>
            <w:r w:rsidRPr="00261CCE">
              <w:rPr>
                <w:sz w:val="18"/>
                <w:szCs w:val="18"/>
              </w:rPr>
              <w:t xml:space="preserve">For aquifers </w:t>
            </w:r>
          </w:p>
        </w:tc>
        <w:tc>
          <w:tcPr>
            <w:tcW w:w="850" w:type="dxa"/>
            <w:tcBorders>
              <w:bottom w:val="single" w:sz="12" w:space="0" w:color="auto"/>
            </w:tcBorders>
            <w:shd w:val="clear" w:color="auto" w:fill="auto"/>
            <w:vAlign w:val="center"/>
          </w:tcPr>
          <w:p w14:paraId="3C751A3B" w14:textId="77777777" w:rsidR="0009316F" w:rsidRPr="00261CCE" w:rsidRDefault="0009316F" w:rsidP="00C439AF">
            <w:pPr>
              <w:spacing w:before="40" w:after="40" w:line="360" w:lineRule="auto"/>
              <w:jc w:val="center"/>
              <w:rPr>
                <w:sz w:val="18"/>
              </w:rPr>
            </w:pPr>
            <w:r>
              <w:rPr>
                <w:sz w:val="18"/>
                <w:szCs w:val="18"/>
              </w:rPr>
              <w:t>90</w:t>
            </w:r>
          </w:p>
        </w:tc>
        <w:tc>
          <w:tcPr>
            <w:tcW w:w="992" w:type="dxa"/>
            <w:tcBorders>
              <w:left w:val="nil"/>
              <w:bottom w:val="single" w:sz="12" w:space="0" w:color="auto"/>
              <w:right w:val="nil"/>
            </w:tcBorders>
            <w:shd w:val="clear" w:color="auto" w:fill="auto"/>
            <w:vAlign w:val="center"/>
          </w:tcPr>
          <w:p w14:paraId="737C0BF8" w14:textId="77777777" w:rsidR="0009316F" w:rsidRPr="00261CCE" w:rsidRDefault="0009316F" w:rsidP="00C439AF">
            <w:pPr>
              <w:spacing w:before="40" w:after="40" w:line="360" w:lineRule="auto"/>
              <w:jc w:val="center"/>
              <w:rPr>
                <w:sz w:val="18"/>
              </w:rPr>
            </w:pPr>
            <w:r>
              <w:rPr>
                <w:sz w:val="18"/>
                <w:szCs w:val="18"/>
              </w:rPr>
              <w:t>59</w:t>
            </w:r>
          </w:p>
        </w:tc>
        <w:tc>
          <w:tcPr>
            <w:tcW w:w="851" w:type="dxa"/>
            <w:tcBorders>
              <w:left w:val="nil"/>
              <w:bottom w:val="single" w:sz="12" w:space="0" w:color="auto"/>
              <w:right w:val="nil"/>
            </w:tcBorders>
            <w:shd w:val="clear" w:color="auto" w:fill="auto"/>
            <w:vAlign w:val="center"/>
          </w:tcPr>
          <w:p w14:paraId="78E40E52" w14:textId="77777777" w:rsidR="0009316F" w:rsidRPr="00261CCE" w:rsidRDefault="0009316F" w:rsidP="00C439AF">
            <w:pPr>
              <w:spacing w:before="40" w:after="40" w:line="360" w:lineRule="auto"/>
              <w:jc w:val="center"/>
              <w:rPr>
                <w:sz w:val="18"/>
              </w:rPr>
            </w:pPr>
            <w:r w:rsidRPr="00261CCE">
              <w:rPr>
                <w:sz w:val="18"/>
                <w:szCs w:val="18"/>
              </w:rPr>
              <w:t>..</w:t>
            </w:r>
          </w:p>
        </w:tc>
        <w:tc>
          <w:tcPr>
            <w:tcW w:w="850" w:type="dxa"/>
            <w:tcBorders>
              <w:left w:val="nil"/>
              <w:bottom w:val="single" w:sz="12" w:space="0" w:color="auto"/>
              <w:right w:val="nil"/>
            </w:tcBorders>
            <w:shd w:val="clear" w:color="auto" w:fill="auto"/>
            <w:vAlign w:val="center"/>
          </w:tcPr>
          <w:p w14:paraId="600648E9" w14:textId="77777777" w:rsidR="0009316F" w:rsidRPr="00261CCE" w:rsidRDefault="0009316F" w:rsidP="00C439AF">
            <w:pPr>
              <w:spacing w:before="40" w:after="40" w:line="360" w:lineRule="auto"/>
              <w:jc w:val="center"/>
              <w:rPr>
                <w:sz w:val="18"/>
              </w:rPr>
            </w:pPr>
            <w:r>
              <w:rPr>
                <w:sz w:val="18"/>
                <w:szCs w:val="18"/>
              </w:rPr>
              <w:t>73</w:t>
            </w:r>
          </w:p>
        </w:tc>
        <w:tc>
          <w:tcPr>
            <w:tcW w:w="1134" w:type="dxa"/>
            <w:tcBorders>
              <w:left w:val="nil"/>
              <w:bottom w:val="single" w:sz="12" w:space="0" w:color="auto"/>
              <w:right w:val="nil"/>
            </w:tcBorders>
            <w:shd w:val="clear" w:color="auto" w:fill="auto"/>
            <w:vAlign w:val="center"/>
          </w:tcPr>
          <w:p w14:paraId="6C280CDA" w14:textId="77777777" w:rsidR="0009316F" w:rsidRPr="00261CCE" w:rsidRDefault="0009316F" w:rsidP="00C439AF">
            <w:pPr>
              <w:spacing w:before="40" w:after="40" w:line="360" w:lineRule="auto"/>
              <w:jc w:val="center"/>
              <w:rPr>
                <w:sz w:val="18"/>
              </w:rPr>
            </w:pPr>
            <w:r>
              <w:rPr>
                <w:sz w:val="18"/>
                <w:szCs w:val="18"/>
              </w:rPr>
              <w:t>51</w:t>
            </w:r>
          </w:p>
        </w:tc>
        <w:tc>
          <w:tcPr>
            <w:tcW w:w="1418" w:type="dxa"/>
            <w:tcBorders>
              <w:left w:val="nil"/>
              <w:bottom w:val="single" w:sz="12" w:space="0" w:color="auto"/>
              <w:right w:val="nil"/>
            </w:tcBorders>
            <w:shd w:val="clear" w:color="auto" w:fill="auto"/>
            <w:vAlign w:val="center"/>
          </w:tcPr>
          <w:p w14:paraId="5781EAD9" w14:textId="77777777" w:rsidR="0009316F" w:rsidRPr="00261CCE" w:rsidRDefault="0009316F" w:rsidP="00C439AF">
            <w:pPr>
              <w:spacing w:before="40" w:after="40" w:line="360" w:lineRule="auto"/>
              <w:jc w:val="center"/>
              <w:rPr>
                <w:sz w:val="18"/>
              </w:rPr>
            </w:pPr>
            <w:r>
              <w:rPr>
                <w:sz w:val="18"/>
                <w:szCs w:val="18"/>
              </w:rPr>
              <w:t>43</w:t>
            </w:r>
          </w:p>
        </w:tc>
      </w:tr>
    </w:tbl>
    <w:p w14:paraId="6EB6D15B" w14:textId="77777777" w:rsidR="0009316F" w:rsidRPr="00261CCE" w:rsidRDefault="0009316F" w:rsidP="0009316F">
      <w:pPr>
        <w:spacing w:before="120" w:after="120"/>
        <w:ind w:left="1134" w:right="1134" w:firstLine="567"/>
        <w:jc w:val="both"/>
        <w:rPr>
          <w:i/>
          <w:iCs/>
          <w:sz w:val="18"/>
          <w:szCs w:val="18"/>
          <w:lang w:eastAsia="zh-TW"/>
        </w:rPr>
      </w:pPr>
      <w:r w:rsidRPr="00261CCE">
        <w:rPr>
          <w:i/>
          <w:iCs/>
          <w:sz w:val="18"/>
          <w:szCs w:val="18"/>
          <w:lang w:eastAsia="zh-TW"/>
        </w:rPr>
        <w:t>Source</w:t>
      </w:r>
      <w:r w:rsidRPr="00261CCE">
        <w:rPr>
          <w:sz w:val="18"/>
          <w:szCs w:val="18"/>
          <w:lang w:eastAsia="zh-TW"/>
        </w:rPr>
        <w:t>:</w:t>
      </w:r>
      <w:r w:rsidRPr="00261CCE">
        <w:rPr>
          <w:i/>
          <w:iCs/>
          <w:sz w:val="18"/>
          <w:szCs w:val="18"/>
          <w:lang w:eastAsia="zh-TW"/>
        </w:rPr>
        <w:t xml:space="preserve"> </w:t>
      </w:r>
      <w:r w:rsidRPr="00261CCE">
        <w:rPr>
          <w:sz w:val="18"/>
          <w:szCs w:val="18"/>
        </w:rPr>
        <w:t>Global Sustainable Development Goal Indicators Database.</w:t>
      </w:r>
    </w:p>
    <w:p w14:paraId="768A871E" w14:textId="77777777" w:rsidR="0009316F" w:rsidRPr="00F91996" w:rsidRDefault="0009316F" w:rsidP="0009316F">
      <w:pPr>
        <w:spacing w:after="120"/>
        <w:ind w:left="1134" w:right="1134" w:firstLine="567"/>
        <w:jc w:val="both"/>
        <w:rPr>
          <w:sz w:val="18"/>
          <w:szCs w:val="18"/>
          <w:lang w:val="en-US"/>
        </w:rPr>
      </w:pPr>
      <w:r w:rsidRPr="00261CCE">
        <w:rPr>
          <w:i/>
          <w:iCs/>
          <w:sz w:val="18"/>
          <w:szCs w:val="18"/>
          <w:lang w:eastAsia="zh-TW"/>
        </w:rPr>
        <w:t>Note</w:t>
      </w:r>
      <w:r w:rsidRPr="00261CCE">
        <w:rPr>
          <w:sz w:val="18"/>
          <w:szCs w:val="18"/>
          <w:lang w:eastAsia="zh-TW"/>
        </w:rPr>
        <w:t xml:space="preserve">: </w:t>
      </w:r>
      <w:r w:rsidRPr="00261CCE">
        <w:rPr>
          <w:sz w:val="18"/>
          <w:szCs w:val="18"/>
        </w:rPr>
        <w:t xml:space="preserve">Based on the available information, with no data produced for several countries. </w:t>
      </w:r>
      <w:r w:rsidRPr="00261CCE">
        <w:rPr>
          <w:sz w:val="18"/>
          <w:szCs w:val="18"/>
          <w:lang w:eastAsia="zh-TW"/>
        </w:rPr>
        <w:t>No reported arrangements for aquifers in Central Asia.</w:t>
      </w:r>
      <w:r w:rsidRPr="00261CCE">
        <w:rPr>
          <w:sz w:val="18"/>
          <w:szCs w:val="18"/>
        </w:rPr>
        <w:t xml:space="preserve"> </w:t>
      </w:r>
    </w:p>
    <w:p w14:paraId="3B6E7BDD" w14:textId="29F06FC5" w:rsidR="0009316F" w:rsidRPr="00261CCE" w:rsidRDefault="0009316F" w:rsidP="0009316F">
      <w:pPr>
        <w:keepNext/>
        <w:keepLines/>
        <w:tabs>
          <w:tab w:val="right" w:pos="851"/>
        </w:tabs>
        <w:spacing w:before="240" w:after="120" w:line="240" w:lineRule="exact"/>
        <w:ind w:left="1134" w:right="1134" w:hanging="1134"/>
        <w:rPr>
          <w:b/>
          <w:lang w:eastAsia="zh-TW"/>
        </w:rPr>
      </w:pPr>
      <w:r w:rsidRPr="00261CCE">
        <w:rPr>
          <w:b/>
          <w:lang w:eastAsia="zh-TW"/>
        </w:rPr>
        <w:tab/>
        <w:t>7.</w:t>
      </w:r>
      <w:r w:rsidRPr="00261CCE">
        <w:rPr>
          <w:b/>
          <w:lang w:eastAsia="zh-TW"/>
        </w:rPr>
        <w:tab/>
      </w:r>
      <w:r w:rsidR="00596CEE">
        <w:rPr>
          <w:b/>
          <w:lang w:eastAsia="zh-TW"/>
        </w:rPr>
        <w:t xml:space="preserve">Biodiversity and </w:t>
      </w:r>
      <w:r w:rsidR="005A0D22">
        <w:rPr>
          <w:b/>
          <w:lang w:eastAsia="zh-TW"/>
        </w:rPr>
        <w:t>e</w:t>
      </w:r>
      <w:r w:rsidRPr="00261CCE">
        <w:rPr>
          <w:b/>
          <w:lang w:eastAsia="zh-TW"/>
        </w:rPr>
        <w:t>cosystems</w:t>
      </w:r>
    </w:p>
    <w:p w14:paraId="1892B1C4" w14:textId="15BF326E" w:rsidR="0009316F" w:rsidRPr="00261CCE" w:rsidRDefault="0009316F" w:rsidP="0009316F">
      <w:pPr>
        <w:spacing w:before="120" w:after="120"/>
        <w:ind w:left="1134" w:right="1134"/>
        <w:jc w:val="both"/>
        <w:rPr>
          <w:lang w:eastAsia="zh-TW"/>
        </w:rPr>
      </w:pPr>
      <w:r w:rsidRPr="00261CCE">
        <w:rPr>
          <w:lang w:eastAsia="zh-TW"/>
        </w:rPr>
        <w:t>15.</w:t>
      </w:r>
      <w:r w:rsidRPr="00261CCE">
        <w:rPr>
          <w:lang w:eastAsia="zh-TW"/>
        </w:rPr>
        <w:tab/>
      </w:r>
      <w:r w:rsidRPr="00465CD1">
        <w:rPr>
          <w:rStyle w:val="SingleTxtGChar"/>
        </w:rPr>
        <w:t xml:space="preserve">The status of ecosystems remains a cause for concern, with no evidence of a clear positive trend. Only a minority of the habitats assessed at the European Union level have a good conservation status, and the overall picture is likely to be similar in the remaining region. The relative share of the particularly biodiversity-rich primary and intact forests has been stable at a very low level over the same period. Forest fragmentation remains an important pressure. There are significant variations in the proportion of sustainable fish stocks. The Mediterranean Sea and the Black Sea remain highly overfished, whereas signs of recovery of fish stocks can be observed in the North‑East Atlantic Ocean and the Baltic Sea as a result of improved management decisions (see also point 10 below). Land continues to be taken for </w:t>
      </w:r>
      <w:r w:rsidR="00CE1D0B">
        <w:rPr>
          <w:rStyle w:val="SingleTxtGChar"/>
        </w:rPr>
        <w:t>urban and</w:t>
      </w:r>
      <w:r w:rsidRPr="00465CD1">
        <w:rPr>
          <w:rStyle w:val="SingleTxtGChar"/>
        </w:rPr>
        <w:t xml:space="preserve"> infrastructure development in the pan-European region, but the rate of land take has decreased in most European Environment Agency member countries and even reversed in Eastern Europe</w:t>
      </w:r>
      <w:r w:rsidRPr="00F91996">
        <w:rPr>
          <w:lang w:eastAsia="zh-TW"/>
        </w:rPr>
        <w:t xml:space="preserve"> (see table 7 below; see also point 9 below)</w:t>
      </w:r>
      <w:r>
        <w:rPr>
          <w:lang w:eastAsia="zh-TW"/>
        </w:rPr>
        <w:t>.</w:t>
      </w:r>
    </w:p>
    <w:p w14:paraId="4EBA75EF" w14:textId="64663444" w:rsidR="0009316F" w:rsidRPr="00261CCE" w:rsidRDefault="0009316F" w:rsidP="0009316F">
      <w:pPr>
        <w:pStyle w:val="H23G"/>
      </w:pPr>
      <w:r w:rsidRPr="00261CCE">
        <w:lastRenderedPageBreak/>
        <w:tab/>
      </w:r>
      <w:r w:rsidRPr="00261CCE">
        <w:tab/>
      </w:r>
      <w:r w:rsidRPr="00465CD1">
        <w:t>Recommendation</w:t>
      </w:r>
      <w:r w:rsidR="000C0F47">
        <w:t>s</w:t>
      </w:r>
      <w:r w:rsidRPr="00261CCE">
        <w:t xml:space="preserve">: </w:t>
      </w:r>
    </w:p>
    <w:p w14:paraId="624B2179" w14:textId="0417A3C7" w:rsidR="0009316F" w:rsidRPr="00261CCE" w:rsidRDefault="0009316F" w:rsidP="0009316F">
      <w:pPr>
        <w:keepNext/>
        <w:spacing w:after="120"/>
        <w:ind w:left="1134" w:right="1134"/>
        <w:jc w:val="both"/>
      </w:pPr>
      <w:r w:rsidRPr="00261CCE">
        <w:rPr>
          <w:lang w:eastAsia="zh-TW"/>
        </w:rPr>
        <w:t>16.</w:t>
      </w:r>
      <w:r w:rsidRPr="00261CCE">
        <w:rPr>
          <w:lang w:eastAsia="zh-TW"/>
        </w:rPr>
        <w:tab/>
      </w:r>
      <w:r w:rsidRPr="00261CCE">
        <w:t xml:space="preserve">Governments in the pan-European region should establish the conditions for medium- and long-term sustainable mobilization of funds for biodiversity and other environmental components, both by accelerating the use of available regional and global funds and mechanisms and by creating national financial instruments. Governments should also eliminate or reform subsidies and incentives for products and activities that lead to biodiversity loss, and develop effective positive incentives to mainstream biodiversity conservation across sectors and policies, promoting biodiversity conservation and sustainable use of resources. Furthermore, Governments should ensure that trends in forest area remain positive and take additional measures to safeguard the remaining primary and intact forests and their ecological functionality, for example, by promoting management standards aimed at preserving high-conservation value forest and by preventing forest fragmentation and thus enhancing forest connectivity. </w:t>
      </w:r>
      <w:r w:rsidR="006A7B7D">
        <w:t>It</w:t>
      </w:r>
      <w:r w:rsidR="00353C4B" w:rsidRPr="00353C4B">
        <w:t xml:space="preserve"> is essential that there are sufficient areas with natural quality</w:t>
      </w:r>
      <w:r w:rsidR="006A7B7D">
        <w:t>, not limited to protected areas,</w:t>
      </w:r>
      <w:r w:rsidR="00353C4B" w:rsidRPr="00353C4B">
        <w:t xml:space="preserve"> to ensure functional biodiversity (area-based biodiversity conservation).</w:t>
      </w:r>
    </w:p>
    <w:p w14:paraId="774FFC04" w14:textId="77777777" w:rsidR="0009316F" w:rsidRPr="00261CCE" w:rsidRDefault="0009316F" w:rsidP="0009316F">
      <w:pPr>
        <w:keepNext/>
        <w:spacing w:before="240" w:after="120"/>
        <w:ind w:left="1134" w:right="1134"/>
        <w:rPr>
          <w:b/>
          <w:bCs/>
          <w:lang w:eastAsia="zh-TW"/>
        </w:rPr>
      </w:pPr>
      <w:r w:rsidRPr="00261CCE">
        <w:rPr>
          <w:lang w:eastAsia="zh-TW"/>
        </w:rPr>
        <w:t>Table 7</w:t>
      </w:r>
      <w:r w:rsidRPr="00261CCE">
        <w:rPr>
          <w:lang w:eastAsia="zh-TW"/>
        </w:rPr>
        <w:br/>
      </w:r>
      <w:r w:rsidRPr="00261CCE">
        <w:rPr>
          <w:b/>
          <w:bCs/>
          <w:lang w:eastAsia="zh-TW"/>
        </w:rPr>
        <w:t>Overview on status and trends for the selected indicator on land take</w:t>
      </w:r>
    </w:p>
    <w:tbl>
      <w:tblPr>
        <w:tblStyle w:val="TableGrid"/>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850"/>
        <w:gridCol w:w="851"/>
        <w:gridCol w:w="992"/>
        <w:gridCol w:w="851"/>
        <w:gridCol w:w="1134"/>
      </w:tblGrid>
      <w:tr w:rsidR="004519D3" w:rsidRPr="00261CCE" w14:paraId="5EA7F3DF" w14:textId="77777777" w:rsidTr="002A197E">
        <w:trPr>
          <w:tblHeader/>
        </w:trPr>
        <w:tc>
          <w:tcPr>
            <w:tcW w:w="1560" w:type="dxa"/>
            <w:tcBorders>
              <w:top w:val="single" w:sz="4" w:space="0" w:color="auto"/>
              <w:bottom w:val="single" w:sz="12" w:space="0" w:color="auto"/>
            </w:tcBorders>
            <w:shd w:val="clear" w:color="auto" w:fill="auto"/>
          </w:tcPr>
          <w:p w14:paraId="6DEFF4BA" w14:textId="430BDD2D" w:rsidR="004519D3" w:rsidRPr="00261CCE" w:rsidRDefault="004519D3" w:rsidP="00D81730">
            <w:pPr>
              <w:suppressAutoHyphens w:val="0"/>
              <w:spacing w:before="80" w:line="200" w:lineRule="exact"/>
              <w:rPr>
                <w:rFonts w:eastAsia="PMingLiU"/>
                <w:i/>
                <w:sz w:val="16"/>
              </w:rPr>
            </w:pPr>
            <w:r w:rsidRPr="00261CCE">
              <w:rPr>
                <w:i/>
                <w:iCs/>
                <w:sz w:val="18"/>
                <w:szCs w:val="18"/>
              </w:rPr>
              <w:t>Indicator</w:t>
            </w:r>
          </w:p>
        </w:tc>
        <w:tc>
          <w:tcPr>
            <w:tcW w:w="1559" w:type="dxa"/>
            <w:tcBorders>
              <w:top w:val="single" w:sz="4" w:space="0" w:color="auto"/>
              <w:bottom w:val="single" w:sz="12" w:space="0" w:color="auto"/>
            </w:tcBorders>
            <w:shd w:val="clear" w:color="auto" w:fill="auto"/>
          </w:tcPr>
          <w:p w14:paraId="298C6A86" w14:textId="77777777" w:rsidR="004519D3" w:rsidRPr="00AB7838" w:rsidRDefault="004519D3" w:rsidP="00D81730">
            <w:pPr>
              <w:suppressAutoHyphens w:val="0"/>
              <w:spacing w:before="80" w:line="200" w:lineRule="exact"/>
              <w:jc w:val="center"/>
              <w:rPr>
                <w:rFonts w:eastAsia="PMingLiU"/>
                <w:i/>
                <w:sz w:val="18"/>
                <w:szCs w:val="18"/>
              </w:rPr>
            </w:pPr>
            <w:r w:rsidRPr="00AB7838">
              <w:rPr>
                <w:i/>
                <w:iCs/>
                <w:sz w:val="18"/>
                <w:szCs w:val="18"/>
              </w:rPr>
              <w:t>European Union</w:t>
            </w:r>
          </w:p>
        </w:tc>
        <w:tc>
          <w:tcPr>
            <w:tcW w:w="850" w:type="dxa"/>
            <w:tcBorders>
              <w:top w:val="single" w:sz="4" w:space="0" w:color="auto"/>
              <w:bottom w:val="single" w:sz="12" w:space="0" w:color="auto"/>
            </w:tcBorders>
            <w:shd w:val="clear" w:color="auto" w:fill="auto"/>
          </w:tcPr>
          <w:p w14:paraId="0ADF6056" w14:textId="77777777" w:rsidR="004519D3" w:rsidRPr="00AB7838" w:rsidRDefault="004519D3" w:rsidP="00D81730">
            <w:pPr>
              <w:suppressAutoHyphens w:val="0"/>
              <w:spacing w:before="80" w:line="200" w:lineRule="exact"/>
              <w:jc w:val="center"/>
              <w:rPr>
                <w:rFonts w:eastAsia="PMingLiU"/>
                <w:i/>
                <w:sz w:val="18"/>
                <w:szCs w:val="18"/>
              </w:rPr>
            </w:pPr>
            <w:r w:rsidRPr="00AB7838">
              <w:rPr>
                <w:i/>
                <w:iCs/>
                <w:sz w:val="18"/>
                <w:szCs w:val="18"/>
              </w:rPr>
              <w:t>Western Europe</w:t>
            </w:r>
          </w:p>
        </w:tc>
        <w:tc>
          <w:tcPr>
            <w:tcW w:w="851" w:type="dxa"/>
            <w:tcBorders>
              <w:top w:val="single" w:sz="4" w:space="0" w:color="auto"/>
              <w:bottom w:val="single" w:sz="12" w:space="0" w:color="auto"/>
            </w:tcBorders>
            <w:shd w:val="clear" w:color="auto" w:fill="auto"/>
          </w:tcPr>
          <w:p w14:paraId="367F8BEC" w14:textId="77777777" w:rsidR="004519D3" w:rsidRPr="00AB7838" w:rsidRDefault="004519D3" w:rsidP="00D81730">
            <w:pPr>
              <w:suppressAutoHyphens w:val="0"/>
              <w:spacing w:before="80" w:line="200" w:lineRule="exact"/>
              <w:jc w:val="center"/>
              <w:rPr>
                <w:i/>
                <w:iCs/>
                <w:sz w:val="18"/>
                <w:szCs w:val="18"/>
              </w:rPr>
            </w:pPr>
            <w:r w:rsidRPr="00AB7838">
              <w:rPr>
                <w:i/>
                <w:iCs/>
                <w:sz w:val="18"/>
                <w:szCs w:val="18"/>
              </w:rPr>
              <w:t>Central</w:t>
            </w:r>
          </w:p>
          <w:p w14:paraId="5627BDEA" w14:textId="77777777" w:rsidR="004519D3" w:rsidRPr="00AB7838" w:rsidRDefault="004519D3" w:rsidP="00D81730">
            <w:pPr>
              <w:suppressAutoHyphens w:val="0"/>
              <w:spacing w:line="200" w:lineRule="exact"/>
              <w:jc w:val="center"/>
              <w:rPr>
                <w:i/>
                <w:iCs/>
                <w:sz w:val="18"/>
                <w:szCs w:val="18"/>
              </w:rPr>
            </w:pPr>
            <w:r w:rsidRPr="00AB7838">
              <w:rPr>
                <w:i/>
                <w:iCs/>
                <w:sz w:val="18"/>
                <w:szCs w:val="18"/>
              </w:rPr>
              <w:t>Asia</w:t>
            </w:r>
          </w:p>
        </w:tc>
        <w:tc>
          <w:tcPr>
            <w:tcW w:w="992" w:type="dxa"/>
            <w:tcBorders>
              <w:top w:val="single" w:sz="4" w:space="0" w:color="auto"/>
              <w:bottom w:val="single" w:sz="12" w:space="0" w:color="auto"/>
            </w:tcBorders>
            <w:shd w:val="clear" w:color="auto" w:fill="auto"/>
          </w:tcPr>
          <w:p w14:paraId="4DADAA66" w14:textId="77777777" w:rsidR="004519D3" w:rsidRPr="00AB7838" w:rsidRDefault="004519D3" w:rsidP="00D81730">
            <w:pPr>
              <w:suppressAutoHyphens w:val="0"/>
              <w:spacing w:before="80" w:line="200" w:lineRule="exact"/>
              <w:jc w:val="center"/>
              <w:rPr>
                <w:rFonts w:eastAsia="PMingLiU"/>
                <w:i/>
                <w:sz w:val="18"/>
                <w:szCs w:val="18"/>
              </w:rPr>
            </w:pPr>
            <w:r w:rsidRPr="00AB7838">
              <w:rPr>
                <w:i/>
                <w:iCs/>
                <w:sz w:val="18"/>
                <w:szCs w:val="18"/>
              </w:rPr>
              <w:t>Eastern Europe</w:t>
            </w:r>
          </w:p>
        </w:tc>
        <w:tc>
          <w:tcPr>
            <w:tcW w:w="851" w:type="dxa"/>
            <w:tcBorders>
              <w:top w:val="single" w:sz="4" w:space="0" w:color="auto"/>
              <w:bottom w:val="single" w:sz="12" w:space="0" w:color="auto"/>
            </w:tcBorders>
            <w:shd w:val="clear" w:color="auto" w:fill="auto"/>
          </w:tcPr>
          <w:p w14:paraId="1A6EF694" w14:textId="77777777" w:rsidR="004519D3" w:rsidRPr="00AB7838" w:rsidRDefault="004519D3" w:rsidP="00D81730">
            <w:pPr>
              <w:suppressAutoHyphens w:val="0"/>
              <w:spacing w:before="80" w:line="200" w:lineRule="exact"/>
              <w:jc w:val="center"/>
              <w:rPr>
                <w:rFonts w:eastAsia="PMingLiU"/>
                <w:i/>
                <w:sz w:val="18"/>
                <w:szCs w:val="18"/>
              </w:rPr>
            </w:pPr>
            <w:r w:rsidRPr="00AB7838">
              <w:rPr>
                <w:i/>
                <w:iCs/>
                <w:sz w:val="18"/>
                <w:szCs w:val="18"/>
              </w:rPr>
              <w:t>South-Eastern Europe</w:t>
            </w:r>
          </w:p>
        </w:tc>
        <w:tc>
          <w:tcPr>
            <w:tcW w:w="1134" w:type="dxa"/>
            <w:tcBorders>
              <w:top w:val="single" w:sz="4" w:space="0" w:color="auto"/>
              <w:bottom w:val="single" w:sz="12" w:space="0" w:color="auto"/>
            </w:tcBorders>
            <w:shd w:val="clear" w:color="auto" w:fill="auto"/>
          </w:tcPr>
          <w:p w14:paraId="2DF65858" w14:textId="77777777" w:rsidR="004519D3" w:rsidRPr="00AB7838" w:rsidRDefault="004519D3" w:rsidP="00D81730">
            <w:pPr>
              <w:suppressAutoHyphens w:val="0"/>
              <w:spacing w:before="80" w:line="200" w:lineRule="exact"/>
              <w:jc w:val="center"/>
              <w:rPr>
                <w:rFonts w:eastAsia="PMingLiU"/>
                <w:i/>
                <w:sz w:val="18"/>
                <w:szCs w:val="18"/>
              </w:rPr>
            </w:pPr>
            <w:r w:rsidRPr="00AB7838">
              <w:rPr>
                <w:i/>
                <w:iCs/>
                <w:sz w:val="18"/>
                <w:szCs w:val="18"/>
              </w:rPr>
              <w:t>Pan-European region</w:t>
            </w:r>
          </w:p>
        </w:tc>
      </w:tr>
      <w:tr w:rsidR="004519D3" w:rsidRPr="00261CCE" w14:paraId="04BC935D" w14:textId="77777777" w:rsidTr="002A197E">
        <w:trPr>
          <w:trHeight w:hRule="exact" w:val="82"/>
          <w:tblHeader/>
        </w:trPr>
        <w:tc>
          <w:tcPr>
            <w:tcW w:w="1560" w:type="dxa"/>
            <w:tcBorders>
              <w:top w:val="single" w:sz="12" w:space="0" w:color="auto"/>
            </w:tcBorders>
            <w:shd w:val="clear" w:color="auto" w:fill="auto"/>
          </w:tcPr>
          <w:p w14:paraId="6C438BEC" w14:textId="77777777" w:rsidR="004519D3" w:rsidRPr="00261CCE" w:rsidRDefault="004519D3" w:rsidP="00D81730">
            <w:pPr>
              <w:suppressAutoHyphens w:val="0"/>
              <w:spacing w:before="40" w:after="40" w:line="220" w:lineRule="exact"/>
              <w:rPr>
                <w:sz w:val="18"/>
                <w:szCs w:val="18"/>
              </w:rPr>
            </w:pPr>
          </w:p>
        </w:tc>
        <w:tc>
          <w:tcPr>
            <w:tcW w:w="1559" w:type="dxa"/>
            <w:tcBorders>
              <w:top w:val="single" w:sz="12" w:space="0" w:color="auto"/>
            </w:tcBorders>
            <w:shd w:val="clear" w:color="auto" w:fill="auto"/>
            <w:vAlign w:val="center"/>
          </w:tcPr>
          <w:p w14:paraId="765BDBBC" w14:textId="77777777" w:rsidR="004519D3" w:rsidRPr="00261CCE" w:rsidRDefault="004519D3" w:rsidP="00D81730">
            <w:pPr>
              <w:suppressAutoHyphens w:val="0"/>
              <w:spacing w:before="40" w:after="40" w:line="220" w:lineRule="exact"/>
              <w:jc w:val="center"/>
              <w:rPr>
                <w:rFonts w:ascii="Wingdings" w:hAnsi="Wingdings" w:cs="Wingdings"/>
                <w:color w:val="00B050"/>
                <w:sz w:val="28"/>
                <w:szCs w:val="28"/>
              </w:rPr>
            </w:pPr>
          </w:p>
        </w:tc>
        <w:tc>
          <w:tcPr>
            <w:tcW w:w="850" w:type="dxa"/>
            <w:tcBorders>
              <w:top w:val="single" w:sz="12" w:space="0" w:color="auto"/>
            </w:tcBorders>
            <w:shd w:val="clear" w:color="auto" w:fill="auto"/>
            <w:vAlign w:val="center"/>
          </w:tcPr>
          <w:p w14:paraId="3D09B701" w14:textId="77777777" w:rsidR="004519D3" w:rsidRPr="00261CCE" w:rsidRDefault="004519D3" w:rsidP="00D81730">
            <w:pPr>
              <w:suppressAutoHyphens w:val="0"/>
              <w:spacing w:before="40" w:after="40" w:line="220" w:lineRule="exact"/>
              <w:jc w:val="center"/>
              <w:rPr>
                <w:rFonts w:ascii="Wingdings" w:hAnsi="Wingdings" w:cs="Wingdings"/>
                <w:color w:val="FF0000"/>
                <w:sz w:val="28"/>
                <w:szCs w:val="28"/>
              </w:rPr>
            </w:pPr>
          </w:p>
        </w:tc>
        <w:tc>
          <w:tcPr>
            <w:tcW w:w="851" w:type="dxa"/>
            <w:tcBorders>
              <w:top w:val="single" w:sz="12" w:space="0" w:color="auto"/>
            </w:tcBorders>
            <w:shd w:val="clear" w:color="auto" w:fill="auto"/>
            <w:vAlign w:val="center"/>
          </w:tcPr>
          <w:p w14:paraId="38BE7702" w14:textId="77777777" w:rsidR="004519D3" w:rsidRPr="00261CCE" w:rsidRDefault="004519D3" w:rsidP="00D81730">
            <w:pPr>
              <w:suppressAutoHyphens w:val="0"/>
              <w:spacing w:before="40" w:after="40" w:line="220" w:lineRule="exact"/>
              <w:jc w:val="center"/>
              <w:rPr>
                <w:rFonts w:ascii="Wingdings" w:hAnsi="Wingdings" w:cs="Wingdings"/>
                <w:color w:val="00B050"/>
                <w:sz w:val="28"/>
                <w:szCs w:val="28"/>
              </w:rPr>
            </w:pPr>
          </w:p>
        </w:tc>
        <w:tc>
          <w:tcPr>
            <w:tcW w:w="992" w:type="dxa"/>
            <w:tcBorders>
              <w:top w:val="single" w:sz="12" w:space="0" w:color="auto"/>
            </w:tcBorders>
            <w:shd w:val="clear" w:color="auto" w:fill="auto"/>
            <w:vAlign w:val="center"/>
          </w:tcPr>
          <w:p w14:paraId="7DE852CD" w14:textId="77777777" w:rsidR="004519D3" w:rsidRPr="00261CCE" w:rsidRDefault="004519D3" w:rsidP="00D81730">
            <w:pPr>
              <w:suppressAutoHyphens w:val="0"/>
              <w:spacing w:before="40" w:after="40" w:line="220" w:lineRule="exact"/>
              <w:jc w:val="center"/>
              <w:rPr>
                <w:rFonts w:ascii="Wingdings" w:hAnsi="Wingdings" w:cs="Wingdings"/>
                <w:color w:val="00B050"/>
                <w:sz w:val="28"/>
                <w:szCs w:val="28"/>
              </w:rPr>
            </w:pPr>
          </w:p>
        </w:tc>
        <w:tc>
          <w:tcPr>
            <w:tcW w:w="851" w:type="dxa"/>
            <w:tcBorders>
              <w:top w:val="single" w:sz="12" w:space="0" w:color="auto"/>
            </w:tcBorders>
            <w:shd w:val="clear" w:color="auto" w:fill="auto"/>
            <w:vAlign w:val="center"/>
          </w:tcPr>
          <w:p w14:paraId="54BD82D3" w14:textId="77777777" w:rsidR="004519D3" w:rsidRPr="00261CCE" w:rsidRDefault="004519D3" w:rsidP="00D81730">
            <w:pPr>
              <w:suppressAutoHyphens w:val="0"/>
              <w:spacing w:before="40" w:after="40" w:line="220" w:lineRule="exact"/>
              <w:jc w:val="center"/>
              <w:rPr>
                <w:rFonts w:ascii="Wingdings" w:hAnsi="Wingdings" w:cs="Wingdings"/>
                <w:color w:val="FF0000"/>
                <w:sz w:val="28"/>
                <w:szCs w:val="28"/>
              </w:rPr>
            </w:pPr>
          </w:p>
        </w:tc>
        <w:tc>
          <w:tcPr>
            <w:tcW w:w="1134" w:type="dxa"/>
            <w:tcBorders>
              <w:top w:val="single" w:sz="12" w:space="0" w:color="auto"/>
            </w:tcBorders>
            <w:shd w:val="clear" w:color="auto" w:fill="auto"/>
            <w:vAlign w:val="center"/>
          </w:tcPr>
          <w:p w14:paraId="0550B857" w14:textId="77777777" w:rsidR="004519D3" w:rsidRPr="00261CCE" w:rsidRDefault="004519D3" w:rsidP="00D81730">
            <w:pPr>
              <w:suppressAutoHyphens w:val="0"/>
              <w:spacing w:before="40" w:after="40" w:line="220" w:lineRule="exact"/>
              <w:jc w:val="center"/>
              <w:rPr>
                <w:rFonts w:ascii="Wingdings" w:hAnsi="Wingdings" w:cs="Wingdings"/>
                <w:color w:val="00B050"/>
                <w:sz w:val="28"/>
                <w:szCs w:val="28"/>
              </w:rPr>
            </w:pPr>
          </w:p>
        </w:tc>
      </w:tr>
      <w:tr w:rsidR="004519D3" w:rsidRPr="00261CCE" w14:paraId="06739B77" w14:textId="77777777" w:rsidTr="002A197E">
        <w:trPr>
          <w:trHeight w:val="790"/>
        </w:trPr>
        <w:tc>
          <w:tcPr>
            <w:tcW w:w="1560" w:type="dxa"/>
            <w:shd w:val="clear" w:color="auto" w:fill="auto"/>
          </w:tcPr>
          <w:p w14:paraId="649B0A18" w14:textId="2ADF159C" w:rsidR="004519D3" w:rsidRDefault="004519D3" w:rsidP="00D81730">
            <w:pPr>
              <w:suppressAutoHyphens w:val="0"/>
              <w:spacing w:before="40" w:after="40" w:line="220" w:lineRule="exact"/>
              <w:rPr>
                <w:sz w:val="18"/>
                <w:szCs w:val="18"/>
              </w:rPr>
            </w:pPr>
            <w:r w:rsidRPr="00261CCE">
              <w:rPr>
                <w:sz w:val="18"/>
                <w:szCs w:val="18"/>
              </w:rPr>
              <w:t xml:space="preserve">Land take (2012–2018), as proportion of total land area </w:t>
            </w:r>
          </w:p>
          <w:p w14:paraId="516DFB46" w14:textId="06040E08" w:rsidR="004519D3" w:rsidRPr="00261CCE" w:rsidRDefault="004519D3" w:rsidP="00D81730">
            <w:pPr>
              <w:suppressAutoHyphens w:val="0"/>
              <w:spacing w:before="40" w:after="40" w:line="220" w:lineRule="exact"/>
              <w:rPr>
                <w:rFonts w:eastAsia="PMingLiU"/>
                <w:sz w:val="18"/>
              </w:rPr>
            </w:pPr>
            <w:r>
              <w:rPr>
                <w:sz w:val="18"/>
                <w:szCs w:val="18"/>
              </w:rPr>
              <w:t>(</w:t>
            </w:r>
            <w:r w:rsidRPr="00261CCE">
              <w:rPr>
                <w:sz w:val="18"/>
                <w:szCs w:val="18"/>
              </w:rPr>
              <w:t>percentage)</w:t>
            </w:r>
          </w:p>
        </w:tc>
        <w:tc>
          <w:tcPr>
            <w:tcW w:w="1559" w:type="dxa"/>
            <w:shd w:val="clear" w:color="auto" w:fill="auto"/>
            <w:vAlign w:val="center"/>
          </w:tcPr>
          <w:p w14:paraId="49453AB3" w14:textId="5ADE0882" w:rsidR="00AB7FDD" w:rsidRDefault="004519D3" w:rsidP="00DE4092">
            <w:pPr>
              <w:suppressAutoHyphens w:val="0"/>
              <w:spacing w:before="40" w:after="40" w:line="220" w:lineRule="exact"/>
              <w:jc w:val="center"/>
              <w:rPr>
                <w:sz w:val="18"/>
                <w:szCs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p>
          <w:p w14:paraId="034D97E2" w14:textId="02887D8D" w:rsidR="004519D3" w:rsidRPr="00261CCE" w:rsidRDefault="004519D3" w:rsidP="00D81730">
            <w:pPr>
              <w:suppressAutoHyphens w:val="0"/>
              <w:spacing w:before="40" w:after="40" w:line="220" w:lineRule="exact"/>
              <w:jc w:val="center"/>
              <w:rPr>
                <w:rFonts w:eastAsia="PMingLiU"/>
                <w:sz w:val="18"/>
              </w:rPr>
            </w:pPr>
            <w:r w:rsidRPr="00261CCE">
              <w:rPr>
                <w:sz w:val="18"/>
                <w:szCs w:val="18"/>
              </w:rPr>
              <w:t>(0.05)</w:t>
            </w:r>
          </w:p>
        </w:tc>
        <w:tc>
          <w:tcPr>
            <w:tcW w:w="850" w:type="dxa"/>
            <w:shd w:val="clear" w:color="auto" w:fill="auto"/>
            <w:vAlign w:val="center"/>
          </w:tcPr>
          <w:p w14:paraId="484BB0CB" w14:textId="12F941B7" w:rsidR="00AB7FDD" w:rsidRDefault="004519D3" w:rsidP="00DE4092">
            <w:pPr>
              <w:suppressAutoHyphens w:val="0"/>
              <w:spacing w:before="40" w:after="40" w:line="220" w:lineRule="exact"/>
              <w:jc w:val="center"/>
              <w:rPr>
                <w:sz w:val="18"/>
                <w:szCs w:val="18"/>
              </w:rPr>
            </w:pPr>
            <w:r w:rsidRPr="00261CCE">
              <w:rPr>
                <w:rFonts w:ascii="Wingdings" w:eastAsia="Wingdings" w:hAnsi="Wingdings" w:cs="Wingdings"/>
                <w:color w:val="FF0000"/>
                <w:sz w:val="28"/>
                <w:szCs w:val="28"/>
              </w:rPr>
              <w:t>æ</w:t>
            </w:r>
            <w:r w:rsidRPr="00261CCE">
              <w:rPr>
                <w:color w:val="00B050"/>
                <w:sz w:val="28"/>
                <w:szCs w:val="28"/>
              </w:rPr>
              <w:t xml:space="preserve"> </w:t>
            </w:r>
            <w:r w:rsidRPr="00261CCE">
              <w:rPr>
                <w:rFonts w:ascii="Wingdings" w:eastAsia="Wingdings" w:hAnsi="Wingdings" w:cs="Wingdings"/>
                <w:color w:val="FF0000"/>
                <w:sz w:val="28"/>
                <w:szCs w:val="28"/>
              </w:rPr>
              <w:t>L</w:t>
            </w:r>
          </w:p>
          <w:p w14:paraId="52C85859" w14:textId="7FE9D2DF" w:rsidR="004519D3" w:rsidRPr="00261CCE" w:rsidRDefault="004519D3" w:rsidP="00D81730">
            <w:pPr>
              <w:suppressAutoHyphens w:val="0"/>
              <w:spacing w:before="40" w:after="40" w:line="220" w:lineRule="exact"/>
              <w:jc w:val="center"/>
              <w:rPr>
                <w:rFonts w:eastAsia="PMingLiU"/>
                <w:sz w:val="18"/>
              </w:rPr>
            </w:pPr>
            <w:r w:rsidRPr="00261CCE">
              <w:rPr>
                <w:sz w:val="18"/>
                <w:szCs w:val="18"/>
              </w:rPr>
              <w:t>(0.06)</w:t>
            </w:r>
          </w:p>
        </w:tc>
        <w:tc>
          <w:tcPr>
            <w:tcW w:w="851" w:type="dxa"/>
            <w:shd w:val="clear" w:color="auto" w:fill="auto"/>
            <w:vAlign w:val="center"/>
          </w:tcPr>
          <w:p w14:paraId="5757B171" w14:textId="77777777" w:rsidR="00AB7FDD" w:rsidRDefault="004519D3" w:rsidP="00DE4092">
            <w:pPr>
              <w:suppressAutoHyphens w:val="0"/>
              <w:spacing w:before="40" w:after="40" w:line="220" w:lineRule="exact"/>
              <w:jc w:val="center"/>
              <w:rPr>
                <w:rFonts w:ascii="Wingdings" w:eastAsia="Wingdings" w:hAnsi="Wingdings" w:cs="Wingdings"/>
                <w:color w:val="FF0000"/>
                <w:sz w:val="28"/>
                <w:szCs w:val="2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p>
          <w:p w14:paraId="6AF21E5B" w14:textId="5A3F2194" w:rsidR="004519D3" w:rsidRPr="00261CCE" w:rsidRDefault="004519D3" w:rsidP="00D81730">
            <w:pPr>
              <w:suppressAutoHyphens w:val="0"/>
              <w:spacing w:before="40" w:after="40" w:line="220" w:lineRule="exact"/>
              <w:jc w:val="center"/>
              <w:rPr>
                <w:rFonts w:eastAsia="PMingLiU"/>
                <w:sz w:val="18"/>
              </w:rPr>
            </w:pPr>
            <w:r w:rsidRPr="00261CCE">
              <w:rPr>
                <w:sz w:val="18"/>
                <w:szCs w:val="18"/>
              </w:rPr>
              <w:t>(0.15)</w:t>
            </w:r>
          </w:p>
        </w:tc>
        <w:tc>
          <w:tcPr>
            <w:tcW w:w="992" w:type="dxa"/>
            <w:shd w:val="clear" w:color="auto" w:fill="auto"/>
            <w:vAlign w:val="center"/>
          </w:tcPr>
          <w:p w14:paraId="408A97D5" w14:textId="77777777" w:rsidR="00AB7FDD" w:rsidRDefault="004519D3" w:rsidP="00DE4092">
            <w:pPr>
              <w:suppressAutoHyphens w:val="0"/>
              <w:spacing w:before="40" w:after="40" w:line="220" w:lineRule="exact"/>
              <w:jc w:val="center"/>
              <w:rPr>
                <w:rFonts w:ascii="Wingdings" w:eastAsia="Wingdings" w:hAnsi="Wingdings" w:cs="Wingdings"/>
                <w:color w:val="00B050"/>
                <w:sz w:val="28"/>
                <w:szCs w:val="28"/>
              </w:rPr>
            </w:pPr>
            <w:r w:rsidRPr="00261CCE">
              <w:rPr>
                <w:rFonts w:ascii="Wingdings" w:eastAsia="Wingdings" w:hAnsi="Wingdings" w:cs="Wingdings"/>
                <w:color w:val="00B050"/>
                <w:sz w:val="28"/>
                <w:szCs w:val="28"/>
              </w:rPr>
              <w:t>ä</w:t>
            </w:r>
            <w:r w:rsidRPr="00261CCE">
              <w:t xml:space="preserve"> </w:t>
            </w:r>
            <w:r w:rsidRPr="00261CCE">
              <w:rPr>
                <w:rFonts w:ascii="Wingdings" w:eastAsia="Wingdings" w:hAnsi="Wingdings" w:cs="Wingdings"/>
                <w:color w:val="00B050"/>
                <w:sz w:val="28"/>
                <w:szCs w:val="28"/>
              </w:rPr>
              <w:t>J</w:t>
            </w:r>
          </w:p>
          <w:p w14:paraId="65837999" w14:textId="1FEFA8B0" w:rsidR="004519D3" w:rsidRPr="00261CCE" w:rsidRDefault="004519D3" w:rsidP="00D81730">
            <w:pPr>
              <w:suppressAutoHyphens w:val="0"/>
              <w:spacing w:before="40" w:after="40" w:line="220" w:lineRule="exact"/>
              <w:jc w:val="center"/>
              <w:rPr>
                <w:rFonts w:eastAsia="PMingLiU"/>
                <w:sz w:val="18"/>
              </w:rPr>
            </w:pPr>
            <w:r w:rsidRPr="00261CCE">
              <w:rPr>
                <w:sz w:val="18"/>
                <w:szCs w:val="18"/>
              </w:rPr>
              <w:t>(-0.23)</w:t>
            </w:r>
          </w:p>
        </w:tc>
        <w:tc>
          <w:tcPr>
            <w:tcW w:w="851" w:type="dxa"/>
            <w:shd w:val="clear" w:color="auto" w:fill="auto"/>
            <w:vAlign w:val="center"/>
          </w:tcPr>
          <w:p w14:paraId="4DDE839B" w14:textId="77777777" w:rsidR="00AB7FDD" w:rsidRDefault="004519D3" w:rsidP="00DE4092">
            <w:pPr>
              <w:suppressAutoHyphens w:val="0"/>
              <w:spacing w:before="40" w:after="40" w:line="220" w:lineRule="exact"/>
              <w:jc w:val="center"/>
              <w:rPr>
                <w:rFonts w:ascii="Wingdings" w:eastAsia="Wingdings" w:hAnsi="Wingdings" w:cs="Wingdings"/>
                <w:color w:val="FF0000"/>
                <w:sz w:val="28"/>
                <w:szCs w:val="28"/>
              </w:rPr>
            </w:pPr>
            <w:r w:rsidRPr="00261CCE">
              <w:rPr>
                <w:rFonts w:ascii="Wingdings" w:eastAsia="Wingdings" w:hAnsi="Wingdings" w:cs="Wingdings"/>
                <w:color w:val="FF0000"/>
                <w:sz w:val="28"/>
                <w:szCs w:val="28"/>
              </w:rPr>
              <w:t>æ</w:t>
            </w:r>
            <w:r w:rsidRPr="00261CCE">
              <w:rPr>
                <w:color w:val="00B050"/>
                <w:sz w:val="28"/>
                <w:szCs w:val="28"/>
              </w:rPr>
              <w:t xml:space="preserve"> </w:t>
            </w:r>
            <w:r w:rsidRPr="00261CCE">
              <w:rPr>
                <w:rFonts w:ascii="Wingdings" w:eastAsia="Wingdings" w:hAnsi="Wingdings" w:cs="Wingdings"/>
                <w:color w:val="FF0000"/>
                <w:sz w:val="28"/>
                <w:szCs w:val="28"/>
              </w:rPr>
              <w:t>L</w:t>
            </w:r>
          </w:p>
          <w:p w14:paraId="7FDCDC30" w14:textId="211F6E7D" w:rsidR="004519D3" w:rsidRPr="00261CCE" w:rsidRDefault="004519D3" w:rsidP="00D81730">
            <w:pPr>
              <w:suppressAutoHyphens w:val="0"/>
              <w:spacing w:before="40" w:after="40" w:line="220" w:lineRule="exact"/>
              <w:jc w:val="center"/>
              <w:rPr>
                <w:rFonts w:eastAsia="PMingLiU"/>
                <w:sz w:val="18"/>
              </w:rPr>
            </w:pPr>
            <w:r w:rsidRPr="00261CCE">
              <w:rPr>
                <w:sz w:val="18"/>
                <w:szCs w:val="18"/>
              </w:rPr>
              <w:t>(0.15)</w:t>
            </w:r>
          </w:p>
        </w:tc>
        <w:tc>
          <w:tcPr>
            <w:tcW w:w="1134" w:type="dxa"/>
            <w:shd w:val="clear" w:color="auto" w:fill="auto"/>
            <w:vAlign w:val="center"/>
          </w:tcPr>
          <w:p w14:paraId="2DA7FF3F" w14:textId="77777777" w:rsidR="00AB7FDD" w:rsidRDefault="004519D3" w:rsidP="00DE4092">
            <w:pPr>
              <w:suppressAutoHyphens w:val="0"/>
              <w:spacing w:before="40" w:after="40" w:line="220" w:lineRule="exact"/>
              <w:jc w:val="center"/>
              <w:rPr>
                <w:rFonts w:ascii="Wingdings" w:eastAsia="Wingdings" w:hAnsi="Wingdings" w:cs="Wingdings"/>
                <w:color w:val="FF0000"/>
                <w:sz w:val="28"/>
                <w:szCs w:val="2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p>
          <w:p w14:paraId="56F81612" w14:textId="7B0FF146" w:rsidR="004519D3" w:rsidRPr="00261CCE" w:rsidRDefault="004519D3" w:rsidP="00D81730">
            <w:pPr>
              <w:suppressAutoHyphens w:val="0"/>
              <w:spacing w:before="40" w:after="40" w:line="220" w:lineRule="exact"/>
              <w:jc w:val="center"/>
              <w:rPr>
                <w:rFonts w:eastAsia="PMingLiU"/>
                <w:sz w:val="18"/>
              </w:rPr>
            </w:pPr>
            <w:r w:rsidRPr="00261CCE">
              <w:rPr>
                <w:sz w:val="18"/>
                <w:szCs w:val="18"/>
              </w:rPr>
              <w:t>(0.08)</w:t>
            </w:r>
          </w:p>
        </w:tc>
      </w:tr>
      <w:tr w:rsidR="004519D3" w:rsidRPr="00261CCE" w14:paraId="2109CE67" w14:textId="77777777" w:rsidTr="002A197E">
        <w:trPr>
          <w:trHeight w:hRule="exact" w:val="52"/>
        </w:trPr>
        <w:tc>
          <w:tcPr>
            <w:tcW w:w="1560" w:type="dxa"/>
            <w:tcBorders>
              <w:bottom w:val="single" w:sz="12" w:space="0" w:color="auto"/>
            </w:tcBorders>
            <w:shd w:val="clear" w:color="auto" w:fill="auto"/>
          </w:tcPr>
          <w:p w14:paraId="40593AA5" w14:textId="77777777" w:rsidR="004519D3" w:rsidRPr="00261CCE" w:rsidRDefault="004519D3" w:rsidP="00D81730">
            <w:pPr>
              <w:suppressAutoHyphens w:val="0"/>
              <w:spacing w:before="40" w:after="40" w:line="220" w:lineRule="exact"/>
              <w:rPr>
                <w:sz w:val="18"/>
                <w:szCs w:val="18"/>
              </w:rPr>
            </w:pPr>
          </w:p>
        </w:tc>
        <w:tc>
          <w:tcPr>
            <w:tcW w:w="1559" w:type="dxa"/>
            <w:tcBorders>
              <w:bottom w:val="single" w:sz="12" w:space="0" w:color="auto"/>
            </w:tcBorders>
            <w:shd w:val="clear" w:color="auto" w:fill="auto"/>
            <w:vAlign w:val="center"/>
          </w:tcPr>
          <w:p w14:paraId="3A2BB045" w14:textId="77777777" w:rsidR="004519D3" w:rsidRPr="00261CCE" w:rsidRDefault="004519D3" w:rsidP="00D81730">
            <w:pPr>
              <w:keepNext/>
              <w:spacing w:after="120"/>
              <w:jc w:val="center"/>
              <w:rPr>
                <w:rFonts w:ascii="Wingdings" w:hAnsi="Wingdings" w:cs="Wingdings"/>
                <w:color w:val="FF0000"/>
                <w:sz w:val="28"/>
                <w:szCs w:val="28"/>
              </w:rPr>
            </w:pPr>
          </w:p>
        </w:tc>
        <w:tc>
          <w:tcPr>
            <w:tcW w:w="850" w:type="dxa"/>
            <w:tcBorders>
              <w:bottom w:val="single" w:sz="12" w:space="0" w:color="auto"/>
            </w:tcBorders>
            <w:shd w:val="clear" w:color="auto" w:fill="auto"/>
            <w:vAlign w:val="center"/>
          </w:tcPr>
          <w:p w14:paraId="39162939" w14:textId="77777777" w:rsidR="004519D3" w:rsidRPr="00261CCE" w:rsidRDefault="004519D3" w:rsidP="00D81730">
            <w:pPr>
              <w:keepNext/>
              <w:spacing w:after="120"/>
              <w:jc w:val="center"/>
              <w:rPr>
                <w:rFonts w:ascii="Wingdings" w:hAnsi="Wingdings" w:cs="Wingdings"/>
                <w:color w:val="FFC000"/>
                <w:sz w:val="28"/>
                <w:szCs w:val="28"/>
              </w:rPr>
            </w:pPr>
          </w:p>
        </w:tc>
        <w:tc>
          <w:tcPr>
            <w:tcW w:w="851" w:type="dxa"/>
            <w:tcBorders>
              <w:bottom w:val="single" w:sz="12" w:space="0" w:color="auto"/>
            </w:tcBorders>
            <w:shd w:val="clear" w:color="auto" w:fill="auto"/>
            <w:vAlign w:val="center"/>
          </w:tcPr>
          <w:p w14:paraId="2238479A" w14:textId="77777777" w:rsidR="004519D3" w:rsidRPr="00261CCE" w:rsidRDefault="004519D3" w:rsidP="00D81730">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641F94E4" w14:textId="77777777" w:rsidR="004519D3" w:rsidRPr="00261CCE" w:rsidRDefault="004519D3" w:rsidP="00D81730">
            <w:pPr>
              <w:keepNext/>
              <w:spacing w:after="120"/>
              <w:jc w:val="center"/>
              <w:rPr>
                <w:rFonts w:ascii="Wingdings" w:hAnsi="Wingdings" w:cs="Wingdings"/>
                <w:color w:val="00B050"/>
                <w:sz w:val="28"/>
                <w:szCs w:val="28"/>
              </w:rPr>
            </w:pPr>
          </w:p>
        </w:tc>
        <w:tc>
          <w:tcPr>
            <w:tcW w:w="851" w:type="dxa"/>
            <w:tcBorders>
              <w:bottom w:val="single" w:sz="12" w:space="0" w:color="auto"/>
            </w:tcBorders>
            <w:shd w:val="clear" w:color="auto" w:fill="auto"/>
            <w:vAlign w:val="center"/>
          </w:tcPr>
          <w:p w14:paraId="2A9FE6A4" w14:textId="77777777" w:rsidR="004519D3" w:rsidRPr="00261CCE" w:rsidRDefault="004519D3" w:rsidP="00D81730">
            <w:pPr>
              <w:keepNext/>
              <w:spacing w:after="120"/>
              <w:jc w:val="center"/>
              <w:rPr>
                <w:rFonts w:ascii="Wingdings" w:hAnsi="Wingdings" w:cs="Wingdings"/>
                <w:color w:val="00B050"/>
                <w:sz w:val="28"/>
                <w:szCs w:val="28"/>
              </w:rPr>
            </w:pPr>
          </w:p>
        </w:tc>
        <w:tc>
          <w:tcPr>
            <w:tcW w:w="1134" w:type="dxa"/>
            <w:tcBorders>
              <w:bottom w:val="single" w:sz="12" w:space="0" w:color="auto"/>
            </w:tcBorders>
            <w:shd w:val="clear" w:color="auto" w:fill="auto"/>
            <w:vAlign w:val="center"/>
          </w:tcPr>
          <w:p w14:paraId="535FE610" w14:textId="77777777" w:rsidR="004519D3" w:rsidRPr="00261CCE" w:rsidRDefault="004519D3" w:rsidP="00D81730">
            <w:pPr>
              <w:keepNext/>
              <w:spacing w:after="120"/>
              <w:jc w:val="center"/>
              <w:rPr>
                <w:rFonts w:ascii="Wingdings" w:hAnsi="Wingdings" w:cs="Wingdings"/>
                <w:color w:val="00B050"/>
                <w:sz w:val="28"/>
                <w:szCs w:val="28"/>
              </w:rPr>
            </w:pPr>
          </w:p>
        </w:tc>
      </w:tr>
    </w:tbl>
    <w:p w14:paraId="1040100D" w14:textId="5780CC7C" w:rsidR="004519D3" w:rsidRPr="00261CCE" w:rsidRDefault="004519D3" w:rsidP="004519D3">
      <w:pPr>
        <w:spacing w:before="120" w:after="120"/>
        <w:ind w:left="1134" w:right="1134" w:firstLine="567"/>
        <w:jc w:val="both"/>
        <w:rPr>
          <w:i/>
          <w:iCs/>
          <w:sz w:val="18"/>
          <w:szCs w:val="18"/>
        </w:rPr>
      </w:pPr>
      <w:r w:rsidRPr="00261CCE">
        <w:rPr>
          <w:i/>
          <w:iCs/>
          <w:sz w:val="18"/>
          <w:szCs w:val="18"/>
        </w:rPr>
        <w:t>Sources</w:t>
      </w:r>
      <w:r w:rsidRPr="00261CCE">
        <w:rPr>
          <w:sz w:val="18"/>
          <w:szCs w:val="18"/>
        </w:rPr>
        <w:t xml:space="preserve">: </w:t>
      </w:r>
      <w:r w:rsidR="00AB7FDD" w:rsidRPr="00830D6E">
        <w:rPr>
          <w:sz w:val="18"/>
          <w:szCs w:val="18"/>
        </w:rPr>
        <w:t xml:space="preserve">European Environment Agency (EEA), Indicator Assessment, Land take in Europe, available at </w:t>
      </w:r>
      <w:hyperlink r:id="rId11" w:history="1">
        <w:r w:rsidR="00AB7FDD" w:rsidRPr="00830D6E">
          <w:rPr>
            <w:color w:val="0000FF"/>
            <w:sz w:val="18"/>
            <w:szCs w:val="18"/>
          </w:rPr>
          <w:t>https://www.eea.europa.eu/data-and-maps/indicators/land-take-3/assessment</w:t>
        </w:r>
      </w:hyperlink>
      <w:r w:rsidR="00AB7FDD" w:rsidRPr="00830D6E">
        <w:rPr>
          <w:sz w:val="18"/>
          <w:szCs w:val="18"/>
        </w:rPr>
        <w:t>; Data from several national statistical offices outside the EEA cooperating countries</w:t>
      </w:r>
    </w:p>
    <w:p w14:paraId="04B472E8" w14:textId="29241108" w:rsidR="004519D3" w:rsidRPr="00261CCE" w:rsidRDefault="004519D3" w:rsidP="004519D3">
      <w:pPr>
        <w:spacing w:after="120"/>
        <w:ind w:left="1134" w:right="1134" w:firstLine="567"/>
        <w:jc w:val="both"/>
        <w:rPr>
          <w:sz w:val="18"/>
          <w:szCs w:val="18"/>
        </w:rPr>
      </w:pPr>
      <w:r w:rsidRPr="00261CCE">
        <w:rPr>
          <w:i/>
          <w:iCs/>
          <w:sz w:val="18"/>
          <w:szCs w:val="18"/>
        </w:rPr>
        <w:t>Notes</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 (if 2012–2018 rate was lower than 2006–2012 rate),</w:t>
      </w:r>
      <w:r w:rsidRPr="00261CCE">
        <w:rPr>
          <w:color w:val="E36C0A" w:themeColor="accent6" w:themeShade="BF"/>
          <w:sz w:val="24"/>
          <w:szCs w:val="24"/>
        </w:rPr>
        <w:t xml:space="preserve"> </w:t>
      </w:r>
      <w:r w:rsidRPr="00261CCE">
        <w:rPr>
          <w:sz w:val="18"/>
          <w:szCs w:val="18"/>
        </w:rPr>
        <w:t xml:space="preserve">or </w:t>
      </w:r>
      <w:r w:rsidRPr="00261CCE">
        <w:rPr>
          <w:rFonts w:ascii="Wingdings" w:eastAsia="Wingdings" w:hAnsi="Wingdings" w:cs="Wingdings"/>
          <w:color w:val="FF0000"/>
          <w:sz w:val="28"/>
          <w:szCs w:val="28"/>
        </w:rPr>
        <w:t>æ</w:t>
      </w:r>
      <w:r w:rsidRPr="00261CCE">
        <w:t xml:space="preserve"> </w:t>
      </w:r>
      <w:r w:rsidRPr="00261CCE">
        <w:rPr>
          <w:sz w:val="18"/>
          <w:szCs w:val="18"/>
        </w:rPr>
        <w:t xml:space="preserve">worsening; status is </w:t>
      </w:r>
      <w:r w:rsidRPr="00261CCE">
        <w:rPr>
          <w:rFonts w:ascii="Wingdings" w:eastAsia="Wingdings" w:hAnsi="Wingdings" w:cs="Wingdings"/>
          <w:color w:val="00B050"/>
          <w:sz w:val="28"/>
          <w:szCs w:val="28"/>
        </w:rPr>
        <w:t>J</w:t>
      </w:r>
      <w:r w:rsidRPr="00261CCE">
        <w:t xml:space="preserve"> </w:t>
      </w:r>
      <w:r w:rsidRPr="00261CCE">
        <w:rPr>
          <w:sz w:val="18"/>
          <w:szCs w:val="18"/>
        </w:rPr>
        <w:t xml:space="preserve">(negative) or </w:t>
      </w:r>
      <w:r w:rsidRPr="00261CCE">
        <w:rPr>
          <w:rFonts w:ascii="Wingdings" w:eastAsia="Wingdings" w:hAnsi="Wingdings" w:cs="Wingdings"/>
          <w:color w:val="FF0000"/>
          <w:sz w:val="28"/>
          <w:szCs w:val="28"/>
        </w:rPr>
        <w:t>L</w:t>
      </w:r>
      <w:r w:rsidRPr="00261CCE">
        <w:t xml:space="preserve"> </w:t>
      </w:r>
      <w:r w:rsidRPr="00261CCE">
        <w:rPr>
          <w:sz w:val="18"/>
          <w:szCs w:val="18"/>
        </w:rPr>
        <w:t>(positive). No data for several countries.</w:t>
      </w:r>
    </w:p>
    <w:p w14:paraId="570087C0" w14:textId="77777777" w:rsidR="0009316F" w:rsidRPr="00261CCE" w:rsidRDefault="0009316F" w:rsidP="0009316F">
      <w:pPr>
        <w:keepNext/>
        <w:keepLines/>
        <w:tabs>
          <w:tab w:val="right" w:pos="851"/>
        </w:tabs>
        <w:spacing w:before="240" w:after="120" w:line="240" w:lineRule="exact"/>
        <w:ind w:left="1134" w:right="1134" w:hanging="1134"/>
        <w:rPr>
          <w:b/>
          <w:lang w:eastAsia="zh-TW"/>
        </w:rPr>
      </w:pPr>
      <w:r w:rsidRPr="00261CCE">
        <w:rPr>
          <w:b/>
          <w:lang w:eastAsia="zh-TW"/>
        </w:rPr>
        <w:tab/>
        <w:t>8.</w:t>
      </w:r>
      <w:r w:rsidRPr="00261CCE">
        <w:rPr>
          <w:b/>
          <w:lang w:eastAsia="zh-TW"/>
        </w:rPr>
        <w:tab/>
        <w:t>Protected areas</w:t>
      </w:r>
    </w:p>
    <w:p w14:paraId="4A64A831" w14:textId="77777777" w:rsidR="0009316F" w:rsidRPr="00261CCE" w:rsidDel="00905942" w:rsidRDefault="0009316F" w:rsidP="0009316F">
      <w:pPr>
        <w:spacing w:after="120"/>
        <w:ind w:left="1134" w:right="1134"/>
        <w:jc w:val="both"/>
      </w:pPr>
      <w:r w:rsidRPr="00261CCE">
        <w:rPr>
          <w:lang w:eastAsia="zh-TW"/>
        </w:rPr>
        <w:t>17.</w:t>
      </w:r>
      <w:r w:rsidRPr="00261CCE">
        <w:rPr>
          <w:lang w:eastAsia="zh-TW"/>
        </w:rPr>
        <w:tab/>
        <w:t xml:space="preserve">The protected area estate in the pan-European region has almost tripled, and the overall forest area in the ECE region has increased by 33.5 million ha over the past 30 years. </w:t>
      </w:r>
      <w:r w:rsidRPr="00261CCE">
        <w:t>The coverages of terrestrial and marine protected areas have increased over the period since 2000</w:t>
      </w:r>
      <w:r w:rsidRPr="00261CCE" w:rsidDel="00610C67">
        <w:t xml:space="preserve"> </w:t>
      </w:r>
      <w:r w:rsidRPr="00261CCE">
        <w:t xml:space="preserve">and are 13.6 per cent and 9.2 per cent, respectively, for the overall pan-European area (below the respective 17 per cent and 10 per cent goals in Aichi Target 11). Marine protected areas have grown in area by 66 per cent and terrestrial ones by 22 per cent over the past five years (see table 8 below). Despite progress in terrestrial and marine protected areas, overall biodiversity loss continues to occur. </w:t>
      </w:r>
    </w:p>
    <w:p w14:paraId="129538AB" w14:textId="0A150B7B" w:rsidR="0009316F" w:rsidRPr="00261CCE" w:rsidRDefault="0009316F" w:rsidP="0009316F">
      <w:pPr>
        <w:keepNext/>
        <w:spacing w:after="120"/>
        <w:ind w:left="1134" w:right="1134"/>
        <w:jc w:val="both"/>
      </w:pPr>
      <w:r w:rsidRPr="00261CCE">
        <w:rPr>
          <w:b/>
          <w:bCs/>
        </w:rPr>
        <w:t>Recommendation</w:t>
      </w:r>
      <w:r w:rsidR="000C0F47">
        <w:rPr>
          <w:b/>
          <w:bCs/>
        </w:rPr>
        <w:t>s</w:t>
      </w:r>
      <w:r w:rsidRPr="00261CCE">
        <w:t xml:space="preserve">: </w:t>
      </w:r>
    </w:p>
    <w:p w14:paraId="01ABBBEF" w14:textId="77777777" w:rsidR="0009316F" w:rsidRPr="00261CCE" w:rsidRDefault="0009316F" w:rsidP="0009316F">
      <w:pPr>
        <w:keepNext/>
        <w:spacing w:after="120"/>
        <w:ind w:left="1134" w:right="1134"/>
        <w:jc w:val="both"/>
      </w:pPr>
      <w:r w:rsidRPr="00261CCE">
        <w:t>18</w:t>
      </w:r>
      <w:r w:rsidRPr="00261CCE">
        <w:rPr>
          <w:lang w:eastAsia="zh-TW"/>
        </w:rPr>
        <w:t>.</w:t>
      </w:r>
      <w:r w:rsidRPr="00261CCE">
        <w:rPr>
          <w:lang w:eastAsia="zh-TW"/>
        </w:rPr>
        <w:tab/>
        <w:t xml:space="preserve">Governments in the pan-European region should consolidate and improve the extended protected area network in the region through investment in management effectiveness, ecological representativeness and connectivity, i.e. making sure that protected areas are connected to each other to foster movement of fauna and that they represent the variety of ecosystems in the country. </w:t>
      </w:r>
      <w:r w:rsidRPr="00261CCE">
        <w:t>Further efforts are needed, in particular in Eastern and South-Eastern Europe, to achieve the target of conservation of 10 per cent of coastal and marine areas in the pan-European area.</w:t>
      </w:r>
    </w:p>
    <w:p w14:paraId="499F74F3" w14:textId="607CFC99" w:rsidR="00F55CC6" w:rsidRPr="00261CCE" w:rsidRDefault="000C0F47" w:rsidP="00AC112F">
      <w:pPr>
        <w:keepNext/>
        <w:spacing w:after="120"/>
        <w:ind w:left="1134" w:right="1134"/>
        <w:jc w:val="both"/>
      </w:pPr>
      <w:r>
        <w:t>19</w:t>
      </w:r>
      <w:r w:rsidR="0035763D">
        <w:t>.</w:t>
      </w:r>
      <w:r w:rsidR="0035763D">
        <w:tab/>
      </w:r>
      <w:r w:rsidR="00BC41F3">
        <w:t>Governments in the pan-European region should ensure the goal of protecting at least 30</w:t>
      </w:r>
      <w:r w:rsidR="005A0D22">
        <w:t xml:space="preserve"> per cent</w:t>
      </w:r>
      <w:r w:rsidR="00BC41F3">
        <w:t xml:space="preserve"> of </w:t>
      </w:r>
      <w:r w:rsidR="00066DBF">
        <w:t>E</w:t>
      </w:r>
      <w:r w:rsidR="00BC41F3">
        <w:t>arth’s land and marine surface areas by 2030 in accordance with a global</w:t>
      </w:r>
      <w:r w:rsidR="0035763D">
        <w:t xml:space="preserve"> </w:t>
      </w:r>
      <w:r w:rsidR="00BC41F3">
        <w:t xml:space="preserve">movement championed by the High Ambition Coalition for </w:t>
      </w:r>
      <w:r w:rsidR="00A92C65">
        <w:t>N</w:t>
      </w:r>
      <w:r w:rsidR="00BC41F3">
        <w:t xml:space="preserve">ature and </w:t>
      </w:r>
      <w:r w:rsidR="00A92C65">
        <w:t>P</w:t>
      </w:r>
      <w:r w:rsidR="00BC41F3">
        <w:t>eople.</w:t>
      </w:r>
      <w:r w:rsidR="00AC112F">
        <w:t xml:space="preserve"> </w:t>
      </w:r>
      <w:r w:rsidR="00F55CC6">
        <w:t>Moreover, transformative approaches to governance and management – going</w:t>
      </w:r>
      <w:r w:rsidR="00A12384">
        <w:t xml:space="preserve"> </w:t>
      </w:r>
      <w:r w:rsidR="00F55CC6">
        <w:t>beyond traditional protected areas to include for example other areas that qualify as</w:t>
      </w:r>
      <w:r w:rsidR="00A12384">
        <w:t xml:space="preserve"> </w:t>
      </w:r>
      <w:r w:rsidR="00F55CC6">
        <w:t xml:space="preserve">Other Effective Area-Based </w:t>
      </w:r>
      <w:r w:rsidR="00F55CC6">
        <w:lastRenderedPageBreak/>
        <w:t>Conservation Measures or Conserved Areas –</w:t>
      </w:r>
      <w:r w:rsidR="00A12384">
        <w:t xml:space="preserve"> </w:t>
      </w:r>
      <w:r w:rsidR="00F55CC6">
        <w:t>are essential to expand the protected and conserved area estate.</w:t>
      </w:r>
    </w:p>
    <w:p w14:paraId="34558210" w14:textId="77777777" w:rsidR="0009316F" w:rsidRPr="00261CCE" w:rsidRDefault="0009316F" w:rsidP="0009316F">
      <w:pPr>
        <w:keepNext/>
        <w:spacing w:after="120"/>
        <w:ind w:left="1134" w:right="1134"/>
        <w:rPr>
          <w:b/>
          <w:bCs/>
          <w:lang w:eastAsia="zh-TW"/>
        </w:rPr>
      </w:pPr>
      <w:r w:rsidRPr="00261CCE">
        <w:rPr>
          <w:lang w:eastAsia="zh-TW"/>
        </w:rPr>
        <w:t>Table 8</w:t>
      </w:r>
      <w:r w:rsidRPr="00261CCE">
        <w:rPr>
          <w:lang w:eastAsia="zh-TW"/>
        </w:rPr>
        <w:br/>
      </w:r>
      <w:r w:rsidRPr="00261CCE">
        <w:rPr>
          <w:b/>
          <w:bCs/>
          <w:lang w:eastAsia="zh-TW"/>
        </w:rPr>
        <w:t>Overview on status and trends for selected indicators on protected areas</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29"/>
        <w:gridCol w:w="872"/>
        <w:gridCol w:w="992"/>
        <w:gridCol w:w="993"/>
        <w:gridCol w:w="1134"/>
        <w:gridCol w:w="1275"/>
      </w:tblGrid>
      <w:tr w:rsidR="0009316F" w:rsidRPr="00261CCE" w14:paraId="274D1253" w14:textId="77777777" w:rsidTr="00C439AF">
        <w:trPr>
          <w:tblHeader/>
        </w:trPr>
        <w:tc>
          <w:tcPr>
            <w:tcW w:w="1276" w:type="dxa"/>
            <w:tcBorders>
              <w:top w:val="single" w:sz="4" w:space="0" w:color="auto"/>
              <w:bottom w:val="single" w:sz="12" w:space="0" w:color="auto"/>
            </w:tcBorders>
            <w:shd w:val="clear" w:color="auto" w:fill="auto"/>
          </w:tcPr>
          <w:p w14:paraId="4F6B692B" w14:textId="77777777" w:rsidR="0009316F" w:rsidRPr="00261CCE" w:rsidRDefault="0009316F" w:rsidP="00C439AF">
            <w:pPr>
              <w:spacing w:before="80" w:line="200" w:lineRule="exact"/>
              <w:rPr>
                <w:rFonts w:eastAsia="PMingLiU"/>
                <w:i/>
                <w:sz w:val="16"/>
              </w:rPr>
            </w:pPr>
            <w:r w:rsidRPr="00261CCE">
              <w:rPr>
                <w:i/>
                <w:iCs/>
                <w:sz w:val="18"/>
                <w:szCs w:val="18"/>
              </w:rPr>
              <w:t>Indicator</w:t>
            </w:r>
          </w:p>
        </w:tc>
        <w:tc>
          <w:tcPr>
            <w:tcW w:w="829" w:type="dxa"/>
            <w:tcBorders>
              <w:top w:val="single" w:sz="4" w:space="0" w:color="auto"/>
              <w:bottom w:val="single" w:sz="12" w:space="0" w:color="auto"/>
            </w:tcBorders>
            <w:shd w:val="clear" w:color="auto" w:fill="auto"/>
            <w:vAlign w:val="center"/>
          </w:tcPr>
          <w:p w14:paraId="66AE80CB" w14:textId="77777777" w:rsidR="0009316F" w:rsidRPr="000E56EA" w:rsidRDefault="0009316F" w:rsidP="00C439AF">
            <w:pPr>
              <w:spacing w:before="80" w:line="200" w:lineRule="exact"/>
              <w:jc w:val="center"/>
              <w:rPr>
                <w:rFonts w:eastAsia="PMingLiU"/>
                <w:i/>
                <w:iCs/>
                <w:sz w:val="16"/>
              </w:rPr>
            </w:pPr>
            <w:r w:rsidRPr="000E56EA">
              <w:rPr>
                <w:i/>
                <w:iCs/>
                <w:sz w:val="18"/>
                <w:szCs w:val="18"/>
              </w:rPr>
              <w:t>European Union</w:t>
            </w:r>
          </w:p>
        </w:tc>
        <w:tc>
          <w:tcPr>
            <w:tcW w:w="872" w:type="dxa"/>
            <w:tcBorders>
              <w:top w:val="single" w:sz="4" w:space="0" w:color="auto"/>
              <w:bottom w:val="single" w:sz="12" w:space="0" w:color="auto"/>
            </w:tcBorders>
            <w:shd w:val="clear" w:color="auto" w:fill="auto"/>
            <w:vAlign w:val="center"/>
          </w:tcPr>
          <w:p w14:paraId="4F8FD458" w14:textId="77777777" w:rsidR="0009316F" w:rsidRPr="000E56EA" w:rsidRDefault="0009316F" w:rsidP="00C439AF">
            <w:pPr>
              <w:spacing w:before="80" w:line="200" w:lineRule="exact"/>
              <w:jc w:val="center"/>
              <w:rPr>
                <w:rFonts w:eastAsia="PMingLiU"/>
                <w:i/>
                <w:iCs/>
                <w:sz w:val="16"/>
              </w:rPr>
            </w:pPr>
            <w:r w:rsidRPr="000E56EA">
              <w:rPr>
                <w:i/>
                <w:iCs/>
                <w:sz w:val="18"/>
                <w:szCs w:val="18"/>
              </w:rPr>
              <w:t>Western Europe</w:t>
            </w:r>
          </w:p>
        </w:tc>
        <w:tc>
          <w:tcPr>
            <w:tcW w:w="992" w:type="dxa"/>
            <w:tcBorders>
              <w:top w:val="single" w:sz="4" w:space="0" w:color="auto"/>
              <w:bottom w:val="single" w:sz="12" w:space="0" w:color="auto"/>
            </w:tcBorders>
            <w:shd w:val="clear" w:color="auto" w:fill="auto"/>
            <w:vAlign w:val="center"/>
          </w:tcPr>
          <w:p w14:paraId="5BD223AF" w14:textId="77777777" w:rsidR="0009316F" w:rsidRPr="000E56EA" w:rsidRDefault="0009316F" w:rsidP="00C439AF">
            <w:pPr>
              <w:spacing w:line="200" w:lineRule="exact"/>
              <w:jc w:val="center"/>
              <w:rPr>
                <w:rFonts w:eastAsia="PMingLiU"/>
                <w:i/>
                <w:iCs/>
                <w:sz w:val="16"/>
              </w:rPr>
            </w:pPr>
            <w:r w:rsidRPr="000E56EA">
              <w:rPr>
                <w:i/>
                <w:iCs/>
                <w:sz w:val="18"/>
                <w:szCs w:val="18"/>
              </w:rPr>
              <w:t>Central Asia</w:t>
            </w:r>
          </w:p>
        </w:tc>
        <w:tc>
          <w:tcPr>
            <w:tcW w:w="993" w:type="dxa"/>
            <w:tcBorders>
              <w:top w:val="single" w:sz="4" w:space="0" w:color="auto"/>
              <w:bottom w:val="single" w:sz="12" w:space="0" w:color="auto"/>
            </w:tcBorders>
            <w:shd w:val="clear" w:color="auto" w:fill="auto"/>
            <w:vAlign w:val="center"/>
          </w:tcPr>
          <w:p w14:paraId="27AFEA1C" w14:textId="77777777" w:rsidR="0009316F" w:rsidRDefault="0009316F" w:rsidP="00C439AF">
            <w:pPr>
              <w:spacing w:line="200" w:lineRule="exact"/>
              <w:ind w:left="-286" w:firstLine="286"/>
              <w:jc w:val="center"/>
              <w:rPr>
                <w:i/>
                <w:iCs/>
                <w:sz w:val="18"/>
                <w:szCs w:val="18"/>
              </w:rPr>
            </w:pPr>
            <w:r w:rsidRPr="000E56EA">
              <w:rPr>
                <w:i/>
                <w:iCs/>
                <w:sz w:val="18"/>
                <w:szCs w:val="18"/>
              </w:rPr>
              <w:t>Eastern</w:t>
            </w:r>
          </w:p>
          <w:p w14:paraId="22B4FF7A" w14:textId="77777777" w:rsidR="0009316F" w:rsidRPr="000E56EA" w:rsidRDefault="0009316F" w:rsidP="00C439AF">
            <w:pPr>
              <w:spacing w:line="200" w:lineRule="exact"/>
              <w:ind w:left="-286" w:firstLine="286"/>
              <w:jc w:val="center"/>
              <w:rPr>
                <w:rFonts w:eastAsia="PMingLiU"/>
                <w:i/>
                <w:iCs/>
                <w:sz w:val="16"/>
              </w:rPr>
            </w:pPr>
            <w:r w:rsidRPr="000E56EA">
              <w:rPr>
                <w:i/>
                <w:iCs/>
                <w:sz w:val="18"/>
                <w:szCs w:val="18"/>
              </w:rPr>
              <w:t>Europe</w:t>
            </w:r>
          </w:p>
        </w:tc>
        <w:tc>
          <w:tcPr>
            <w:tcW w:w="1134" w:type="dxa"/>
            <w:tcBorders>
              <w:top w:val="single" w:sz="4" w:space="0" w:color="auto"/>
              <w:bottom w:val="single" w:sz="12" w:space="0" w:color="auto"/>
            </w:tcBorders>
            <w:shd w:val="clear" w:color="auto" w:fill="auto"/>
            <w:vAlign w:val="center"/>
          </w:tcPr>
          <w:p w14:paraId="14B9B3DB" w14:textId="77777777" w:rsidR="0009316F" w:rsidRPr="000E56EA" w:rsidRDefault="0009316F" w:rsidP="00C439AF">
            <w:pPr>
              <w:spacing w:before="80" w:line="200" w:lineRule="exact"/>
              <w:jc w:val="center"/>
              <w:rPr>
                <w:rFonts w:eastAsia="PMingLiU"/>
                <w:i/>
                <w:iCs/>
                <w:sz w:val="16"/>
              </w:rPr>
            </w:pPr>
            <w:r w:rsidRPr="000E56EA">
              <w:rPr>
                <w:i/>
                <w:iCs/>
                <w:sz w:val="18"/>
                <w:szCs w:val="18"/>
              </w:rPr>
              <w:t>South-Eastern Europe</w:t>
            </w:r>
          </w:p>
        </w:tc>
        <w:tc>
          <w:tcPr>
            <w:tcW w:w="1275" w:type="dxa"/>
            <w:tcBorders>
              <w:top w:val="single" w:sz="4" w:space="0" w:color="auto"/>
              <w:bottom w:val="single" w:sz="12" w:space="0" w:color="auto"/>
            </w:tcBorders>
            <w:shd w:val="clear" w:color="auto" w:fill="auto"/>
            <w:vAlign w:val="center"/>
          </w:tcPr>
          <w:p w14:paraId="33358571" w14:textId="77777777" w:rsidR="0009316F" w:rsidRPr="000E56EA" w:rsidRDefault="0009316F" w:rsidP="00C439AF">
            <w:pPr>
              <w:spacing w:before="80" w:line="200" w:lineRule="exact"/>
              <w:jc w:val="center"/>
              <w:rPr>
                <w:rFonts w:eastAsia="PMingLiU"/>
                <w:i/>
                <w:iCs/>
                <w:sz w:val="16"/>
              </w:rPr>
            </w:pPr>
            <w:r w:rsidRPr="000E56EA">
              <w:rPr>
                <w:i/>
                <w:iCs/>
                <w:sz w:val="18"/>
                <w:szCs w:val="18"/>
              </w:rPr>
              <w:t>Pan-European region</w:t>
            </w:r>
          </w:p>
        </w:tc>
      </w:tr>
      <w:tr w:rsidR="0009316F" w:rsidRPr="00261CCE" w14:paraId="32FDC33C" w14:textId="77777777" w:rsidTr="00C439AF">
        <w:trPr>
          <w:trHeight w:hRule="exact" w:val="82"/>
          <w:tblHeader/>
        </w:trPr>
        <w:tc>
          <w:tcPr>
            <w:tcW w:w="1276" w:type="dxa"/>
            <w:tcBorders>
              <w:top w:val="single" w:sz="12" w:space="0" w:color="auto"/>
            </w:tcBorders>
            <w:shd w:val="clear" w:color="auto" w:fill="auto"/>
            <w:vAlign w:val="bottom"/>
          </w:tcPr>
          <w:p w14:paraId="52C4BE90" w14:textId="77777777" w:rsidR="0009316F" w:rsidRPr="00261CCE" w:rsidRDefault="0009316F" w:rsidP="00C439AF">
            <w:pPr>
              <w:spacing w:before="40" w:after="40" w:line="220" w:lineRule="exact"/>
              <w:rPr>
                <w:sz w:val="18"/>
                <w:szCs w:val="18"/>
              </w:rPr>
            </w:pPr>
          </w:p>
        </w:tc>
        <w:tc>
          <w:tcPr>
            <w:tcW w:w="829" w:type="dxa"/>
            <w:tcBorders>
              <w:top w:val="single" w:sz="12" w:space="0" w:color="auto"/>
            </w:tcBorders>
            <w:shd w:val="clear" w:color="auto" w:fill="auto"/>
            <w:vAlign w:val="center"/>
          </w:tcPr>
          <w:p w14:paraId="60CF6DEE"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872" w:type="dxa"/>
            <w:tcBorders>
              <w:top w:val="single" w:sz="12" w:space="0" w:color="auto"/>
            </w:tcBorders>
            <w:shd w:val="clear" w:color="auto" w:fill="auto"/>
            <w:vAlign w:val="center"/>
          </w:tcPr>
          <w:p w14:paraId="10B93894"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992" w:type="dxa"/>
            <w:tcBorders>
              <w:top w:val="single" w:sz="12" w:space="0" w:color="auto"/>
            </w:tcBorders>
            <w:shd w:val="clear" w:color="auto" w:fill="auto"/>
            <w:vAlign w:val="center"/>
          </w:tcPr>
          <w:p w14:paraId="2CBC3592"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993" w:type="dxa"/>
            <w:tcBorders>
              <w:top w:val="single" w:sz="12" w:space="0" w:color="auto"/>
            </w:tcBorders>
            <w:shd w:val="clear" w:color="auto" w:fill="auto"/>
            <w:vAlign w:val="center"/>
          </w:tcPr>
          <w:p w14:paraId="4B5FF788"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1134" w:type="dxa"/>
            <w:tcBorders>
              <w:top w:val="single" w:sz="12" w:space="0" w:color="auto"/>
            </w:tcBorders>
            <w:shd w:val="clear" w:color="auto" w:fill="auto"/>
            <w:vAlign w:val="center"/>
          </w:tcPr>
          <w:p w14:paraId="3BA7FFE9"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1275" w:type="dxa"/>
            <w:tcBorders>
              <w:top w:val="single" w:sz="12" w:space="0" w:color="auto"/>
            </w:tcBorders>
            <w:shd w:val="clear" w:color="auto" w:fill="auto"/>
            <w:vAlign w:val="center"/>
          </w:tcPr>
          <w:p w14:paraId="37116FE0" w14:textId="77777777" w:rsidR="0009316F" w:rsidRPr="00261CCE" w:rsidRDefault="0009316F" w:rsidP="00C439AF">
            <w:pPr>
              <w:spacing w:before="40" w:after="40" w:line="220" w:lineRule="exact"/>
              <w:jc w:val="center"/>
              <w:rPr>
                <w:rFonts w:ascii="Wingdings" w:hAnsi="Wingdings" w:cs="Wingdings"/>
                <w:color w:val="00B050"/>
                <w:sz w:val="28"/>
                <w:szCs w:val="28"/>
              </w:rPr>
            </w:pPr>
          </w:p>
        </w:tc>
      </w:tr>
      <w:tr w:rsidR="0009316F" w:rsidRPr="00261CCE" w14:paraId="428CF178" w14:textId="77777777" w:rsidTr="00C439AF">
        <w:tc>
          <w:tcPr>
            <w:tcW w:w="1276" w:type="dxa"/>
            <w:shd w:val="clear" w:color="auto" w:fill="auto"/>
            <w:vAlign w:val="bottom"/>
          </w:tcPr>
          <w:p w14:paraId="4C37ACFD" w14:textId="77777777" w:rsidR="0009316F" w:rsidRPr="00261CCE" w:rsidRDefault="0009316F" w:rsidP="00C439AF">
            <w:pPr>
              <w:spacing w:before="40" w:after="40" w:line="220" w:lineRule="exact"/>
              <w:rPr>
                <w:rFonts w:eastAsia="PMingLiU"/>
                <w:sz w:val="18"/>
              </w:rPr>
            </w:pPr>
            <w:r w:rsidRPr="00261CCE">
              <w:rPr>
                <w:sz w:val="18"/>
                <w:szCs w:val="18"/>
              </w:rPr>
              <w:t>Percentage of terrestrial area protected (2021)</w:t>
            </w:r>
          </w:p>
        </w:tc>
        <w:tc>
          <w:tcPr>
            <w:tcW w:w="829" w:type="dxa"/>
            <w:shd w:val="clear" w:color="auto" w:fill="auto"/>
            <w:vAlign w:val="center"/>
          </w:tcPr>
          <w:p w14:paraId="0EF437BC"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sz w:val="18"/>
                <w:szCs w:val="18"/>
              </w:rPr>
              <w:t xml:space="preserve"> </w:t>
            </w:r>
            <w:r w:rsidRPr="00261CCE">
              <w:rPr>
                <w:sz w:val="18"/>
                <w:szCs w:val="18"/>
              </w:rPr>
              <w:br/>
              <w:t>(26.1)</w:t>
            </w:r>
          </w:p>
        </w:tc>
        <w:tc>
          <w:tcPr>
            <w:tcW w:w="872" w:type="dxa"/>
            <w:shd w:val="clear" w:color="auto" w:fill="auto"/>
            <w:vAlign w:val="center"/>
          </w:tcPr>
          <w:p w14:paraId="4A0AE842"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sz w:val="18"/>
                <w:szCs w:val="18"/>
              </w:rPr>
              <w:br/>
              <w:t>(27)</w:t>
            </w:r>
          </w:p>
        </w:tc>
        <w:tc>
          <w:tcPr>
            <w:tcW w:w="992" w:type="dxa"/>
            <w:shd w:val="clear" w:color="auto" w:fill="auto"/>
            <w:vAlign w:val="center"/>
          </w:tcPr>
          <w:p w14:paraId="1F7D1853"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r w:rsidRPr="00261CCE">
              <w:rPr>
                <w:sz w:val="18"/>
                <w:szCs w:val="18"/>
              </w:rPr>
              <w:br/>
              <w:t>(9)</w:t>
            </w:r>
          </w:p>
        </w:tc>
        <w:tc>
          <w:tcPr>
            <w:tcW w:w="993" w:type="dxa"/>
            <w:shd w:val="clear" w:color="auto" w:fill="auto"/>
            <w:vAlign w:val="center"/>
          </w:tcPr>
          <w:p w14:paraId="1D1AF4A8"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sz w:val="18"/>
                <w:szCs w:val="18"/>
              </w:rPr>
              <w:br/>
              <w:t>(11.5)</w:t>
            </w:r>
          </w:p>
        </w:tc>
        <w:tc>
          <w:tcPr>
            <w:tcW w:w="1134" w:type="dxa"/>
            <w:shd w:val="clear" w:color="auto" w:fill="auto"/>
            <w:vAlign w:val="center"/>
          </w:tcPr>
          <w:p w14:paraId="2E2895F7"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r w:rsidRPr="00261CCE">
              <w:rPr>
                <w:sz w:val="18"/>
                <w:szCs w:val="18"/>
              </w:rPr>
              <w:br/>
              <w:t>(7.4)</w:t>
            </w:r>
          </w:p>
        </w:tc>
        <w:tc>
          <w:tcPr>
            <w:tcW w:w="1275" w:type="dxa"/>
            <w:shd w:val="clear" w:color="auto" w:fill="auto"/>
            <w:vAlign w:val="center"/>
          </w:tcPr>
          <w:p w14:paraId="660E02C3"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r w:rsidRPr="00261CCE">
              <w:rPr>
                <w:sz w:val="18"/>
                <w:szCs w:val="18"/>
              </w:rPr>
              <w:br/>
              <w:t>(13.6)</w:t>
            </w:r>
          </w:p>
        </w:tc>
      </w:tr>
      <w:tr w:rsidR="0009316F" w:rsidRPr="00261CCE" w14:paraId="09F50C97" w14:textId="77777777" w:rsidTr="00C439AF">
        <w:tc>
          <w:tcPr>
            <w:tcW w:w="1276" w:type="dxa"/>
            <w:shd w:val="clear" w:color="auto" w:fill="auto"/>
            <w:vAlign w:val="bottom"/>
          </w:tcPr>
          <w:p w14:paraId="34186163" w14:textId="77777777" w:rsidR="0009316F" w:rsidRPr="00261CCE" w:rsidRDefault="0009316F" w:rsidP="00C439AF">
            <w:pPr>
              <w:spacing w:before="40" w:after="40" w:line="220" w:lineRule="exact"/>
              <w:rPr>
                <w:rFonts w:eastAsia="PMingLiU"/>
                <w:sz w:val="18"/>
              </w:rPr>
            </w:pPr>
            <w:r w:rsidRPr="00261CCE">
              <w:rPr>
                <w:sz w:val="18"/>
                <w:szCs w:val="18"/>
              </w:rPr>
              <w:t>Percentage of marine area protected (2021)</w:t>
            </w:r>
          </w:p>
        </w:tc>
        <w:tc>
          <w:tcPr>
            <w:tcW w:w="829" w:type="dxa"/>
            <w:shd w:val="clear" w:color="auto" w:fill="auto"/>
            <w:vAlign w:val="center"/>
          </w:tcPr>
          <w:p w14:paraId="265CCFCF"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rFonts w:ascii="Wingdings" w:hAnsi="Wingdings" w:cs="Wingdings"/>
                <w:color w:val="00B050"/>
                <w:sz w:val="28"/>
                <w:szCs w:val="28"/>
              </w:rPr>
              <w:br/>
            </w:r>
            <w:r w:rsidRPr="00261CCE">
              <w:rPr>
                <w:sz w:val="18"/>
                <w:szCs w:val="18"/>
              </w:rPr>
              <w:t>(15.2)</w:t>
            </w:r>
          </w:p>
        </w:tc>
        <w:tc>
          <w:tcPr>
            <w:tcW w:w="872" w:type="dxa"/>
            <w:shd w:val="clear" w:color="auto" w:fill="auto"/>
            <w:vAlign w:val="center"/>
          </w:tcPr>
          <w:p w14:paraId="519CFE8E"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rFonts w:ascii="Wingdings" w:hAnsi="Wingdings" w:cs="Wingdings"/>
                <w:color w:val="00B050"/>
                <w:sz w:val="28"/>
                <w:szCs w:val="28"/>
              </w:rPr>
              <w:br/>
            </w:r>
            <w:r w:rsidRPr="00261CCE">
              <w:rPr>
                <w:sz w:val="18"/>
                <w:szCs w:val="18"/>
              </w:rPr>
              <w:t>(17.1)</w:t>
            </w:r>
          </w:p>
        </w:tc>
        <w:tc>
          <w:tcPr>
            <w:tcW w:w="992" w:type="dxa"/>
            <w:shd w:val="clear" w:color="auto" w:fill="auto"/>
            <w:vAlign w:val="center"/>
          </w:tcPr>
          <w:p w14:paraId="0EDE7CEF"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00B050"/>
                <w:sz w:val="28"/>
                <w:szCs w:val="28"/>
              </w:rPr>
              <w:t>J</w:t>
            </w:r>
            <w:r w:rsidRPr="00261CCE">
              <w:rPr>
                <w:rFonts w:ascii="Wingdings" w:hAnsi="Wingdings" w:cs="Wingdings"/>
                <w:color w:val="00B050"/>
                <w:sz w:val="28"/>
                <w:szCs w:val="28"/>
              </w:rPr>
              <w:br/>
            </w:r>
            <w:r w:rsidRPr="00261CCE">
              <w:rPr>
                <w:sz w:val="18"/>
                <w:szCs w:val="18"/>
              </w:rPr>
              <w:t>(31.9)</w:t>
            </w:r>
          </w:p>
        </w:tc>
        <w:tc>
          <w:tcPr>
            <w:tcW w:w="993" w:type="dxa"/>
            <w:shd w:val="clear" w:color="auto" w:fill="auto"/>
            <w:vAlign w:val="center"/>
          </w:tcPr>
          <w:p w14:paraId="086B8D28"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0000"/>
                <w:sz w:val="28"/>
                <w:szCs w:val="28"/>
              </w:rPr>
              <w:t>æ</w:t>
            </w:r>
            <w:r w:rsidRPr="00261CCE">
              <w:t xml:space="preserve"> </w:t>
            </w:r>
            <w:r w:rsidRPr="00261CCE">
              <w:rPr>
                <w:rFonts w:ascii="Wingdings" w:eastAsia="Wingdings" w:hAnsi="Wingdings" w:cs="Wingdings"/>
                <w:color w:val="FF0000"/>
                <w:sz w:val="28"/>
                <w:szCs w:val="28"/>
              </w:rPr>
              <w:t>L</w:t>
            </w:r>
            <w:r w:rsidRPr="00261CCE">
              <w:rPr>
                <w:rFonts w:ascii="Wingdings" w:hAnsi="Wingdings" w:cs="Wingdings"/>
                <w:color w:val="FF0000"/>
                <w:sz w:val="28"/>
                <w:szCs w:val="28"/>
              </w:rPr>
              <w:br/>
            </w:r>
            <w:r w:rsidRPr="00261CCE">
              <w:rPr>
                <w:sz w:val="18"/>
                <w:szCs w:val="18"/>
              </w:rPr>
              <w:t>(2.3)</w:t>
            </w:r>
          </w:p>
        </w:tc>
        <w:tc>
          <w:tcPr>
            <w:tcW w:w="1134" w:type="dxa"/>
            <w:shd w:val="clear" w:color="auto" w:fill="auto"/>
            <w:vAlign w:val="center"/>
          </w:tcPr>
          <w:p w14:paraId="2112F114"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0000"/>
                <w:sz w:val="28"/>
                <w:szCs w:val="28"/>
              </w:rPr>
              <w:t>L</w:t>
            </w:r>
            <w:r w:rsidRPr="00261CCE">
              <w:rPr>
                <w:rFonts w:ascii="Wingdings" w:hAnsi="Wingdings" w:cs="Wingdings"/>
                <w:color w:val="00B050"/>
                <w:sz w:val="28"/>
                <w:szCs w:val="28"/>
              </w:rPr>
              <w:br/>
            </w:r>
            <w:r w:rsidRPr="00261CCE">
              <w:rPr>
                <w:sz w:val="18"/>
                <w:szCs w:val="18"/>
              </w:rPr>
              <w:t>(1.8)</w:t>
            </w:r>
          </w:p>
        </w:tc>
        <w:tc>
          <w:tcPr>
            <w:tcW w:w="1275" w:type="dxa"/>
            <w:shd w:val="clear" w:color="auto" w:fill="auto"/>
            <w:vAlign w:val="center"/>
          </w:tcPr>
          <w:p w14:paraId="6EB752EC"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C000"/>
                <w:sz w:val="28"/>
                <w:szCs w:val="28"/>
              </w:rPr>
              <w:t>K</w:t>
            </w:r>
            <w:r w:rsidRPr="00261CCE">
              <w:rPr>
                <w:rFonts w:ascii="Wingdings" w:hAnsi="Wingdings" w:cs="Wingdings"/>
                <w:color w:val="00B050"/>
                <w:sz w:val="28"/>
                <w:szCs w:val="28"/>
              </w:rPr>
              <w:br/>
            </w:r>
            <w:r w:rsidRPr="00261CCE">
              <w:rPr>
                <w:sz w:val="18"/>
                <w:szCs w:val="18"/>
              </w:rPr>
              <w:t>(9.2)</w:t>
            </w:r>
          </w:p>
        </w:tc>
      </w:tr>
      <w:tr w:rsidR="0009316F" w:rsidRPr="00261CCE" w14:paraId="454D81E4" w14:textId="77777777" w:rsidTr="00C439AF">
        <w:trPr>
          <w:trHeight w:hRule="exact" w:val="52"/>
        </w:trPr>
        <w:tc>
          <w:tcPr>
            <w:tcW w:w="1276" w:type="dxa"/>
            <w:tcBorders>
              <w:bottom w:val="single" w:sz="12" w:space="0" w:color="auto"/>
            </w:tcBorders>
            <w:shd w:val="clear" w:color="auto" w:fill="auto"/>
            <w:vAlign w:val="bottom"/>
          </w:tcPr>
          <w:p w14:paraId="18F0C337" w14:textId="77777777" w:rsidR="0009316F" w:rsidRPr="00261CCE" w:rsidRDefault="0009316F" w:rsidP="00C439AF">
            <w:pPr>
              <w:spacing w:before="40" w:after="40" w:line="220" w:lineRule="exact"/>
              <w:rPr>
                <w:sz w:val="18"/>
                <w:szCs w:val="18"/>
              </w:rPr>
            </w:pPr>
          </w:p>
        </w:tc>
        <w:tc>
          <w:tcPr>
            <w:tcW w:w="829" w:type="dxa"/>
            <w:tcBorders>
              <w:bottom w:val="single" w:sz="12" w:space="0" w:color="auto"/>
            </w:tcBorders>
            <w:shd w:val="clear" w:color="auto" w:fill="auto"/>
            <w:vAlign w:val="center"/>
          </w:tcPr>
          <w:p w14:paraId="677DDDF5"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872" w:type="dxa"/>
            <w:tcBorders>
              <w:bottom w:val="single" w:sz="12" w:space="0" w:color="auto"/>
            </w:tcBorders>
            <w:shd w:val="clear" w:color="auto" w:fill="auto"/>
            <w:vAlign w:val="center"/>
          </w:tcPr>
          <w:p w14:paraId="62B8FD0F"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6DD1085B"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993" w:type="dxa"/>
            <w:tcBorders>
              <w:bottom w:val="single" w:sz="12" w:space="0" w:color="auto"/>
            </w:tcBorders>
            <w:shd w:val="clear" w:color="auto" w:fill="auto"/>
            <w:vAlign w:val="center"/>
          </w:tcPr>
          <w:p w14:paraId="073A7815" w14:textId="77777777" w:rsidR="0009316F" w:rsidRPr="00261CCE" w:rsidRDefault="0009316F" w:rsidP="00C439AF">
            <w:pPr>
              <w:spacing w:before="40" w:after="40" w:line="220" w:lineRule="exact"/>
              <w:jc w:val="center"/>
              <w:rPr>
                <w:rFonts w:ascii="Wingdings" w:hAnsi="Wingdings" w:cs="Wingdings"/>
                <w:color w:val="FF0000"/>
                <w:sz w:val="28"/>
                <w:szCs w:val="28"/>
              </w:rPr>
            </w:pPr>
          </w:p>
        </w:tc>
        <w:tc>
          <w:tcPr>
            <w:tcW w:w="1134" w:type="dxa"/>
            <w:tcBorders>
              <w:bottom w:val="single" w:sz="12" w:space="0" w:color="auto"/>
            </w:tcBorders>
            <w:shd w:val="clear" w:color="auto" w:fill="auto"/>
            <w:vAlign w:val="center"/>
          </w:tcPr>
          <w:p w14:paraId="691D7C31" w14:textId="77777777" w:rsidR="0009316F" w:rsidRPr="00261CCE" w:rsidRDefault="0009316F" w:rsidP="00C439AF">
            <w:pPr>
              <w:spacing w:before="40" w:after="40" w:line="220" w:lineRule="exact"/>
              <w:jc w:val="center"/>
              <w:rPr>
                <w:rFonts w:ascii="Wingdings" w:hAnsi="Wingdings" w:cs="Wingdings"/>
                <w:color w:val="00B050"/>
                <w:sz w:val="28"/>
                <w:szCs w:val="28"/>
              </w:rPr>
            </w:pPr>
          </w:p>
        </w:tc>
        <w:tc>
          <w:tcPr>
            <w:tcW w:w="1275" w:type="dxa"/>
            <w:tcBorders>
              <w:bottom w:val="single" w:sz="12" w:space="0" w:color="auto"/>
            </w:tcBorders>
            <w:shd w:val="clear" w:color="auto" w:fill="auto"/>
            <w:vAlign w:val="center"/>
          </w:tcPr>
          <w:p w14:paraId="2B325758" w14:textId="77777777" w:rsidR="0009316F" w:rsidRPr="00261CCE" w:rsidRDefault="0009316F" w:rsidP="00C439AF">
            <w:pPr>
              <w:spacing w:before="40" w:after="40" w:line="220" w:lineRule="exact"/>
              <w:jc w:val="center"/>
              <w:rPr>
                <w:rFonts w:ascii="Wingdings" w:hAnsi="Wingdings" w:cs="Wingdings"/>
                <w:color w:val="00B050"/>
                <w:sz w:val="28"/>
                <w:szCs w:val="28"/>
              </w:rPr>
            </w:pPr>
          </w:p>
        </w:tc>
      </w:tr>
    </w:tbl>
    <w:p w14:paraId="497CE723" w14:textId="77777777" w:rsidR="0009316F" w:rsidRPr="00261CCE" w:rsidRDefault="0009316F" w:rsidP="00475344">
      <w:pPr>
        <w:spacing w:before="120" w:after="120"/>
        <w:ind w:left="1134" w:right="1134" w:firstLine="567"/>
        <w:jc w:val="both"/>
        <w:rPr>
          <w:i/>
          <w:iCs/>
          <w:sz w:val="18"/>
          <w:szCs w:val="18"/>
        </w:rPr>
      </w:pPr>
      <w:r w:rsidRPr="00261CCE">
        <w:rPr>
          <w:i/>
          <w:iCs/>
          <w:sz w:val="18"/>
          <w:szCs w:val="18"/>
        </w:rPr>
        <w:t xml:space="preserve">Sources: </w:t>
      </w:r>
      <w:r w:rsidRPr="00261CCE">
        <w:rPr>
          <w:sz w:val="18"/>
          <w:szCs w:val="18"/>
        </w:rPr>
        <w:t>December 2021 release of the World Database on Protected Areas; United Nations Environment Programme (UNEP) World Conservation Monitoring Centre.</w:t>
      </w:r>
    </w:p>
    <w:p w14:paraId="57BC055A" w14:textId="77777777" w:rsidR="0009316F" w:rsidRPr="00261CCE" w:rsidRDefault="0009316F" w:rsidP="00475344">
      <w:pPr>
        <w:ind w:left="1134" w:right="1134" w:firstLine="567"/>
        <w:jc w:val="both"/>
      </w:pPr>
      <w:r w:rsidRPr="00261CCE">
        <w:rPr>
          <w:i/>
          <w:iCs/>
          <w:sz w:val="18"/>
          <w:szCs w:val="18"/>
        </w:rPr>
        <w:t>Notes</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 xml:space="preserve">improving, or </w:t>
      </w:r>
      <w:r w:rsidRPr="00261CCE">
        <w:rPr>
          <w:rFonts w:ascii="Wingdings" w:eastAsia="Wingdings" w:hAnsi="Wingdings" w:cs="Wingdings"/>
          <w:color w:val="FF0000"/>
          <w:sz w:val="28"/>
          <w:szCs w:val="28"/>
        </w:rPr>
        <w:t>æ</w:t>
      </w:r>
      <w:r w:rsidRPr="00261CCE">
        <w:t xml:space="preserve"> </w:t>
      </w:r>
      <w:r w:rsidRPr="00261CCE">
        <w:rPr>
          <w:sz w:val="18"/>
          <w:szCs w:val="18"/>
        </w:rPr>
        <w:t xml:space="preserve">worsening; </w:t>
      </w:r>
      <w:r w:rsidRPr="00261CCE" w:rsidDel="00EC4F8F">
        <w:rPr>
          <w:sz w:val="18"/>
          <w:szCs w:val="18"/>
        </w:rPr>
        <w:t xml:space="preserve">status </w:t>
      </w:r>
      <w:r w:rsidRPr="00261CCE">
        <w:rPr>
          <w:sz w:val="18"/>
          <w:szCs w:val="18"/>
        </w:rPr>
        <w:t xml:space="preserve">is </w:t>
      </w:r>
      <w:r w:rsidRPr="00261CCE">
        <w:rPr>
          <w:rFonts w:ascii="Wingdings" w:eastAsia="Wingdings" w:hAnsi="Wingdings" w:cs="Wingdings"/>
          <w:color w:val="00B050"/>
          <w:sz w:val="28"/>
          <w:szCs w:val="28"/>
        </w:rPr>
        <w:t>J</w:t>
      </w:r>
      <w:r w:rsidRPr="00261CCE">
        <w:t xml:space="preserve"> </w:t>
      </w:r>
      <w:r w:rsidRPr="00261CCE">
        <w:rPr>
          <w:sz w:val="18"/>
          <w:szCs w:val="18"/>
        </w:rPr>
        <w:t>(area nominally meets Aichi Target 11 of 17 per cent of terrestrial and inland water</w:t>
      </w:r>
      <w:r w:rsidRPr="00261CCE" w:rsidDel="00683EAE">
        <w:rPr>
          <w:sz w:val="18"/>
          <w:szCs w:val="18"/>
        </w:rPr>
        <w:t>,</w:t>
      </w:r>
      <w:r w:rsidRPr="00261CCE">
        <w:rPr>
          <w:sz w:val="18"/>
          <w:szCs w:val="18"/>
        </w:rPr>
        <w:t xml:space="preserve"> 10 per cent of marine areas) or </w:t>
      </w:r>
      <w:r w:rsidRPr="00261CCE">
        <w:rPr>
          <w:rFonts w:ascii="Wingdings" w:eastAsia="Wingdings" w:hAnsi="Wingdings" w:cs="Wingdings"/>
          <w:color w:val="FF0000"/>
          <w:sz w:val="28"/>
          <w:szCs w:val="28"/>
        </w:rPr>
        <w:t>L</w:t>
      </w:r>
      <w:r w:rsidRPr="00261CCE">
        <w:t xml:space="preserve"> </w:t>
      </w:r>
      <w:r w:rsidRPr="00261CCE">
        <w:rPr>
          <w:sz w:val="18"/>
          <w:szCs w:val="18"/>
        </w:rPr>
        <w:t xml:space="preserve">(does not meet) or </w:t>
      </w:r>
      <w:r w:rsidRPr="00261CCE">
        <w:rPr>
          <w:rFonts w:ascii="Wingdings" w:eastAsia="Wingdings" w:hAnsi="Wingdings" w:cs="Wingdings"/>
          <w:color w:val="FFC000"/>
          <w:sz w:val="28"/>
          <w:szCs w:val="28"/>
        </w:rPr>
        <w:t>K</w:t>
      </w:r>
      <w:r w:rsidRPr="00261CCE">
        <w:t xml:space="preserve"> </w:t>
      </w:r>
      <w:r w:rsidRPr="00261CCE">
        <w:rPr>
          <w:sz w:val="18"/>
          <w:szCs w:val="18"/>
        </w:rPr>
        <w:t>(below but close to target).</w:t>
      </w:r>
    </w:p>
    <w:p w14:paraId="63262D27"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9.</w:t>
      </w:r>
      <w:r w:rsidRPr="00261CCE">
        <w:rPr>
          <w:b/>
        </w:rPr>
        <w:tab/>
        <w:t>Land use and soil</w:t>
      </w:r>
    </w:p>
    <w:p w14:paraId="4A9F1ABE" w14:textId="2F063900" w:rsidR="0009316F" w:rsidRPr="00261CCE" w:rsidRDefault="000C0F47" w:rsidP="0009316F">
      <w:pPr>
        <w:spacing w:after="120"/>
        <w:ind w:left="1134" w:right="1134"/>
        <w:jc w:val="both"/>
        <w:rPr>
          <w:bCs/>
          <w:lang w:eastAsia="zh-TW"/>
        </w:rPr>
      </w:pPr>
      <w:r>
        <w:rPr>
          <w:bCs/>
          <w:iCs/>
        </w:rPr>
        <w:t>20</w:t>
      </w:r>
      <w:r w:rsidR="0009316F" w:rsidRPr="00261CCE">
        <w:rPr>
          <w:bCs/>
          <w:iCs/>
        </w:rPr>
        <w:t>.</w:t>
      </w:r>
      <w:r w:rsidR="0009316F" w:rsidRPr="00261CCE">
        <w:rPr>
          <w:bCs/>
          <w:iCs/>
        </w:rPr>
        <w:tab/>
        <w:t>L</w:t>
      </w:r>
      <w:r w:rsidR="0009316F" w:rsidRPr="00261CCE">
        <w:rPr>
          <w:bCs/>
        </w:rPr>
        <w:t xml:space="preserve">and use and land-use change </w:t>
      </w:r>
      <w:r w:rsidR="0009316F" w:rsidRPr="00261CCE">
        <w:rPr>
          <w:bCs/>
          <w:iCs/>
        </w:rPr>
        <w:t xml:space="preserve">dynamics in the </w:t>
      </w:r>
      <w:r w:rsidR="0009316F" w:rsidRPr="00261CCE">
        <w:rPr>
          <w:bCs/>
        </w:rPr>
        <w:t>pan-European region continue to be mainly driven by agriculture. Erosion can be further reduced in most affected areas by implementing conservation agriculture.</w:t>
      </w:r>
      <w:r w:rsidR="0009316F" w:rsidRPr="00261CCE">
        <w:rPr>
          <w:bCs/>
          <w:sz w:val="18"/>
          <w:vertAlign w:val="superscript"/>
        </w:rPr>
        <w:footnoteReference w:id="3"/>
      </w:r>
      <w:r w:rsidR="0009316F" w:rsidRPr="00261CCE">
        <w:rPr>
          <w:bCs/>
        </w:rPr>
        <w:t xml:space="preserve"> </w:t>
      </w:r>
      <w:r w:rsidR="0009316F" w:rsidRPr="00261CCE">
        <w:rPr>
          <w:bCs/>
          <w:iCs/>
        </w:rPr>
        <w:t>Conservation agriculture practices in the pan-European region may also play an important role in carbon sequestration</w:t>
      </w:r>
      <w:r w:rsidR="004C6E59">
        <w:rPr>
          <w:bCs/>
          <w:iCs/>
        </w:rPr>
        <w:t>,</w:t>
      </w:r>
      <w:r w:rsidR="0009316F" w:rsidRPr="00261CCE">
        <w:rPr>
          <w:bCs/>
          <w:iCs/>
        </w:rPr>
        <w:t xml:space="preserve"> </w:t>
      </w:r>
      <w:r w:rsidR="0042593C">
        <w:rPr>
          <w:bCs/>
          <w:iCs/>
        </w:rPr>
        <w:t xml:space="preserve">water regulation, biodiversity </w:t>
      </w:r>
      <w:r w:rsidR="0009316F" w:rsidRPr="00261CCE">
        <w:rPr>
          <w:bCs/>
          <w:iCs/>
        </w:rPr>
        <w:t xml:space="preserve">and raising soil productivity by increasing </w:t>
      </w:r>
      <w:r w:rsidR="0009316F" w:rsidRPr="00261CCE">
        <w:rPr>
          <w:bCs/>
        </w:rPr>
        <w:t xml:space="preserve">soil organic carbon content. In Eastern Europe, the average rate of soil erosion decreased over the last 30 years following massive cropland abandonment and climate change. In the Russian Federation, the total amount of washed soil and the rate of erosion have been reduced by 56.1 per cent and 15 per cent respectively in the last 30 years due to the widespread abandonment of cropland and lower spring run-off. </w:t>
      </w:r>
      <w:r w:rsidR="00FA78AA">
        <w:rPr>
          <w:bCs/>
          <w:lang w:eastAsia="zh-TW"/>
        </w:rPr>
        <w:t>T</w:t>
      </w:r>
      <w:r w:rsidR="00132DB7" w:rsidRPr="002A197E">
        <w:rPr>
          <w:bCs/>
          <w:lang w:eastAsia="zh-TW"/>
        </w:rPr>
        <w:t xml:space="preserve">hough land take has decreased in most member countries of the European Environment Agency, land continues to be </w:t>
      </w:r>
      <w:r w:rsidR="00132DB7" w:rsidRPr="00AD6FEE">
        <w:rPr>
          <w:bCs/>
          <w:lang w:eastAsia="zh-TW"/>
        </w:rPr>
        <w:t>taken for urban and infrastructure development in the pan-European region</w:t>
      </w:r>
      <w:r w:rsidR="00AE15D0" w:rsidRPr="002A197E">
        <w:rPr>
          <w:bCs/>
          <w:lang w:eastAsia="zh-TW"/>
        </w:rPr>
        <w:t xml:space="preserve"> and soil</w:t>
      </w:r>
      <w:r w:rsidR="00377484" w:rsidRPr="002A197E">
        <w:rPr>
          <w:bCs/>
          <w:lang w:eastAsia="zh-TW"/>
        </w:rPr>
        <w:t xml:space="preserve"> sealing remains an issue of concern</w:t>
      </w:r>
      <w:r w:rsidR="00633920">
        <w:rPr>
          <w:bCs/>
          <w:lang w:eastAsia="zh-TW"/>
        </w:rPr>
        <w:t>.</w:t>
      </w:r>
      <w:r w:rsidR="00132DB7" w:rsidRPr="00132DB7">
        <w:rPr>
          <w:bCs/>
          <w:lang w:eastAsia="zh-TW"/>
        </w:rPr>
        <w:t xml:space="preserve"> </w:t>
      </w:r>
      <w:r w:rsidR="0009316F" w:rsidRPr="00261CCE">
        <w:rPr>
          <w:bCs/>
          <w:lang w:eastAsia="zh-TW"/>
        </w:rPr>
        <w:t>(</w:t>
      </w:r>
      <w:r w:rsidR="00633920">
        <w:rPr>
          <w:bCs/>
          <w:lang w:eastAsia="zh-TW"/>
        </w:rPr>
        <w:t>S</w:t>
      </w:r>
      <w:r w:rsidR="0009316F" w:rsidRPr="00261CCE">
        <w:rPr>
          <w:bCs/>
          <w:lang w:eastAsia="zh-TW"/>
        </w:rPr>
        <w:t>ee table 9 below</w:t>
      </w:r>
      <w:r w:rsidR="00633920">
        <w:rPr>
          <w:bCs/>
          <w:lang w:eastAsia="zh-TW"/>
        </w:rPr>
        <w:t xml:space="preserve"> for indicators</w:t>
      </w:r>
      <w:r w:rsidR="00152558" w:rsidRPr="00152558">
        <w:rPr>
          <w:bCs/>
          <w:lang w:eastAsia="zh-TW"/>
        </w:rPr>
        <w:t xml:space="preserve"> proposed in the assessment.</w:t>
      </w:r>
      <w:r w:rsidR="0009316F" w:rsidRPr="00261CCE">
        <w:rPr>
          <w:bCs/>
          <w:lang w:eastAsia="zh-TW"/>
        </w:rPr>
        <w:t>)</w:t>
      </w:r>
    </w:p>
    <w:p w14:paraId="54D1C23D" w14:textId="42298B6B" w:rsidR="0009316F" w:rsidRPr="00261CCE" w:rsidRDefault="0009316F" w:rsidP="0009316F">
      <w:pPr>
        <w:spacing w:after="120"/>
        <w:ind w:left="1134" w:right="1134"/>
        <w:jc w:val="both"/>
        <w:rPr>
          <w:lang w:eastAsia="zh-TW"/>
        </w:rPr>
      </w:pPr>
      <w:r w:rsidRPr="00261CCE">
        <w:rPr>
          <w:b/>
          <w:bCs/>
          <w:lang w:eastAsia="zh-TW"/>
        </w:rPr>
        <w:t>Recommendation</w:t>
      </w:r>
      <w:r w:rsidR="000C0F47">
        <w:rPr>
          <w:b/>
          <w:bCs/>
          <w:lang w:eastAsia="zh-TW"/>
        </w:rPr>
        <w:t>s</w:t>
      </w:r>
      <w:r w:rsidRPr="00261CCE">
        <w:rPr>
          <w:lang w:eastAsia="zh-TW"/>
        </w:rPr>
        <w:t xml:space="preserve">: </w:t>
      </w:r>
    </w:p>
    <w:p w14:paraId="0E15887D" w14:textId="1CC58D45" w:rsidR="0009316F" w:rsidRPr="00261CCE" w:rsidRDefault="000C0F47" w:rsidP="0009316F">
      <w:pPr>
        <w:spacing w:after="120"/>
        <w:ind w:left="1134" w:right="1134"/>
        <w:jc w:val="both"/>
        <w:rPr>
          <w:lang w:eastAsia="zh-TW"/>
        </w:rPr>
      </w:pPr>
      <w:r>
        <w:rPr>
          <w:lang w:eastAsia="zh-TW"/>
        </w:rPr>
        <w:t>21</w:t>
      </w:r>
      <w:r w:rsidR="0009316F" w:rsidRPr="00261CCE">
        <w:rPr>
          <w:lang w:eastAsia="zh-TW"/>
        </w:rPr>
        <w:t>.</w:t>
      </w:r>
      <w:r w:rsidR="0009316F" w:rsidRPr="00261CCE">
        <w:rPr>
          <w:lang w:eastAsia="zh-TW"/>
        </w:rPr>
        <w:tab/>
        <w:t>Governments in the pan-European region should provide better guidance to farmers on using soil conservation methods in areas of degraded (eroded) soils. Policies should also maintain a judicious balance between soil organic carbon accumulation for higher crop productivity and soil organic carbon storage for climate change mitigation, in line with initiatives that aim, for example, to boost carbon storage in agricultural soils by 0.4 per cent each year. Measures should also address the conversion of natural to agricultural ecosystems and the degradation of habitat quality due to biodiversity-unfriendly agricultural practices, for example, through more targeted use of subsidies and other incentives for sustainable agriculture.</w:t>
      </w:r>
      <w:r w:rsidR="0009316F" w:rsidRPr="00261CCE">
        <w:t xml:space="preserve"> </w:t>
      </w:r>
      <w:r w:rsidR="0009316F" w:rsidRPr="00261CCE">
        <w:rPr>
          <w:lang w:eastAsia="zh-TW"/>
        </w:rPr>
        <w:t>Furthermore, Governments should take measures to reduce land take further and consistently</w:t>
      </w:r>
      <w:r w:rsidR="00E85FF7">
        <w:rPr>
          <w:lang w:eastAsia="zh-TW"/>
        </w:rPr>
        <w:t xml:space="preserve"> and develop </w:t>
      </w:r>
      <w:r w:rsidR="004837FF">
        <w:rPr>
          <w:lang w:eastAsia="zh-TW"/>
        </w:rPr>
        <w:t xml:space="preserve">and implement </w:t>
      </w:r>
      <w:r w:rsidR="00E85FF7">
        <w:rPr>
          <w:lang w:eastAsia="zh-TW"/>
        </w:rPr>
        <w:t>policies to tackle soil sealing</w:t>
      </w:r>
      <w:r w:rsidR="0009316F" w:rsidRPr="00261CCE">
        <w:rPr>
          <w:lang w:eastAsia="zh-TW"/>
        </w:rPr>
        <w:t>.</w:t>
      </w:r>
    </w:p>
    <w:p w14:paraId="6B21CD38" w14:textId="77777777" w:rsidR="0009316F" w:rsidRPr="00261CCE" w:rsidRDefault="0009316F" w:rsidP="0009316F">
      <w:pPr>
        <w:keepNext/>
        <w:spacing w:before="240" w:after="120"/>
        <w:ind w:left="1134" w:right="1134"/>
        <w:rPr>
          <w:b/>
          <w:bCs/>
          <w:lang w:eastAsia="zh-TW"/>
        </w:rPr>
      </w:pPr>
      <w:r w:rsidRPr="00261CCE">
        <w:rPr>
          <w:lang w:eastAsia="zh-TW"/>
        </w:rPr>
        <w:lastRenderedPageBreak/>
        <w:t>Table 9</w:t>
      </w:r>
      <w:r w:rsidRPr="00261CCE">
        <w:rPr>
          <w:lang w:eastAsia="zh-TW"/>
        </w:rPr>
        <w:br/>
      </w:r>
      <w:r w:rsidRPr="00261CCE">
        <w:rPr>
          <w:b/>
          <w:bCs/>
          <w:lang w:eastAsia="zh-TW"/>
        </w:rPr>
        <w:t>Overview on status and trends for selected indicators on land and soil</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850"/>
        <w:gridCol w:w="851"/>
        <w:gridCol w:w="992"/>
        <w:gridCol w:w="851"/>
        <w:gridCol w:w="850"/>
      </w:tblGrid>
      <w:tr w:rsidR="0009316F" w:rsidRPr="00261CCE" w14:paraId="462A847B" w14:textId="77777777" w:rsidTr="00C439AF">
        <w:trPr>
          <w:tblHeader/>
        </w:trPr>
        <w:tc>
          <w:tcPr>
            <w:tcW w:w="2127" w:type="dxa"/>
            <w:tcBorders>
              <w:top w:val="single" w:sz="4" w:space="0" w:color="auto"/>
              <w:bottom w:val="single" w:sz="12" w:space="0" w:color="auto"/>
            </w:tcBorders>
            <w:shd w:val="clear" w:color="auto" w:fill="auto"/>
          </w:tcPr>
          <w:p w14:paraId="0ACAC4D3" w14:textId="77777777" w:rsidR="0009316F" w:rsidRPr="00261CCE" w:rsidRDefault="0009316F" w:rsidP="00C439AF">
            <w:pPr>
              <w:suppressAutoHyphens w:val="0"/>
              <w:spacing w:before="80" w:line="200" w:lineRule="exact"/>
              <w:rPr>
                <w:rFonts w:eastAsia="PMingLiU"/>
                <w:i/>
                <w:sz w:val="16"/>
              </w:rPr>
            </w:pPr>
            <w:r w:rsidRPr="00261CCE">
              <w:rPr>
                <w:i/>
                <w:iCs/>
                <w:sz w:val="18"/>
                <w:szCs w:val="18"/>
              </w:rPr>
              <w:t>Indicator</w:t>
            </w:r>
          </w:p>
        </w:tc>
        <w:tc>
          <w:tcPr>
            <w:tcW w:w="992" w:type="dxa"/>
            <w:tcBorders>
              <w:top w:val="single" w:sz="4" w:space="0" w:color="auto"/>
              <w:bottom w:val="single" w:sz="12" w:space="0" w:color="auto"/>
            </w:tcBorders>
            <w:shd w:val="clear" w:color="auto" w:fill="auto"/>
          </w:tcPr>
          <w:p w14:paraId="1FED8049" w14:textId="77777777" w:rsidR="0009316F" w:rsidRPr="00AB7838" w:rsidRDefault="0009316F" w:rsidP="00C439AF">
            <w:pPr>
              <w:suppressAutoHyphens w:val="0"/>
              <w:spacing w:before="80" w:line="200" w:lineRule="exact"/>
              <w:jc w:val="center"/>
              <w:rPr>
                <w:rFonts w:eastAsia="PMingLiU"/>
                <w:i/>
                <w:sz w:val="18"/>
                <w:szCs w:val="18"/>
              </w:rPr>
            </w:pPr>
            <w:r w:rsidRPr="00AB7838">
              <w:rPr>
                <w:i/>
                <w:iCs/>
                <w:sz w:val="18"/>
                <w:szCs w:val="18"/>
              </w:rPr>
              <w:t>European Union</w:t>
            </w:r>
          </w:p>
        </w:tc>
        <w:tc>
          <w:tcPr>
            <w:tcW w:w="850" w:type="dxa"/>
            <w:tcBorders>
              <w:top w:val="single" w:sz="4" w:space="0" w:color="auto"/>
              <w:bottom w:val="single" w:sz="12" w:space="0" w:color="auto"/>
            </w:tcBorders>
            <w:shd w:val="clear" w:color="auto" w:fill="auto"/>
          </w:tcPr>
          <w:p w14:paraId="755F3BBF" w14:textId="77777777" w:rsidR="0009316F" w:rsidRPr="00AB7838" w:rsidRDefault="0009316F" w:rsidP="00C439AF">
            <w:pPr>
              <w:suppressAutoHyphens w:val="0"/>
              <w:spacing w:before="80" w:line="200" w:lineRule="exact"/>
              <w:jc w:val="center"/>
              <w:rPr>
                <w:rFonts w:eastAsia="PMingLiU"/>
                <w:i/>
                <w:sz w:val="18"/>
                <w:szCs w:val="18"/>
              </w:rPr>
            </w:pPr>
            <w:r w:rsidRPr="00AB7838">
              <w:rPr>
                <w:i/>
                <w:iCs/>
                <w:sz w:val="18"/>
                <w:szCs w:val="18"/>
              </w:rPr>
              <w:t>Western Europe</w:t>
            </w:r>
          </w:p>
        </w:tc>
        <w:tc>
          <w:tcPr>
            <w:tcW w:w="851" w:type="dxa"/>
            <w:tcBorders>
              <w:top w:val="single" w:sz="4" w:space="0" w:color="auto"/>
              <w:bottom w:val="single" w:sz="12" w:space="0" w:color="auto"/>
            </w:tcBorders>
            <w:shd w:val="clear" w:color="auto" w:fill="auto"/>
          </w:tcPr>
          <w:p w14:paraId="6183F64F" w14:textId="77777777" w:rsidR="0009316F" w:rsidRPr="00AB7838" w:rsidRDefault="0009316F" w:rsidP="00C439AF">
            <w:pPr>
              <w:suppressAutoHyphens w:val="0"/>
              <w:spacing w:before="80" w:line="200" w:lineRule="exact"/>
              <w:jc w:val="center"/>
              <w:rPr>
                <w:i/>
                <w:iCs/>
                <w:sz w:val="18"/>
                <w:szCs w:val="18"/>
              </w:rPr>
            </w:pPr>
            <w:r w:rsidRPr="00AB7838">
              <w:rPr>
                <w:i/>
                <w:iCs/>
                <w:sz w:val="18"/>
                <w:szCs w:val="18"/>
              </w:rPr>
              <w:t>Central</w:t>
            </w:r>
          </w:p>
          <w:p w14:paraId="1E8D3282" w14:textId="77777777" w:rsidR="0009316F" w:rsidRPr="00AB7838" w:rsidRDefault="0009316F" w:rsidP="00C439AF">
            <w:pPr>
              <w:suppressAutoHyphens w:val="0"/>
              <w:spacing w:line="200" w:lineRule="exact"/>
              <w:jc w:val="center"/>
              <w:rPr>
                <w:i/>
                <w:iCs/>
                <w:sz w:val="18"/>
                <w:szCs w:val="18"/>
              </w:rPr>
            </w:pPr>
            <w:r w:rsidRPr="00AB7838">
              <w:rPr>
                <w:i/>
                <w:iCs/>
                <w:sz w:val="18"/>
                <w:szCs w:val="18"/>
              </w:rPr>
              <w:t>Asia</w:t>
            </w:r>
          </w:p>
        </w:tc>
        <w:tc>
          <w:tcPr>
            <w:tcW w:w="992" w:type="dxa"/>
            <w:tcBorders>
              <w:top w:val="single" w:sz="4" w:space="0" w:color="auto"/>
              <w:bottom w:val="single" w:sz="12" w:space="0" w:color="auto"/>
            </w:tcBorders>
            <w:shd w:val="clear" w:color="auto" w:fill="auto"/>
          </w:tcPr>
          <w:p w14:paraId="29D757BB" w14:textId="77777777" w:rsidR="0009316F" w:rsidRPr="00AB7838" w:rsidRDefault="0009316F" w:rsidP="00C439AF">
            <w:pPr>
              <w:suppressAutoHyphens w:val="0"/>
              <w:spacing w:before="80" w:line="200" w:lineRule="exact"/>
              <w:jc w:val="center"/>
              <w:rPr>
                <w:rFonts w:eastAsia="PMingLiU"/>
                <w:i/>
                <w:sz w:val="18"/>
                <w:szCs w:val="18"/>
              </w:rPr>
            </w:pPr>
            <w:r w:rsidRPr="00AB7838">
              <w:rPr>
                <w:i/>
                <w:iCs/>
                <w:sz w:val="18"/>
                <w:szCs w:val="18"/>
              </w:rPr>
              <w:t>Eastern Europe</w:t>
            </w:r>
          </w:p>
        </w:tc>
        <w:tc>
          <w:tcPr>
            <w:tcW w:w="851" w:type="dxa"/>
            <w:tcBorders>
              <w:top w:val="single" w:sz="4" w:space="0" w:color="auto"/>
              <w:bottom w:val="single" w:sz="12" w:space="0" w:color="auto"/>
            </w:tcBorders>
            <w:shd w:val="clear" w:color="auto" w:fill="auto"/>
          </w:tcPr>
          <w:p w14:paraId="454D64BE" w14:textId="77777777" w:rsidR="0009316F" w:rsidRPr="00AB7838" w:rsidRDefault="0009316F" w:rsidP="00C439AF">
            <w:pPr>
              <w:suppressAutoHyphens w:val="0"/>
              <w:spacing w:before="80" w:line="200" w:lineRule="exact"/>
              <w:jc w:val="center"/>
              <w:rPr>
                <w:rFonts w:eastAsia="PMingLiU"/>
                <w:i/>
                <w:sz w:val="18"/>
                <w:szCs w:val="18"/>
              </w:rPr>
            </w:pPr>
            <w:r w:rsidRPr="00AB7838">
              <w:rPr>
                <w:i/>
                <w:iCs/>
                <w:sz w:val="18"/>
                <w:szCs w:val="18"/>
              </w:rPr>
              <w:t>South-Eastern Europe</w:t>
            </w:r>
          </w:p>
        </w:tc>
        <w:tc>
          <w:tcPr>
            <w:tcW w:w="850" w:type="dxa"/>
            <w:tcBorders>
              <w:top w:val="single" w:sz="4" w:space="0" w:color="auto"/>
              <w:bottom w:val="single" w:sz="12" w:space="0" w:color="auto"/>
            </w:tcBorders>
            <w:shd w:val="clear" w:color="auto" w:fill="auto"/>
          </w:tcPr>
          <w:p w14:paraId="451EB5A0" w14:textId="77777777" w:rsidR="0009316F" w:rsidRPr="00AB7838" w:rsidRDefault="0009316F" w:rsidP="00C439AF">
            <w:pPr>
              <w:suppressAutoHyphens w:val="0"/>
              <w:spacing w:before="80" w:line="200" w:lineRule="exact"/>
              <w:jc w:val="center"/>
              <w:rPr>
                <w:rFonts w:eastAsia="PMingLiU"/>
                <w:i/>
                <w:sz w:val="18"/>
                <w:szCs w:val="18"/>
              </w:rPr>
            </w:pPr>
            <w:r w:rsidRPr="00AB7838">
              <w:rPr>
                <w:i/>
                <w:iCs/>
                <w:sz w:val="18"/>
                <w:szCs w:val="18"/>
              </w:rPr>
              <w:t>Pan-European region</w:t>
            </w:r>
          </w:p>
        </w:tc>
      </w:tr>
      <w:tr w:rsidR="0009316F" w:rsidRPr="00261CCE" w14:paraId="42D8B072" w14:textId="77777777" w:rsidTr="00C439AF">
        <w:trPr>
          <w:trHeight w:hRule="exact" w:val="82"/>
          <w:tblHeader/>
        </w:trPr>
        <w:tc>
          <w:tcPr>
            <w:tcW w:w="2127" w:type="dxa"/>
            <w:tcBorders>
              <w:top w:val="single" w:sz="12" w:space="0" w:color="auto"/>
            </w:tcBorders>
            <w:shd w:val="clear" w:color="auto" w:fill="auto"/>
          </w:tcPr>
          <w:p w14:paraId="682935DA" w14:textId="77777777" w:rsidR="0009316F" w:rsidRPr="00261CCE" w:rsidRDefault="0009316F" w:rsidP="00C439AF">
            <w:pPr>
              <w:suppressAutoHyphens w:val="0"/>
              <w:spacing w:before="40" w:after="40" w:line="220" w:lineRule="exact"/>
              <w:rPr>
                <w:sz w:val="18"/>
                <w:szCs w:val="18"/>
              </w:rPr>
            </w:pPr>
          </w:p>
        </w:tc>
        <w:tc>
          <w:tcPr>
            <w:tcW w:w="992" w:type="dxa"/>
            <w:tcBorders>
              <w:top w:val="single" w:sz="12" w:space="0" w:color="auto"/>
            </w:tcBorders>
            <w:shd w:val="clear" w:color="auto" w:fill="auto"/>
            <w:vAlign w:val="center"/>
          </w:tcPr>
          <w:p w14:paraId="1003DDDD"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850" w:type="dxa"/>
            <w:tcBorders>
              <w:top w:val="single" w:sz="12" w:space="0" w:color="auto"/>
            </w:tcBorders>
            <w:shd w:val="clear" w:color="auto" w:fill="auto"/>
            <w:vAlign w:val="center"/>
          </w:tcPr>
          <w:p w14:paraId="7F632FD0" w14:textId="77777777" w:rsidR="0009316F" w:rsidRPr="00261CCE" w:rsidRDefault="0009316F" w:rsidP="00C439AF">
            <w:pPr>
              <w:suppressAutoHyphens w:val="0"/>
              <w:spacing w:before="40" w:after="40" w:line="220" w:lineRule="exact"/>
              <w:jc w:val="center"/>
              <w:rPr>
                <w:rFonts w:ascii="Wingdings" w:hAnsi="Wingdings" w:cs="Wingdings"/>
                <w:color w:val="FF0000"/>
                <w:sz w:val="28"/>
                <w:szCs w:val="28"/>
              </w:rPr>
            </w:pPr>
          </w:p>
        </w:tc>
        <w:tc>
          <w:tcPr>
            <w:tcW w:w="851" w:type="dxa"/>
            <w:tcBorders>
              <w:top w:val="single" w:sz="12" w:space="0" w:color="auto"/>
            </w:tcBorders>
            <w:shd w:val="clear" w:color="auto" w:fill="auto"/>
            <w:vAlign w:val="center"/>
          </w:tcPr>
          <w:p w14:paraId="1B2E382C"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992" w:type="dxa"/>
            <w:tcBorders>
              <w:top w:val="single" w:sz="12" w:space="0" w:color="auto"/>
            </w:tcBorders>
            <w:shd w:val="clear" w:color="auto" w:fill="auto"/>
            <w:vAlign w:val="center"/>
          </w:tcPr>
          <w:p w14:paraId="572DC254"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c>
          <w:tcPr>
            <w:tcW w:w="851" w:type="dxa"/>
            <w:tcBorders>
              <w:top w:val="single" w:sz="12" w:space="0" w:color="auto"/>
            </w:tcBorders>
            <w:shd w:val="clear" w:color="auto" w:fill="auto"/>
            <w:vAlign w:val="center"/>
          </w:tcPr>
          <w:p w14:paraId="11850243" w14:textId="77777777" w:rsidR="0009316F" w:rsidRPr="00261CCE" w:rsidRDefault="0009316F" w:rsidP="00C439AF">
            <w:pPr>
              <w:suppressAutoHyphens w:val="0"/>
              <w:spacing w:before="40" w:after="40" w:line="220" w:lineRule="exact"/>
              <w:jc w:val="center"/>
              <w:rPr>
                <w:rFonts w:ascii="Wingdings" w:hAnsi="Wingdings" w:cs="Wingdings"/>
                <w:color w:val="FF0000"/>
                <w:sz w:val="28"/>
                <w:szCs w:val="28"/>
              </w:rPr>
            </w:pPr>
          </w:p>
        </w:tc>
        <w:tc>
          <w:tcPr>
            <w:tcW w:w="850" w:type="dxa"/>
            <w:tcBorders>
              <w:top w:val="single" w:sz="12" w:space="0" w:color="auto"/>
            </w:tcBorders>
            <w:shd w:val="clear" w:color="auto" w:fill="auto"/>
            <w:vAlign w:val="center"/>
          </w:tcPr>
          <w:p w14:paraId="36B46D7A" w14:textId="77777777" w:rsidR="0009316F" w:rsidRPr="00261CCE" w:rsidRDefault="0009316F" w:rsidP="00C439AF">
            <w:pPr>
              <w:suppressAutoHyphens w:val="0"/>
              <w:spacing w:before="40" w:after="40" w:line="220" w:lineRule="exact"/>
              <w:jc w:val="center"/>
              <w:rPr>
                <w:rFonts w:ascii="Wingdings" w:hAnsi="Wingdings" w:cs="Wingdings"/>
                <w:color w:val="00B050"/>
                <w:sz w:val="28"/>
                <w:szCs w:val="28"/>
              </w:rPr>
            </w:pPr>
          </w:p>
        </w:tc>
      </w:tr>
      <w:tr w:rsidR="0009316F" w:rsidRPr="00261CCE" w14:paraId="68430A70" w14:textId="77777777" w:rsidTr="00C439AF">
        <w:trPr>
          <w:trHeight w:val="882"/>
        </w:trPr>
        <w:tc>
          <w:tcPr>
            <w:tcW w:w="2127" w:type="dxa"/>
            <w:shd w:val="clear" w:color="auto" w:fill="auto"/>
          </w:tcPr>
          <w:p w14:paraId="03D0B7A9"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Proportion of land that is degraded (2005–2019) (net land with improvement, percentage)</w:t>
            </w:r>
          </w:p>
        </w:tc>
        <w:tc>
          <w:tcPr>
            <w:tcW w:w="992" w:type="dxa"/>
            <w:shd w:val="clear" w:color="auto" w:fill="auto"/>
            <w:vAlign w:val="center"/>
          </w:tcPr>
          <w:p w14:paraId="79228B88"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3D4FE900"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(39)</w:t>
            </w:r>
          </w:p>
        </w:tc>
        <w:tc>
          <w:tcPr>
            <w:tcW w:w="850" w:type="dxa"/>
            <w:shd w:val="clear" w:color="auto" w:fill="auto"/>
            <w:vAlign w:val="center"/>
          </w:tcPr>
          <w:p w14:paraId="3DAA83EF"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519446FB"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(31)</w:t>
            </w:r>
          </w:p>
        </w:tc>
        <w:tc>
          <w:tcPr>
            <w:tcW w:w="851" w:type="dxa"/>
            <w:shd w:val="clear" w:color="auto" w:fill="auto"/>
            <w:vAlign w:val="center"/>
          </w:tcPr>
          <w:p w14:paraId="4073FF3F"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3D13FB97"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(18)</w:t>
            </w:r>
          </w:p>
        </w:tc>
        <w:tc>
          <w:tcPr>
            <w:tcW w:w="992" w:type="dxa"/>
            <w:shd w:val="clear" w:color="auto" w:fill="auto"/>
            <w:vAlign w:val="center"/>
          </w:tcPr>
          <w:p w14:paraId="42A79251"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31A50BB0"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(26)</w:t>
            </w:r>
          </w:p>
        </w:tc>
        <w:tc>
          <w:tcPr>
            <w:tcW w:w="851" w:type="dxa"/>
            <w:shd w:val="clear" w:color="auto" w:fill="auto"/>
            <w:vAlign w:val="center"/>
          </w:tcPr>
          <w:p w14:paraId="23BE25BF"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50BADCD0"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(51)</w:t>
            </w:r>
          </w:p>
        </w:tc>
        <w:tc>
          <w:tcPr>
            <w:tcW w:w="850" w:type="dxa"/>
            <w:shd w:val="clear" w:color="auto" w:fill="auto"/>
            <w:vAlign w:val="center"/>
          </w:tcPr>
          <w:p w14:paraId="2BB5FBE5"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7F8D3BFB"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(28)</w:t>
            </w:r>
          </w:p>
        </w:tc>
      </w:tr>
      <w:tr w:rsidR="0009316F" w:rsidRPr="00261CCE" w14:paraId="2600DFC1" w14:textId="77777777" w:rsidTr="00C439AF">
        <w:tc>
          <w:tcPr>
            <w:tcW w:w="2127" w:type="dxa"/>
            <w:shd w:val="clear" w:color="auto" w:fill="auto"/>
          </w:tcPr>
          <w:p w14:paraId="6EF44712"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Soil organic carbon content (2005–2019) (net land with improvement, percentage)</w:t>
            </w:r>
          </w:p>
        </w:tc>
        <w:tc>
          <w:tcPr>
            <w:tcW w:w="992" w:type="dxa"/>
            <w:shd w:val="clear" w:color="auto" w:fill="auto"/>
            <w:vAlign w:val="center"/>
          </w:tcPr>
          <w:p w14:paraId="2C577C52"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33491627"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(-0.2)</w:t>
            </w:r>
          </w:p>
        </w:tc>
        <w:tc>
          <w:tcPr>
            <w:tcW w:w="850" w:type="dxa"/>
            <w:shd w:val="clear" w:color="auto" w:fill="auto"/>
            <w:vAlign w:val="center"/>
          </w:tcPr>
          <w:p w14:paraId="15E3B122" w14:textId="77777777" w:rsidR="0009316F" w:rsidRPr="00261CCE" w:rsidRDefault="0009316F" w:rsidP="00C439AF">
            <w:pPr>
              <w:keepNext/>
              <w:spacing w:after="120"/>
              <w:jc w:val="center"/>
              <w:rPr>
                <w:color w:val="FFC000"/>
                <w:sz w:val="28"/>
                <w:szCs w:val="28"/>
              </w:rPr>
            </w:pPr>
            <w:r w:rsidRPr="00261CCE">
              <w:rPr>
                <w:rFonts w:ascii="Wingdings" w:eastAsia="Wingdings" w:hAnsi="Wingdings" w:cs="Wingdings"/>
                <w:color w:val="FFC000"/>
                <w:sz w:val="28"/>
                <w:szCs w:val="28"/>
              </w:rPr>
              <w:t>à</w:t>
            </w:r>
          </w:p>
          <w:p w14:paraId="5B0F2C75"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w:t>
            </w:r>
          </w:p>
        </w:tc>
        <w:tc>
          <w:tcPr>
            <w:tcW w:w="851" w:type="dxa"/>
            <w:shd w:val="clear" w:color="auto" w:fill="auto"/>
            <w:vAlign w:val="center"/>
          </w:tcPr>
          <w:p w14:paraId="70296CCD"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003FEEAF"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(+0.7)</w:t>
            </w:r>
          </w:p>
        </w:tc>
        <w:tc>
          <w:tcPr>
            <w:tcW w:w="992" w:type="dxa"/>
            <w:shd w:val="clear" w:color="auto" w:fill="auto"/>
            <w:vAlign w:val="center"/>
          </w:tcPr>
          <w:p w14:paraId="2FB46CF1"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37C42A53"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(+0.7)</w:t>
            </w:r>
          </w:p>
        </w:tc>
        <w:tc>
          <w:tcPr>
            <w:tcW w:w="851" w:type="dxa"/>
            <w:shd w:val="clear" w:color="auto" w:fill="auto"/>
            <w:vAlign w:val="center"/>
          </w:tcPr>
          <w:p w14:paraId="7B989308"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274D94CA"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(+0.4)</w:t>
            </w:r>
          </w:p>
        </w:tc>
        <w:tc>
          <w:tcPr>
            <w:tcW w:w="850" w:type="dxa"/>
            <w:shd w:val="clear" w:color="auto" w:fill="auto"/>
            <w:vAlign w:val="center"/>
          </w:tcPr>
          <w:p w14:paraId="6651DF06"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00B050"/>
                <w:sz w:val="28"/>
                <w:szCs w:val="28"/>
              </w:rPr>
              <w:t>ä</w:t>
            </w:r>
          </w:p>
          <w:p w14:paraId="6DE5DA9E"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(+0.5)</w:t>
            </w:r>
          </w:p>
        </w:tc>
      </w:tr>
      <w:tr w:rsidR="0009316F" w:rsidRPr="00261CCE" w14:paraId="6F94CCCB" w14:textId="77777777" w:rsidTr="00C439AF">
        <w:trPr>
          <w:trHeight w:hRule="exact" w:val="52"/>
        </w:trPr>
        <w:tc>
          <w:tcPr>
            <w:tcW w:w="2127" w:type="dxa"/>
            <w:tcBorders>
              <w:bottom w:val="single" w:sz="12" w:space="0" w:color="auto"/>
            </w:tcBorders>
            <w:shd w:val="clear" w:color="auto" w:fill="auto"/>
          </w:tcPr>
          <w:p w14:paraId="0A94A870" w14:textId="77777777" w:rsidR="0009316F" w:rsidRPr="00261CCE" w:rsidRDefault="0009316F" w:rsidP="00C439AF">
            <w:pPr>
              <w:suppressAutoHyphens w:val="0"/>
              <w:spacing w:before="40" w:after="40" w:line="220" w:lineRule="exact"/>
              <w:rPr>
                <w:sz w:val="18"/>
                <w:szCs w:val="18"/>
              </w:rPr>
            </w:pPr>
          </w:p>
        </w:tc>
        <w:tc>
          <w:tcPr>
            <w:tcW w:w="992" w:type="dxa"/>
            <w:tcBorders>
              <w:bottom w:val="single" w:sz="12" w:space="0" w:color="auto"/>
            </w:tcBorders>
            <w:shd w:val="clear" w:color="auto" w:fill="auto"/>
            <w:vAlign w:val="center"/>
          </w:tcPr>
          <w:p w14:paraId="040E8272" w14:textId="77777777" w:rsidR="0009316F" w:rsidRPr="00261CCE" w:rsidRDefault="0009316F" w:rsidP="00C439AF">
            <w:pPr>
              <w:keepNext/>
              <w:spacing w:after="120"/>
              <w:jc w:val="center"/>
              <w:rPr>
                <w:rFonts w:ascii="Wingdings" w:hAnsi="Wingdings" w:cs="Wingdings"/>
                <w:color w:val="FF0000"/>
                <w:sz w:val="28"/>
                <w:szCs w:val="28"/>
              </w:rPr>
            </w:pPr>
          </w:p>
        </w:tc>
        <w:tc>
          <w:tcPr>
            <w:tcW w:w="850" w:type="dxa"/>
            <w:tcBorders>
              <w:bottom w:val="single" w:sz="12" w:space="0" w:color="auto"/>
            </w:tcBorders>
            <w:shd w:val="clear" w:color="auto" w:fill="auto"/>
            <w:vAlign w:val="center"/>
          </w:tcPr>
          <w:p w14:paraId="3BAEF3E8" w14:textId="77777777" w:rsidR="0009316F" w:rsidRPr="00261CCE" w:rsidRDefault="0009316F" w:rsidP="00C439AF">
            <w:pPr>
              <w:keepNext/>
              <w:spacing w:after="120"/>
              <w:jc w:val="center"/>
              <w:rPr>
                <w:rFonts w:ascii="Wingdings" w:hAnsi="Wingdings" w:cs="Wingdings"/>
                <w:color w:val="FFC000"/>
                <w:sz w:val="28"/>
                <w:szCs w:val="28"/>
              </w:rPr>
            </w:pPr>
          </w:p>
        </w:tc>
        <w:tc>
          <w:tcPr>
            <w:tcW w:w="851" w:type="dxa"/>
            <w:tcBorders>
              <w:bottom w:val="single" w:sz="12" w:space="0" w:color="auto"/>
            </w:tcBorders>
            <w:shd w:val="clear" w:color="auto" w:fill="auto"/>
            <w:vAlign w:val="center"/>
          </w:tcPr>
          <w:p w14:paraId="41CFD05E"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5C796BC1"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bottom w:val="single" w:sz="12" w:space="0" w:color="auto"/>
            </w:tcBorders>
            <w:shd w:val="clear" w:color="auto" w:fill="auto"/>
            <w:vAlign w:val="center"/>
          </w:tcPr>
          <w:p w14:paraId="3927C180" w14:textId="77777777" w:rsidR="0009316F" w:rsidRPr="00261CCE" w:rsidRDefault="0009316F" w:rsidP="00C439AF">
            <w:pPr>
              <w:keepNext/>
              <w:spacing w:after="120"/>
              <w:jc w:val="center"/>
              <w:rPr>
                <w:rFonts w:ascii="Wingdings" w:hAnsi="Wingdings" w:cs="Wingdings"/>
                <w:color w:val="00B050"/>
                <w:sz w:val="28"/>
                <w:szCs w:val="28"/>
              </w:rPr>
            </w:pPr>
          </w:p>
        </w:tc>
        <w:tc>
          <w:tcPr>
            <w:tcW w:w="850" w:type="dxa"/>
            <w:tcBorders>
              <w:bottom w:val="single" w:sz="12" w:space="0" w:color="auto"/>
            </w:tcBorders>
            <w:shd w:val="clear" w:color="auto" w:fill="auto"/>
            <w:vAlign w:val="center"/>
          </w:tcPr>
          <w:p w14:paraId="4537250A" w14:textId="77777777" w:rsidR="0009316F" w:rsidRPr="00261CCE" w:rsidRDefault="0009316F" w:rsidP="00C439AF">
            <w:pPr>
              <w:keepNext/>
              <w:spacing w:after="120"/>
              <w:jc w:val="center"/>
              <w:rPr>
                <w:rFonts w:ascii="Wingdings" w:hAnsi="Wingdings" w:cs="Wingdings"/>
                <w:color w:val="00B050"/>
                <w:sz w:val="28"/>
                <w:szCs w:val="28"/>
              </w:rPr>
            </w:pPr>
          </w:p>
        </w:tc>
      </w:tr>
    </w:tbl>
    <w:p w14:paraId="3A81719F" w14:textId="589CA4B2" w:rsidR="0009316F" w:rsidRPr="00261CCE" w:rsidRDefault="0009316F" w:rsidP="00475344">
      <w:pPr>
        <w:spacing w:before="120" w:after="120"/>
        <w:ind w:left="1134" w:right="1134" w:firstLine="567"/>
        <w:jc w:val="both"/>
        <w:rPr>
          <w:i/>
          <w:iCs/>
          <w:sz w:val="18"/>
          <w:szCs w:val="18"/>
        </w:rPr>
      </w:pPr>
      <w:r w:rsidRPr="00261CCE">
        <w:rPr>
          <w:i/>
          <w:iCs/>
          <w:sz w:val="18"/>
          <w:szCs w:val="18"/>
        </w:rPr>
        <w:t>Source</w:t>
      </w:r>
      <w:r w:rsidRPr="00261CCE">
        <w:rPr>
          <w:sz w:val="18"/>
          <w:szCs w:val="18"/>
        </w:rPr>
        <w:t>: Conservation International.</w:t>
      </w:r>
    </w:p>
    <w:p w14:paraId="12F0AD91" w14:textId="2DC00EC2" w:rsidR="0009316F" w:rsidRPr="00261CCE" w:rsidRDefault="0009316F" w:rsidP="00475344">
      <w:pPr>
        <w:spacing w:after="120"/>
        <w:ind w:left="1134" w:right="1134" w:firstLine="567"/>
        <w:jc w:val="both"/>
        <w:rPr>
          <w:sz w:val="18"/>
          <w:szCs w:val="18"/>
        </w:rPr>
      </w:pPr>
      <w:r w:rsidRPr="00261CCE">
        <w:rPr>
          <w:i/>
          <w:iCs/>
          <w:sz w:val="18"/>
          <w:szCs w:val="18"/>
        </w:rPr>
        <w:t>Notes</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stable or </w:t>
      </w:r>
      <w:r w:rsidRPr="00261CCE">
        <w:rPr>
          <w:rFonts w:ascii="Wingdings" w:eastAsia="Wingdings" w:hAnsi="Wingdings" w:cs="Wingdings"/>
          <w:color w:val="FF0000"/>
          <w:sz w:val="28"/>
          <w:szCs w:val="28"/>
        </w:rPr>
        <w:t>æ</w:t>
      </w:r>
      <w:r w:rsidRPr="00261CCE">
        <w:t xml:space="preserve"> </w:t>
      </w:r>
      <w:r w:rsidRPr="00261CCE">
        <w:rPr>
          <w:sz w:val="18"/>
          <w:szCs w:val="18"/>
        </w:rPr>
        <w:t>worsening. Land may be improving but still degraded. No data for several countries.</w:t>
      </w:r>
    </w:p>
    <w:p w14:paraId="363F4E1F"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10.</w:t>
      </w:r>
      <w:r w:rsidRPr="00261CCE">
        <w:rPr>
          <w:b/>
        </w:rPr>
        <w:tab/>
        <w:t>Marine protection</w:t>
      </w:r>
    </w:p>
    <w:p w14:paraId="4DB6299B" w14:textId="0C587FFA" w:rsidR="00354B69" w:rsidRDefault="000C0F47" w:rsidP="0009316F">
      <w:pPr>
        <w:spacing w:after="120"/>
        <w:ind w:left="1134" w:right="1134"/>
        <w:jc w:val="both"/>
      </w:pPr>
      <w:r>
        <w:t>22</w:t>
      </w:r>
      <w:r w:rsidR="0009316F" w:rsidRPr="00261CCE">
        <w:t>.</w:t>
      </w:r>
      <w:r w:rsidR="0009316F" w:rsidRPr="00261CCE">
        <w:tab/>
        <w:t xml:space="preserve">Marine pollution, from both land-based (for example, nutrients, plastic and chemicals) and sea-based (for example, plastic and oil) sources, continues to be an urgent problem in most sea regions. Beach and marine litter, dominated by plastic, is recognized as a major global threat to coastal and marine ecosystems in most areas, including remote and less populated areas such as the Barents Sea (see table 10 below). At the same time, climate-induced changes in coastal and marine ecosystems are occurring with as-yet unknown impact, such as increasing sea surface temperatures by about 0.2°C per decade in the North Atlantic and 0.5°C per decade in the Black Sea (since 1981) and observed acidification of surface water, at a rate of approximately 0.02 pH units per decade, in the sea regions surrounding the European Union (and across the global ocean). A holistic and </w:t>
      </w:r>
      <w:r w:rsidR="007C181B">
        <w:t>circular</w:t>
      </w:r>
      <w:r w:rsidR="0009316F" w:rsidRPr="00261CCE">
        <w:t xml:space="preserve"> ecosystem-based approach </w:t>
      </w:r>
      <w:r w:rsidR="00354B69" w:rsidRPr="00354B69">
        <w:t xml:space="preserve">across the different economic sectors and their value chains will be essential </w:t>
      </w:r>
      <w:r w:rsidR="0009316F" w:rsidRPr="00261CCE">
        <w:t xml:space="preserve">to the management of coastal waters and marine ecosystems that addresses the combined effects of multiple pressures </w:t>
      </w:r>
      <w:r w:rsidR="00354B69">
        <w:t>and</w:t>
      </w:r>
      <w:r w:rsidR="00354B69" w:rsidRPr="00261CCE">
        <w:t xml:space="preserve"> </w:t>
      </w:r>
      <w:r w:rsidR="0009316F" w:rsidRPr="00261CCE">
        <w:t xml:space="preserve">progressively integrating social, economic and governance aspects. </w:t>
      </w:r>
    </w:p>
    <w:p w14:paraId="35A4C8D0" w14:textId="2548B30F" w:rsidR="0009316F" w:rsidRPr="00261CCE" w:rsidRDefault="000C0F47" w:rsidP="0009316F">
      <w:pPr>
        <w:spacing w:after="120"/>
        <w:ind w:left="1134" w:right="1134"/>
        <w:jc w:val="both"/>
        <w:rPr>
          <w:lang w:eastAsia="zh-TW"/>
        </w:rPr>
      </w:pPr>
      <w:r>
        <w:t>23</w:t>
      </w:r>
      <w:r w:rsidR="00354B69">
        <w:t>.</w:t>
      </w:r>
      <w:r w:rsidR="00354B69">
        <w:tab/>
      </w:r>
      <w:r w:rsidR="0009316F" w:rsidRPr="00261CCE">
        <w:t>Such an approach applies equally to the use of nature-based solutions in sustainable infrastructure for enhancing coastal resilience and able to withstand the effects of climate change, and to the transition to sustainable coastal and maritime tourism as part of the recovery after the coronavirus pandemic (COVID-19) situation. The Mediterranean Sea and the Black Sea remain highly overfished, whereas signs of recovery of fish stocks can be observed in the North‑East Atlantic Ocean and the Baltic Sea as a result of improved management decisions.</w:t>
      </w:r>
    </w:p>
    <w:p w14:paraId="0DB8AD54" w14:textId="42A8008A" w:rsidR="0009316F" w:rsidRPr="00261CCE" w:rsidRDefault="0009316F" w:rsidP="0009316F">
      <w:pPr>
        <w:pStyle w:val="H23G"/>
      </w:pPr>
      <w:r>
        <w:tab/>
      </w:r>
      <w:r>
        <w:tab/>
      </w:r>
      <w:r w:rsidRPr="00261CCE">
        <w:t>Recommendation</w:t>
      </w:r>
      <w:r w:rsidR="000C0F47">
        <w:t>s</w:t>
      </w:r>
      <w:r w:rsidRPr="00261CCE">
        <w:t xml:space="preserve">: </w:t>
      </w:r>
    </w:p>
    <w:p w14:paraId="00DE3A39" w14:textId="3A32479A" w:rsidR="0009316F" w:rsidRPr="00261CCE" w:rsidRDefault="000C0F47" w:rsidP="00F11530">
      <w:pPr>
        <w:spacing w:after="120"/>
        <w:ind w:left="1134" w:right="1134"/>
        <w:jc w:val="both"/>
      </w:pPr>
      <w:r>
        <w:t>24</w:t>
      </w:r>
      <w:r w:rsidR="0009316F" w:rsidRPr="00261CCE">
        <w:rPr>
          <w:lang w:eastAsia="zh-TW"/>
        </w:rPr>
        <w:t>.</w:t>
      </w:r>
      <w:r w:rsidR="0009316F" w:rsidRPr="00261CCE">
        <w:rPr>
          <w:lang w:eastAsia="zh-TW"/>
        </w:rPr>
        <w:tab/>
        <w:t>Governments in the pan-European region should t</w:t>
      </w:r>
      <w:r w:rsidR="0009316F" w:rsidRPr="00261CCE">
        <w:t>ake urgent action to reduce key pressures to halt and reverse the degradation of coastal waters, marine ecosystems and seas (see also points 7 and 8 above). They should also increase efforts to complement inventories of the number of items of beach and marine litter with information on composition and sources of litter to be able to design more effective measures, in particular where subregional measures are deemed necessary.</w:t>
      </w:r>
      <w:r w:rsidR="00D074F8" w:rsidRPr="00D074F8">
        <w:t xml:space="preserve"> Governments should work with the tourism sector along its value chain, recognizing the sector’s high impact in coastal areas and the interconnectedness of the land and the sea for the marine ecosystem.</w:t>
      </w:r>
    </w:p>
    <w:p w14:paraId="686C53DA" w14:textId="77777777" w:rsidR="0009316F" w:rsidRPr="00261CCE" w:rsidRDefault="0009316F" w:rsidP="00F11530">
      <w:pPr>
        <w:keepNext/>
        <w:spacing w:before="240" w:after="120"/>
        <w:ind w:left="1134" w:right="1134"/>
        <w:rPr>
          <w:sz w:val="18"/>
          <w:szCs w:val="18"/>
        </w:rPr>
      </w:pPr>
      <w:r w:rsidRPr="00261CCE">
        <w:rPr>
          <w:lang w:eastAsia="zh-TW"/>
        </w:rPr>
        <w:lastRenderedPageBreak/>
        <w:t>Table 10</w:t>
      </w:r>
      <w:r w:rsidRPr="00261CCE">
        <w:rPr>
          <w:lang w:eastAsia="zh-TW"/>
        </w:rPr>
        <w:br/>
      </w:r>
      <w:r w:rsidRPr="00261CCE">
        <w:rPr>
          <w:b/>
          <w:bCs/>
          <w:lang w:eastAsia="zh-TW"/>
        </w:rPr>
        <w:t>Overview on status and trends for selected indicators for marine protection</w:t>
      </w:r>
    </w:p>
    <w:tbl>
      <w:tblPr>
        <w:tblStyle w:val="TableGrid1"/>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gridCol w:w="994"/>
        <w:gridCol w:w="992"/>
        <w:gridCol w:w="1134"/>
        <w:gridCol w:w="1417"/>
      </w:tblGrid>
      <w:tr w:rsidR="0009316F" w:rsidRPr="00261CCE" w14:paraId="01146BBC" w14:textId="77777777" w:rsidTr="00C439AF">
        <w:trPr>
          <w:tblHeader/>
        </w:trPr>
        <w:tc>
          <w:tcPr>
            <w:tcW w:w="2834" w:type="dxa"/>
            <w:tcBorders>
              <w:top w:val="single" w:sz="4" w:space="0" w:color="auto"/>
              <w:bottom w:val="single" w:sz="12" w:space="0" w:color="auto"/>
            </w:tcBorders>
            <w:shd w:val="clear" w:color="auto" w:fill="auto"/>
          </w:tcPr>
          <w:p w14:paraId="1ED9C66A" w14:textId="77777777" w:rsidR="0009316F" w:rsidRPr="00261CCE" w:rsidRDefault="0009316F" w:rsidP="00F11530">
            <w:pPr>
              <w:keepNext/>
              <w:suppressAutoHyphens w:val="0"/>
              <w:spacing w:before="80" w:line="200" w:lineRule="exact"/>
              <w:rPr>
                <w:bCs/>
                <w:i/>
                <w:sz w:val="16"/>
                <w:szCs w:val="18"/>
              </w:rPr>
            </w:pPr>
            <w:r w:rsidRPr="00261CCE">
              <w:rPr>
                <w:i/>
                <w:iCs/>
                <w:sz w:val="18"/>
                <w:szCs w:val="18"/>
              </w:rPr>
              <w:t>Indicator</w:t>
            </w:r>
          </w:p>
        </w:tc>
        <w:tc>
          <w:tcPr>
            <w:tcW w:w="994" w:type="dxa"/>
            <w:tcBorders>
              <w:top w:val="single" w:sz="4" w:space="0" w:color="auto"/>
              <w:bottom w:val="single" w:sz="12" w:space="0" w:color="auto"/>
            </w:tcBorders>
            <w:shd w:val="clear" w:color="auto" w:fill="auto"/>
          </w:tcPr>
          <w:p w14:paraId="239D84E2" w14:textId="77777777" w:rsidR="0009316F" w:rsidRPr="00261CCE" w:rsidRDefault="0009316F" w:rsidP="00F11530">
            <w:pPr>
              <w:keepNext/>
              <w:suppressAutoHyphens w:val="0"/>
              <w:spacing w:before="80" w:line="200" w:lineRule="exact"/>
              <w:rPr>
                <w:i/>
                <w:iCs/>
                <w:sz w:val="16"/>
                <w:szCs w:val="18"/>
              </w:rPr>
            </w:pPr>
            <w:r w:rsidRPr="00261CCE">
              <w:rPr>
                <w:i/>
                <w:iCs/>
                <w:sz w:val="16"/>
                <w:szCs w:val="18"/>
              </w:rPr>
              <w:t>Baltic Sea</w:t>
            </w:r>
          </w:p>
        </w:tc>
        <w:tc>
          <w:tcPr>
            <w:tcW w:w="992" w:type="dxa"/>
            <w:tcBorders>
              <w:top w:val="single" w:sz="4" w:space="0" w:color="auto"/>
              <w:bottom w:val="single" w:sz="12" w:space="0" w:color="auto"/>
            </w:tcBorders>
            <w:shd w:val="clear" w:color="auto" w:fill="auto"/>
          </w:tcPr>
          <w:p w14:paraId="6CFFAAAA" w14:textId="77777777" w:rsidR="0009316F" w:rsidRPr="00261CCE" w:rsidRDefault="0009316F" w:rsidP="00F11530">
            <w:pPr>
              <w:keepNext/>
              <w:suppressAutoHyphens w:val="0"/>
              <w:spacing w:before="80" w:line="200" w:lineRule="exact"/>
              <w:rPr>
                <w:i/>
                <w:iCs/>
                <w:sz w:val="16"/>
                <w:szCs w:val="18"/>
              </w:rPr>
            </w:pPr>
            <w:r w:rsidRPr="00261CCE">
              <w:rPr>
                <w:i/>
                <w:iCs/>
                <w:sz w:val="16"/>
                <w:szCs w:val="18"/>
              </w:rPr>
              <w:t>Black Sea</w:t>
            </w:r>
          </w:p>
        </w:tc>
        <w:tc>
          <w:tcPr>
            <w:tcW w:w="1134" w:type="dxa"/>
            <w:tcBorders>
              <w:top w:val="single" w:sz="4" w:space="0" w:color="auto"/>
              <w:bottom w:val="single" w:sz="12" w:space="0" w:color="auto"/>
            </w:tcBorders>
            <w:shd w:val="clear" w:color="auto" w:fill="auto"/>
          </w:tcPr>
          <w:p w14:paraId="2743306C" w14:textId="77777777" w:rsidR="0009316F" w:rsidRPr="00261CCE" w:rsidRDefault="0009316F" w:rsidP="00F11530">
            <w:pPr>
              <w:keepNext/>
              <w:suppressAutoHyphens w:val="0"/>
              <w:spacing w:before="80" w:line="200" w:lineRule="exact"/>
              <w:rPr>
                <w:i/>
                <w:iCs/>
                <w:sz w:val="16"/>
                <w:szCs w:val="18"/>
              </w:rPr>
            </w:pPr>
            <w:r w:rsidRPr="00261CCE">
              <w:rPr>
                <w:i/>
                <w:iCs/>
                <w:sz w:val="16"/>
                <w:szCs w:val="18"/>
                <w:lang w:eastAsia="ru-RU"/>
              </w:rPr>
              <w:t>Mediterranean Sea</w:t>
            </w:r>
          </w:p>
        </w:tc>
        <w:tc>
          <w:tcPr>
            <w:tcW w:w="1417" w:type="dxa"/>
            <w:tcBorders>
              <w:top w:val="single" w:sz="4" w:space="0" w:color="auto"/>
              <w:bottom w:val="single" w:sz="12" w:space="0" w:color="auto"/>
            </w:tcBorders>
            <w:shd w:val="clear" w:color="auto" w:fill="auto"/>
          </w:tcPr>
          <w:p w14:paraId="57A57207" w14:textId="77777777" w:rsidR="0009316F" w:rsidRPr="00261CCE" w:rsidRDefault="0009316F" w:rsidP="00F11530">
            <w:pPr>
              <w:keepNext/>
              <w:suppressAutoHyphens w:val="0"/>
              <w:spacing w:before="80" w:line="200" w:lineRule="exact"/>
              <w:rPr>
                <w:i/>
                <w:iCs/>
                <w:sz w:val="16"/>
                <w:szCs w:val="18"/>
              </w:rPr>
            </w:pPr>
            <w:r w:rsidRPr="00261CCE">
              <w:rPr>
                <w:i/>
                <w:iCs/>
                <w:sz w:val="16"/>
                <w:szCs w:val="18"/>
                <w:lang w:eastAsia="ru-RU"/>
              </w:rPr>
              <w:t>North-East Atlantic</w:t>
            </w:r>
          </w:p>
        </w:tc>
      </w:tr>
      <w:tr w:rsidR="0009316F" w:rsidRPr="00261CCE" w14:paraId="1103C644" w14:textId="77777777" w:rsidTr="00C439AF">
        <w:trPr>
          <w:trHeight w:hRule="exact" w:val="82"/>
        </w:trPr>
        <w:tc>
          <w:tcPr>
            <w:tcW w:w="2834" w:type="dxa"/>
            <w:tcBorders>
              <w:top w:val="single" w:sz="12" w:space="0" w:color="auto"/>
            </w:tcBorders>
            <w:shd w:val="clear" w:color="auto" w:fill="auto"/>
          </w:tcPr>
          <w:p w14:paraId="0775C213" w14:textId="77777777" w:rsidR="0009316F" w:rsidRPr="00261CCE" w:rsidRDefault="0009316F" w:rsidP="00F11530">
            <w:pPr>
              <w:keepNext/>
              <w:suppressAutoHyphens w:val="0"/>
              <w:spacing w:before="40" w:after="40" w:line="220" w:lineRule="exact"/>
              <w:rPr>
                <w:sz w:val="18"/>
                <w:szCs w:val="18"/>
              </w:rPr>
            </w:pPr>
          </w:p>
        </w:tc>
        <w:tc>
          <w:tcPr>
            <w:tcW w:w="994" w:type="dxa"/>
            <w:tcBorders>
              <w:top w:val="single" w:sz="12" w:space="0" w:color="auto"/>
            </w:tcBorders>
            <w:shd w:val="clear" w:color="auto" w:fill="auto"/>
            <w:vAlign w:val="bottom"/>
          </w:tcPr>
          <w:p w14:paraId="4BA2FDE9" w14:textId="77777777" w:rsidR="0009316F" w:rsidRPr="00261CCE" w:rsidRDefault="0009316F" w:rsidP="00F11530">
            <w:pPr>
              <w:keepNext/>
              <w:suppressAutoHyphens w:val="0"/>
              <w:spacing w:before="40" w:after="40" w:line="220" w:lineRule="exact"/>
              <w:jc w:val="right"/>
              <w:rPr>
                <w:sz w:val="18"/>
              </w:rPr>
            </w:pPr>
          </w:p>
        </w:tc>
        <w:tc>
          <w:tcPr>
            <w:tcW w:w="992" w:type="dxa"/>
            <w:tcBorders>
              <w:top w:val="single" w:sz="12" w:space="0" w:color="auto"/>
            </w:tcBorders>
            <w:shd w:val="clear" w:color="auto" w:fill="auto"/>
            <w:vAlign w:val="bottom"/>
          </w:tcPr>
          <w:p w14:paraId="46F3C306" w14:textId="77777777" w:rsidR="0009316F" w:rsidRPr="00261CCE" w:rsidRDefault="0009316F" w:rsidP="00F11530">
            <w:pPr>
              <w:keepNext/>
              <w:suppressAutoHyphens w:val="0"/>
              <w:spacing w:before="40" w:after="40" w:line="220" w:lineRule="exact"/>
              <w:jc w:val="right"/>
              <w:rPr>
                <w:sz w:val="18"/>
              </w:rPr>
            </w:pPr>
          </w:p>
        </w:tc>
        <w:tc>
          <w:tcPr>
            <w:tcW w:w="1134" w:type="dxa"/>
            <w:tcBorders>
              <w:top w:val="single" w:sz="12" w:space="0" w:color="auto"/>
            </w:tcBorders>
            <w:shd w:val="clear" w:color="auto" w:fill="auto"/>
            <w:vAlign w:val="bottom"/>
          </w:tcPr>
          <w:p w14:paraId="108DAA94" w14:textId="77777777" w:rsidR="0009316F" w:rsidRPr="00261CCE" w:rsidRDefault="0009316F" w:rsidP="00F11530">
            <w:pPr>
              <w:keepNext/>
              <w:suppressAutoHyphens w:val="0"/>
              <w:spacing w:before="40" w:after="40" w:line="220" w:lineRule="exact"/>
              <w:jc w:val="right"/>
              <w:rPr>
                <w:sz w:val="18"/>
              </w:rPr>
            </w:pPr>
          </w:p>
        </w:tc>
        <w:tc>
          <w:tcPr>
            <w:tcW w:w="1417" w:type="dxa"/>
            <w:tcBorders>
              <w:top w:val="single" w:sz="12" w:space="0" w:color="auto"/>
            </w:tcBorders>
            <w:shd w:val="clear" w:color="auto" w:fill="auto"/>
            <w:vAlign w:val="bottom"/>
          </w:tcPr>
          <w:p w14:paraId="25D5AABC" w14:textId="77777777" w:rsidR="0009316F" w:rsidRPr="00261CCE" w:rsidRDefault="0009316F" w:rsidP="00F11530">
            <w:pPr>
              <w:keepNext/>
              <w:suppressAutoHyphens w:val="0"/>
              <w:spacing w:before="40" w:after="40" w:line="220" w:lineRule="exact"/>
              <w:jc w:val="right"/>
              <w:rPr>
                <w:sz w:val="18"/>
              </w:rPr>
            </w:pPr>
          </w:p>
        </w:tc>
      </w:tr>
      <w:tr w:rsidR="0009316F" w:rsidRPr="00261CCE" w14:paraId="40F63FCD" w14:textId="77777777" w:rsidTr="00C439AF">
        <w:trPr>
          <w:trHeight w:val="544"/>
        </w:trPr>
        <w:tc>
          <w:tcPr>
            <w:tcW w:w="2834" w:type="dxa"/>
            <w:shd w:val="clear" w:color="auto" w:fill="auto"/>
          </w:tcPr>
          <w:p w14:paraId="58D9DB9E" w14:textId="77777777" w:rsidR="0009316F" w:rsidRPr="00261CCE" w:rsidRDefault="0009316F" w:rsidP="00F11530">
            <w:pPr>
              <w:keepNext/>
              <w:suppressAutoHyphens w:val="0"/>
              <w:spacing w:before="40" w:after="40" w:line="220" w:lineRule="exact"/>
              <w:rPr>
                <w:sz w:val="18"/>
                <w:szCs w:val="18"/>
              </w:rPr>
            </w:pPr>
            <w:r w:rsidRPr="00261CCE">
              <w:rPr>
                <w:sz w:val="18"/>
                <w:szCs w:val="18"/>
              </w:rPr>
              <w:t>Number of items on beach per 100 m of shoreline, median (2014–2019)</w:t>
            </w:r>
          </w:p>
        </w:tc>
        <w:tc>
          <w:tcPr>
            <w:tcW w:w="994" w:type="dxa"/>
            <w:shd w:val="clear" w:color="auto" w:fill="auto"/>
            <w:vAlign w:val="bottom"/>
          </w:tcPr>
          <w:p w14:paraId="38CB3017" w14:textId="77777777" w:rsidR="0009316F" w:rsidRPr="00261CCE" w:rsidRDefault="0009316F" w:rsidP="00F11530">
            <w:pPr>
              <w:keepNext/>
              <w:suppressAutoHyphens w:val="0"/>
              <w:spacing w:before="40" w:after="40" w:line="360" w:lineRule="auto"/>
              <w:jc w:val="center"/>
              <w:rPr>
                <w:sz w:val="18"/>
              </w:rPr>
            </w:pPr>
            <w:r w:rsidRPr="00261CCE">
              <w:rPr>
                <w:sz w:val="18"/>
              </w:rPr>
              <w:t>78</w:t>
            </w:r>
          </w:p>
        </w:tc>
        <w:tc>
          <w:tcPr>
            <w:tcW w:w="992" w:type="dxa"/>
            <w:shd w:val="clear" w:color="auto" w:fill="auto"/>
            <w:vAlign w:val="bottom"/>
          </w:tcPr>
          <w:p w14:paraId="6600A736" w14:textId="77777777" w:rsidR="0009316F" w:rsidRPr="00261CCE" w:rsidRDefault="0009316F" w:rsidP="00F11530">
            <w:pPr>
              <w:keepNext/>
              <w:suppressAutoHyphens w:val="0"/>
              <w:spacing w:before="40" w:after="40" w:line="360" w:lineRule="auto"/>
              <w:jc w:val="center"/>
              <w:rPr>
                <w:sz w:val="18"/>
              </w:rPr>
            </w:pPr>
            <w:r w:rsidRPr="00261CCE">
              <w:rPr>
                <w:sz w:val="18"/>
              </w:rPr>
              <w:t>652</w:t>
            </w:r>
          </w:p>
        </w:tc>
        <w:tc>
          <w:tcPr>
            <w:tcW w:w="1134" w:type="dxa"/>
            <w:shd w:val="clear" w:color="auto" w:fill="auto"/>
            <w:vAlign w:val="bottom"/>
          </w:tcPr>
          <w:p w14:paraId="421BC00C" w14:textId="77777777" w:rsidR="0009316F" w:rsidRPr="00261CCE" w:rsidRDefault="0009316F" w:rsidP="00F11530">
            <w:pPr>
              <w:keepNext/>
              <w:suppressAutoHyphens w:val="0"/>
              <w:spacing w:before="40" w:after="40" w:line="360" w:lineRule="auto"/>
              <w:jc w:val="center"/>
              <w:rPr>
                <w:sz w:val="18"/>
              </w:rPr>
            </w:pPr>
            <w:r w:rsidRPr="00261CCE">
              <w:rPr>
                <w:sz w:val="18"/>
              </w:rPr>
              <w:t>428</w:t>
            </w:r>
          </w:p>
        </w:tc>
        <w:tc>
          <w:tcPr>
            <w:tcW w:w="1417" w:type="dxa"/>
            <w:shd w:val="clear" w:color="auto" w:fill="auto"/>
            <w:vAlign w:val="bottom"/>
          </w:tcPr>
          <w:p w14:paraId="3DA368BF" w14:textId="77777777" w:rsidR="0009316F" w:rsidRPr="00261CCE" w:rsidRDefault="0009316F" w:rsidP="00F11530">
            <w:pPr>
              <w:keepNext/>
              <w:suppressAutoHyphens w:val="0"/>
              <w:spacing w:before="40" w:after="40" w:line="360" w:lineRule="auto"/>
              <w:jc w:val="center"/>
              <w:rPr>
                <w:sz w:val="18"/>
              </w:rPr>
            </w:pPr>
            <w:r w:rsidRPr="00261CCE">
              <w:rPr>
                <w:sz w:val="18"/>
              </w:rPr>
              <w:t>105</w:t>
            </w:r>
          </w:p>
        </w:tc>
      </w:tr>
      <w:tr w:rsidR="0009316F" w:rsidRPr="00261CCE" w14:paraId="1176440E" w14:textId="77777777" w:rsidTr="00C439AF">
        <w:trPr>
          <w:trHeight w:val="805"/>
        </w:trPr>
        <w:tc>
          <w:tcPr>
            <w:tcW w:w="2834" w:type="dxa"/>
            <w:shd w:val="clear" w:color="auto" w:fill="auto"/>
          </w:tcPr>
          <w:p w14:paraId="41FA8233" w14:textId="77777777" w:rsidR="0009316F" w:rsidRPr="00261CCE" w:rsidRDefault="0009316F" w:rsidP="00C439AF">
            <w:pPr>
              <w:suppressAutoHyphens w:val="0"/>
              <w:spacing w:before="40" w:after="40" w:line="220" w:lineRule="exact"/>
              <w:rPr>
                <w:sz w:val="18"/>
                <w:szCs w:val="18"/>
              </w:rPr>
            </w:pPr>
            <w:r w:rsidRPr="00261CCE">
              <w:rPr>
                <w:sz w:val="18"/>
                <w:szCs w:val="18"/>
              </w:rPr>
              <w:t>Percentage of assessed marine fish stocks of good environmental status (2018)</w:t>
            </w:r>
          </w:p>
        </w:tc>
        <w:tc>
          <w:tcPr>
            <w:tcW w:w="994" w:type="dxa"/>
            <w:shd w:val="clear" w:color="auto" w:fill="auto"/>
            <w:vAlign w:val="bottom"/>
          </w:tcPr>
          <w:p w14:paraId="4261B97E" w14:textId="77777777" w:rsidR="0009316F" w:rsidRPr="00261CCE" w:rsidRDefault="0009316F" w:rsidP="00C439AF">
            <w:pPr>
              <w:suppressAutoHyphens w:val="0"/>
              <w:spacing w:before="40" w:after="40" w:line="360" w:lineRule="auto"/>
              <w:jc w:val="center"/>
              <w:rPr>
                <w:sz w:val="18"/>
              </w:rPr>
            </w:pPr>
            <w:r w:rsidRPr="00261CCE">
              <w:rPr>
                <w:sz w:val="18"/>
              </w:rPr>
              <w:t>13</w:t>
            </w:r>
          </w:p>
        </w:tc>
        <w:tc>
          <w:tcPr>
            <w:tcW w:w="992" w:type="dxa"/>
            <w:shd w:val="clear" w:color="auto" w:fill="auto"/>
            <w:vAlign w:val="bottom"/>
          </w:tcPr>
          <w:p w14:paraId="3A15DDE2" w14:textId="77777777" w:rsidR="0009316F" w:rsidRPr="00261CCE" w:rsidRDefault="0009316F" w:rsidP="00C439AF">
            <w:pPr>
              <w:suppressAutoHyphens w:val="0"/>
              <w:spacing w:before="40" w:after="40" w:line="360" w:lineRule="auto"/>
              <w:jc w:val="center"/>
              <w:rPr>
                <w:sz w:val="18"/>
              </w:rPr>
            </w:pPr>
            <w:r w:rsidRPr="00261CCE">
              <w:rPr>
                <w:sz w:val="18"/>
              </w:rPr>
              <w:t>0</w:t>
            </w:r>
          </w:p>
        </w:tc>
        <w:tc>
          <w:tcPr>
            <w:tcW w:w="1134" w:type="dxa"/>
            <w:shd w:val="clear" w:color="auto" w:fill="auto"/>
            <w:vAlign w:val="bottom"/>
          </w:tcPr>
          <w:p w14:paraId="73EDE909" w14:textId="77777777" w:rsidR="0009316F" w:rsidRPr="00261CCE" w:rsidRDefault="0009316F" w:rsidP="00C439AF">
            <w:pPr>
              <w:suppressAutoHyphens w:val="0"/>
              <w:spacing w:before="40" w:after="40" w:line="360" w:lineRule="auto"/>
              <w:jc w:val="center"/>
              <w:rPr>
                <w:sz w:val="18"/>
              </w:rPr>
            </w:pPr>
            <w:r w:rsidRPr="00261CCE">
              <w:rPr>
                <w:sz w:val="18"/>
              </w:rPr>
              <w:t>0</w:t>
            </w:r>
          </w:p>
        </w:tc>
        <w:tc>
          <w:tcPr>
            <w:tcW w:w="1417" w:type="dxa"/>
            <w:shd w:val="clear" w:color="auto" w:fill="auto"/>
            <w:vAlign w:val="bottom"/>
          </w:tcPr>
          <w:p w14:paraId="0911F87B" w14:textId="77777777" w:rsidR="0009316F" w:rsidRPr="00261CCE" w:rsidRDefault="0009316F" w:rsidP="00C439AF">
            <w:pPr>
              <w:suppressAutoHyphens w:val="0"/>
              <w:spacing w:before="40" w:after="40" w:line="360" w:lineRule="auto"/>
              <w:jc w:val="center"/>
              <w:rPr>
                <w:sz w:val="18"/>
              </w:rPr>
            </w:pPr>
            <w:r w:rsidRPr="00261CCE">
              <w:rPr>
                <w:sz w:val="18"/>
              </w:rPr>
              <w:t>44</w:t>
            </w:r>
          </w:p>
        </w:tc>
      </w:tr>
      <w:tr w:rsidR="0009316F" w:rsidRPr="00261CCE" w14:paraId="31B563E9" w14:textId="77777777" w:rsidTr="00C439AF">
        <w:trPr>
          <w:trHeight w:hRule="exact" w:val="49"/>
        </w:trPr>
        <w:tc>
          <w:tcPr>
            <w:tcW w:w="2834" w:type="dxa"/>
            <w:tcBorders>
              <w:bottom w:val="single" w:sz="12" w:space="0" w:color="auto"/>
            </w:tcBorders>
            <w:shd w:val="clear" w:color="auto" w:fill="auto"/>
          </w:tcPr>
          <w:p w14:paraId="011D7780" w14:textId="77777777" w:rsidR="0009316F" w:rsidRPr="00261CCE" w:rsidRDefault="0009316F" w:rsidP="00C439AF">
            <w:pPr>
              <w:suppressAutoHyphens w:val="0"/>
              <w:spacing w:before="40" w:after="40" w:line="220" w:lineRule="exact"/>
              <w:rPr>
                <w:sz w:val="18"/>
                <w:szCs w:val="18"/>
              </w:rPr>
            </w:pPr>
          </w:p>
        </w:tc>
        <w:tc>
          <w:tcPr>
            <w:tcW w:w="994" w:type="dxa"/>
            <w:tcBorders>
              <w:bottom w:val="single" w:sz="12" w:space="0" w:color="auto"/>
            </w:tcBorders>
            <w:shd w:val="clear" w:color="auto" w:fill="auto"/>
            <w:vAlign w:val="bottom"/>
          </w:tcPr>
          <w:p w14:paraId="627E15A2" w14:textId="77777777" w:rsidR="0009316F" w:rsidRPr="00261CCE" w:rsidRDefault="0009316F" w:rsidP="00C439AF">
            <w:pPr>
              <w:suppressAutoHyphens w:val="0"/>
              <w:spacing w:before="40" w:after="40" w:line="220" w:lineRule="exact"/>
              <w:jc w:val="right"/>
              <w:rPr>
                <w:sz w:val="18"/>
              </w:rPr>
            </w:pPr>
          </w:p>
        </w:tc>
        <w:tc>
          <w:tcPr>
            <w:tcW w:w="992" w:type="dxa"/>
            <w:tcBorders>
              <w:bottom w:val="single" w:sz="12" w:space="0" w:color="auto"/>
            </w:tcBorders>
            <w:shd w:val="clear" w:color="auto" w:fill="auto"/>
            <w:vAlign w:val="bottom"/>
          </w:tcPr>
          <w:p w14:paraId="1A10C12B" w14:textId="77777777" w:rsidR="0009316F" w:rsidRPr="00261CCE" w:rsidRDefault="0009316F" w:rsidP="00C439AF">
            <w:pPr>
              <w:suppressAutoHyphens w:val="0"/>
              <w:spacing w:before="40" w:after="40" w:line="220" w:lineRule="exact"/>
              <w:jc w:val="right"/>
              <w:rPr>
                <w:sz w:val="18"/>
              </w:rPr>
            </w:pPr>
          </w:p>
        </w:tc>
        <w:tc>
          <w:tcPr>
            <w:tcW w:w="1134" w:type="dxa"/>
            <w:tcBorders>
              <w:bottom w:val="single" w:sz="12" w:space="0" w:color="auto"/>
            </w:tcBorders>
            <w:shd w:val="clear" w:color="auto" w:fill="auto"/>
            <w:vAlign w:val="bottom"/>
          </w:tcPr>
          <w:p w14:paraId="0FCF6158" w14:textId="77777777" w:rsidR="0009316F" w:rsidRPr="00261CCE" w:rsidRDefault="0009316F" w:rsidP="00C439AF">
            <w:pPr>
              <w:suppressAutoHyphens w:val="0"/>
              <w:spacing w:before="40" w:after="40" w:line="220" w:lineRule="exact"/>
              <w:jc w:val="right"/>
              <w:rPr>
                <w:sz w:val="18"/>
              </w:rPr>
            </w:pPr>
          </w:p>
        </w:tc>
        <w:tc>
          <w:tcPr>
            <w:tcW w:w="1417" w:type="dxa"/>
            <w:tcBorders>
              <w:bottom w:val="single" w:sz="12" w:space="0" w:color="auto"/>
            </w:tcBorders>
            <w:shd w:val="clear" w:color="auto" w:fill="auto"/>
            <w:vAlign w:val="bottom"/>
          </w:tcPr>
          <w:p w14:paraId="21D634D4" w14:textId="77777777" w:rsidR="0009316F" w:rsidRPr="00261CCE" w:rsidRDefault="0009316F" w:rsidP="00C439AF">
            <w:pPr>
              <w:suppressAutoHyphens w:val="0"/>
              <w:spacing w:before="40" w:after="40" w:line="220" w:lineRule="exact"/>
              <w:jc w:val="right"/>
              <w:rPr>
                <w:sz w:val="18"/>
              </w:rPr>
            </w:pPr>
          </w:p>
        </w:tc>
      </w:tr>
    </w:tbl>
    <w:p w14:paraId="16C6B2A5" w14:textId="77777777" w:rsidR="0009316F" w:rsidRPr="00261CCE" w:rsidRDefault="0009316F" w:rsidP="00475344">
      <w:pPr>
        <w:spacing w:before="120"/>
        <w:ind w:left="1134" w:right="992" w:firstLine="142"/>
        <w:textAlignment w:val="baseline"/>
        <w:rPr>
          <w:rFonts w:ascii="Segoe UI" w:hAnsi="Segoe UI" w:cs="Segoe UI"/>
          <w:sz w:val="18"/>
          <w:szCs w:val="18"/>
          <w:lang w:eastAsia="zh-CN"/>
        </w:rPr>
      </w:pPr>
      <w:r w:rsidRPr="00261CCE">
        <w:rPr>
          <w:b/>
          <w:sz w:val="24"/>
          <w:szCs w:val="24"/>
          <w:lang w:eastAsia="zh-CN"/>
        </w:rPr>
        <w:tab/>
      </w:r>
      <w:r w:rsidRPr="00261CCE">
        <w:rPr>
          <w:i/>
          <w:iCs/>
          <w:sz w:val="18"/>
          <w:szCs w:val="18"/>
          <w:lang w:eastAsia="zh-CN"/>
        </w:rPr>
        <w:t>Sources</w:t>
      </w:r>
      <w:r w:rsidRPr="00261CCE">
        <w:rPr>
          <w:sz w:val="18"/>
          <w:szCs w:val="18"/>
          <w:lang w:eastAsia="zh-CN"/>
        </w:rPr>
        <w:t xml:space="preserve">: For number of items on beach – Ahmet E. Kideys and Mustafa Aydın, </w:t>
      </w:r>
      <w:r w:rsidRPr="00261CCE">
        <w:rPr>
          <w:i/>
          <w:iCs/>
          <w:sz w:val="18"/>
          <w:szCs w:val="18"/>
          <w:lang w:eastAsia="zh-CN"/>
        </w:rPr>
        <w:t>Marine Litter Watch (MLW) European Beach Litter Assessment 2013–2019</w:t>
      </w:r>
      <w:r w:rsidRPr="00261CCE">
        <w:rPr>
          <w:sz w:val="18"/>
          <w:szCs w:val="18"/>
          <w:lang w:eastAsia="zh-CN"/>
        </w:rPr>
        <w:t xml:space="preserve">, ETC/ICM Technical Report 2/2020 (n.p., European Topic Centre on Inland, Coastal and Marine waters, 2020); For marine fish stocks of good environmental status – European Environment Agency (EEA), </w:t>
      </w:r>
      <w:r w:rsidRPr="00261CCE">
        <w:rPr>
          <w:i/>
          <w:iCs/>
          <w:sz w:val="18"/>
          <w:szCs w:val="18"/>
          <w:lang w:eastAsia="zh-CN"/>
        </w:rPr>
        <w:t>Marine Messages II: Navigating the course towards clean, healthy and productive seas through implementation of an ecosystem-based approach</w:t>
      </w:r>
      <w:r w:rsidRPr="00261CCE">
        <w:rPr>
          <w:sz w:val="18"/>
          <w:szCs w:val="18"/>
          <w:lang w:eastAsia="zh-CN"/>
        </w:rPr>
        <w:t>, EEA Report No. 17/2019 (Luxembourg, Publications Office of the European Union, 2019).</w:t>
      </w:r>
    </w:p>
    <w:p w14:paraId="5FC024FA"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11.</w:t>
      </w:r>
      <w:r w:rsidRPr="00261CCE">
        <w:rPr>
          <w:b/>
        </w:rPr>
        <w:tab/>
        <w:t>Waste management</w:t>
      </w:r>
    </w:p>
    <w:p w14:paraId="69577E22" w14:textId="3E6BDDC7" w:rsidR="0009316F" w:rsidRPr="00261CCE" w:rsidRDefault="000C0F47" w:rsidP="0009316F">
      <w:pPr>
        <w:spacing w:after="120"/>
        <w:ind w:left="1134" w:right="1134"/>
        <w:jc w:val="both"/>
      </w:pPr>
      <w:r>
        <w:t>25</w:t>
      </w:r>
      <w:r w:rsidR="0009316F" w:rsidRPr="00261CCE">
        <w:t>.</w:t>
      </w:r>
      <w:r w:rsidR="0009316F" w:rsidRPr="00261CCE">
        <w:tab/>
        <w:t xml:space="preserve">While the waste management hierarchy assigns highest priority to waste prevention, waste generation continues to rise across the region. Even where a strong political commitment for a circular economy exists, such as in the European Union and other Western European countries, the generated waste quantities are growing. Recycling rates differ significantly among the countries and are particularly low in Eastern Europe and Central Asia. Municipal waste recycling rates above 45 per cent exist only in a few European Union countries and Switzerland. Progress is being achieved in all subregions, but slowly. Average electrical and electronic equipment waste (e-waste), which contains both hazardous and precious components, is stabilizing in the region as a whole, but continues to increase rapidly in the economically less mature subregions (see table 11 below). E-waste collection and recycling are highly deficient across all subregions; the recovery rates are low. </w:t>
      </w:r>
    </w:p>
    <w:p w14:paraId="5C8ECD18" w14:textId="2E9C7101"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0C0F47">
        <w:rPr>
          <w:b/>
        </w:rPr>
        <w:t>s</w:t>
      </w:r>
      <w:r w:rsidRPr="00261CCE">
        <w:rPr>
          <w:b/>
        </w:rPr>
        <w:t xml:space="preserve">: </w:t>
      </w:r>
    </w:p>
    <w:p w14:paraId="6D5EFD63" w14:textId="4B27ED57" w:rsidR="0009316F" w:rsidRPr="00261CCE" w:rsidRDefault="000C0F47" w:rsidP="0009316F">
      <w:pPr>
        <w:spacing w:after="120"/>
        <w:ind w:left="1134" w:right="1134"/>
        <w:jc w:val="both"/>
      </w:pPr>
      <w:r>
        <w:t>26</w:t>
      </w:r>
      <w:r w:rsidR="0009316F" w:rsidRPr="00261CCE">
        <w:rPr>
          <w:lang w:eastAsia="zh-TW"/>
        </w:rPr>
        <w:t>.</w:t>
      </w:r>
      <w:r w:rsidR="0009316F" w:rsidRPr="00261CCE">
        <w:rPr>
          <w:lang w:eastAsia="zh-TW"/>
        </w:rPr>
        <w:tab/>
        <w:t>Governments in the pan-European region should s</w:t>
      </w:r>
      <w:r w:rsidR="0009316F" w:rsidRPr="00261CCE">
        <w:t>upport waste prevention in production and consumption and repair, refurbishment and remanufacturing, including through financial incentives such as tax relief, in order to reduce waste. These waste prevention efforts would improve resource efficiency. Governments should also equip public administrations with a skilled work force, ready to engage with all sectors of society, and to increase broad access to reliable and detailed information, in order to achieve sound management of chemicals and waste. The countries of the region should establish a resource-oriented, pan-European e-waste management partnership aimed at the effective collection and sound handling of recyclables to enable the recovery of valuable resources. One urgent priority is the recovery of secondary resources from e-waste, especially in view of the rapidly growing quantities across Eastern Europe, South-Eastern Europe and Central Asia.</w:t>
      </w:r>
    </w:p>
    <w:p w14:paraId="702BBFD7" w14:textId="77777777" w:rsidR="0009316F" w:rsidRPr="00261CCE" w:rsidRDefault="0009316F" w:rsidP="002C548F">
      <w:pPr>
        <w:keepNext/>
        <w:keepLines/>
        <w:spacing w:before="240" w:after="120"/>
        <w:ind w:left="1134" w:right="1134"/>
        <w:rPr>
          <w:b/>
          <w:bCs/>
          <w:lang w:eastAsia="zh-TW"/>
        </w:rPr>
      </w:pPr>
      <w:r w:rsidRPr="00261CCE">
        <w:rPr>
          <w:lang w:eastAsia="zh-TW"/>
        </w:rPr>
        <w:lastRenderedPageBreak/>
        <w:t>Table 11</w:t>
      </w:r>
      <w:r w:rsidRPr="00261CCE">
        <w:rPr>
          <w:lang w:eastAsia="zh-TW"/>
        </w:rPr>
        <w:br/>
      </w:r>
      <w:r w:rsidRPr="00261CCE">
        <w:rPr>
          <w:b/>
          <w:bCs/>
          <w:lang w:eastAsia="zh-TW"/>
        </w:rPr>
        <w:t>Overview on status and trends for selected indicators for waste management</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993"/>
        <w:gridCol w:w="992"/>
        <w:gridCol w:w="992"/>
        <w:gridCol w:w="1134"/>
        <w:gridCol w:w="1134"/>
      </w:tblGrid>
      <w:tr w:rsidR="0009316F" w:rsidRPr="00261CCE" w14:paraId="64261ACD" w14:textId="77777777" w:rsidTr="00C439AF">
        <w:trPr>
          <w:tblHeader/>
        </w:trPr>
        <w:tc>
          <w:tcPr>
            <w:tcW w:w="1418" w:type="dxa"/>
            <w:tcBorders>
              <w:top w:val="single" w:sz="4" w:space="0" w:color="auto"/>
              <w:bottom w:val="single" w:sz="12" w:space="0" w:color="auto"/>
            </w:tcBorders>
            <w:shd w:val="clear" w:color="auto" w:fill="auto"/>
          </w:tcPr>
          <w:p w14:paraId="596B8521" w14:textId="77777777" w:rsidR="0009316F" w:rsidRPr="00261CCE" w:rsidRDefault="0009316F" w:rsidP="002C548F">
            <w:pPr>
              <w:keepNext/>
              <w:keepLines/>
              <w:spacing w:before="80" w:line="200" w:lineRule="exact"/>
              <w:ind w:right="113"/>
              <w:rPr>
                <w:rFonts w:eastAsia="PMingLiU"/>
                <w:i/>
                <w:sz w:val="16"/>
              </w:rPr>
            </w:pPr>
            <w:r w:rsidRPr="00261CCE">
              <w:rPr>
                <w:i/>
                <w:iCs/>
                <w:sz w:val="18"/>
                <w:szCs w:val="18"/>
              </w:rPr>
              <w:t>Indicator</w:t>
            </w:r>
          </w:p>
        </w:tc>
        <w:tc>
          <w:tcPr>
            <w:tcW w:w="850" w:type="dxa"/>
            <w:tcBorders>
              <w:top w:val="single" w:sz="4" w:space="0" w:color="auto"/>
              <w:bottom w:val="single" w:sz="12" w:space="0" w:color="auto"/>
            </w:tcBorders>
            <w:shd w:val="clear" w:color="auto" w:fill="auto"/>
          </w:tcPr>
          <w:p w14:paraId="0CDF1DBB"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European Union</w:t>
            </w:r>
          </w:p>
        </w:tc>
        <w:tc>
          <w:tcPr>
            <w:tcW w:w="993" w:type="dxa"/>
            <w:tcBorders>
              <w:top w:val="single" w:sz="4" w:space="0" w:color="auto"/>
              <w:bottom w:val="single" w:sz="12" w:space="0" w:color="auto"/>
            </w:tcBorders>
            <w:shd w:val="clear" w:color="auto" w:fill="auto"/>
          </w:tcPr>
          <w:p w14:paraId="66844122"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Western Europe</w:t>
            </w:r>
          </w:p>
        </w:tc>
        <w:tc>
          <w:tcPr>
            <w:tcW w:w="992" w:type="dxa"/>
            <w:tcBorders>
              <w:top w:val="single" w:sz="4" w:space="0" w:color="auto"/>
              <w:bottom w:val="single" w:sz="12" w:space="0" w:color="auto"/>
            </w:tcBorders>
            <w:shd w:val="clear" w:color="auto" w:fill="auto"/>
          </w:tcPr>
          <w:p w14:paraId="7AC3AA03"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Central Asia</w:t>
            </w:r>
          </w:p>
        </w:tc>
        <w:tc>
          <w:tcPr>
            <w:tcW w:w="992" w:type="dxa"/>
            <w:tcBorders>
              <w:top w:val="single" w:sz="4" w:space="0" w:color="auto"/>
              <w:bottom w:val="single" w:sz="12" w:space="0" w:color="auto"/>
            </w:tcBorders>
            <w:shd w:val="clear" w:color="auto" w:fill="auto"/>
          </w:tcPr>
          <w:p w14:paraId="3F5E2E2D"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Eastern Europe</w:t>
            </w:r>
          </w:p>
        </w:tc>
        <w:tc>
          <w:tcPr>
            <w:tcW w:w="1134" w:type="dxa"/>
            <w:tcBorders>
              <w:top w:val="single" w:sz="4" w:space="0" w:color="auto"/>
              <w:bottom w:val="single" w:sz="12" w:space="0" w:color="auto"/>
            </w:tcBorders>
            <w:shd w:val="clear" w:color="auto" w:fill="auto"/>
          </w:tcPr>
          <w:p w14:paraId="1B1E3C35"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South-Eastern Europe</w:t>
            </w:r>
          </w:p>
        </w:tc>
        <w:tc>
          <w:tcPr>
            <w:tcW w:w="1134" w:type="dxa"/>
            <w:tcBorders>
              <w:top w:val="single" w:sz="4" w:space="0" w:color="auto"/>
              <w:bottom w:val="single" w:sz="12" w:space="0" w:color="auto"/>
            </w:tcBorders>
            <w:shd w:val="clear" w:color="auto" w:fill="auto"/>
          </w:tcPr>
          <w:p w14:paraId="71F87825" w14:textId="77777777" w:rsidR="0009316F" w:rsidRPr="00261CCE" w:rsidRDefault="0009316F" w:rsidP="002C548F">
            <w:pPr>
              <w:keepNext/>
              <w:keepLines/>
              <w:spacing w:before="80" w:line="200" w:lineRule="exact"/>
              <w:ind w:right="113"/>
              <w:jc w:val="center"/>
              <w:rPr>
                <w:rFonts w:eastAsia="PMingLiU"/>
                <w:i/>
                <w:iCs/>
                <w:sz w:val="18"/>
                <w:szCs w:val="18"/>
              </w:rPr>
            </w:pPr>
            <w:r w:rsidRPr="00261CCE">
              <w:rPr>
                <w:i/>
                <w:iCs/>
                <w:sz w:val="18"/>
                <w:szCs w:val="18"/>
              </w:rPr>
              <w:t>Pan-European region</w:t>
            </w:r>
          </w:p>
        </w:tc>
      </w:tr>
      <w:tr w:rsidR="0009316F" w:rsidRPr="00261CCE" w14:paraId="75FB91DC" w14:textId="77777777" w:rsidTr="00C439AF">
        <w:trPr>
          <w:trHeight w:hRule="exact" w:val="113"/>
          <w:tblHeader/>
        </w:trPr>
        <w:tc>
          <w:tcPr>
            <w:tcW w:w="1418" w:type="dxa"/>
            <w:tcBorders>
              <w:top w:val="single" w:sz="12" w:space="0" w:color="auto"/>
            </w:tcBorders>
            <w:shd w:val="clear" w:color="auto" w:fill="auto"/>
          </w:tcPr>
          <w:p w14:paraId="24DF11F3" w14:textId="77777777" w:rsidR="0009316F" w:rsidRPr="00261CCE" w:rsidRDefault="0009316F" w:rsidP="002C548F">
            <w:pPr>
              <w:keepNext/>
              <w:keepLines/>
              <w:spacing w:before="40" w:after="120"/>
              <w:ind w:right="113"/>
              <w:rPr>
                <w:rFonts w:eastAsia="PMingLiU"/>
              </w:rPr>
            </w:pPr>
          </w:p>
        </w:tc>
        <w:tc>
          <w:tcPr>
            <w:tcW w:w="850" w:type="dxa"/>
            <w:tcBorders>
              <w:top w:val="single" w:sz="12" w:space="0" w:color="auto"/>
            </w:tcBorders>
            <w:shd w:val="clear" w:color="auto" w:fill="auto"/>
          </w:tcPr>
          <w:p w14:paraId="1CC06B33" w14:textId="77777777" w:rsidR="0009316F" w:rsidRPr="00261CCE" w:rsidRDefault="0009316F" w:rsidP="002C548F">
            <w:pPr>
              <w:keepNext/>
              <w:keepLines/>
              <w:spacing w:before="40" w:after="120"/>
              <w:ind w:right="113"/>
              <w:rPr>
                <w:iCs/>
                <w:szCs w:val="18"/>
              </w:rPr>
            </w:pPr>
          </w:p>
        </w:tc>
        <w:tc>
          <w:tcPr>
            <w:tcW w:w="993" w:type="dxa"/>
            <w:tcBorders>
              <w:top w:val="single" w:sz="12" w:space="0" w:color="auto"/>
            </w:tcBorders>
            <w:shd w:val="clear" w:color="auto" w:fill="auto"/>
          </w:tcPr>
          <w:p w14:paraId="1CDD47CA" w14:textId="77777777" w:rsidR="0009316F" w:rsidRPr="00261CCE" w:rsidRDefault="0009316F" w:rsidP="002C548F">
            <w:pPr>
              <w:keepNext/>
              <w:keepLines/>
              <w:spacing w:before="40" w:after="120"/>
              <w:ind w:right="113"/>
              <w:rPr>
                <w:iCs/>
                <w:szCs w:val="18"/>
              </w:rPr>
            </w:pPr>
          </w:p>
        </w:tc>
        <w:tc>
          <w:tcPr>
            <w:tcW w:w="992" w:type="dxa"/>
            <w:tcBorders>
              <w:top w:val="single" w:sz="12" w:space="0" w:color="auto"/>
            </w:tcBorders>
            <w:shd w:val="clear" w:color="auto" w:fill="auto"/>
          </w:tcPr>
          <w:p w14:paraId="7017D610" w14:textId="77777777" w:rsidR="0009316F" w:rsidRPr="00261CCE" w:rsidRDefault="0009316F" w:rsidP="002C548F">
            <w:pPr>
              <w:keepNext/>
              <w:keepLines/>
              <w:spacing w:before="40" w:after="120"/>
              <w:ind w:right="113"/>
              <w:rPr>
                <w:iCs/>
                <w:szCs w:val="18"/>
              </w:rPr>
            </w:pPr>
          </w:p>
        </w:tc>
        <w:tc>
          <w:tcPr>
            <w:tcW w:w="992" w:type="dxa"/>
            <w:tcBorders>
              <w:top w:val="single" w:sz="12" w:space="0" w:color="auto"/>
            </w:tcBorders>
            <w:shd w:val="clear" w:color="auto" w:fill="auto"/>
          </w:tcPr>
          <w:p w14:paraId="5D7C212B" w14:textId="77777777" w:rsidR="0009316F" w:rsidRPr="00261CCE" w:rsidRDefault="0009316F" w:rsidP="002C548F">
            <w:pPr>
              <w:keepNext/>
              <w:keepLines/>
              <w:spacing w:before="40" w:after="120"/>
              <w:ind w:right="113"/>
              <w:rPr>
                <w:iCs/>
                <w:szCs w:val="18"/>
              </w:rPr>
            </w:pPr>
          </w:p>
        </w:tc>
        <w:tc>
          <w:tcPr>
            <w:tcW w:w="1134" w:type="dxa"/>
            <w:tcBorders>
              <w:top w:val="single" w:sz="12" w:space="0" w:color="auto"/>
            </w:tcBorders>
            <w:shd w:val="clear" w:color="auto" w:fill="auto"/>
          </w:tcPr>
          <w:p w14:paraId="7E11441C" w14:textId="77777777" w:rsidR="0009316F" w:rsidRPr="00261CCE" w:rsidRDefault="0009316F" w:rsidP="002C548F">
            <w:pPr>
              <w:keepNext/>
              <w:keepLines/>
              <w:spacing w:before="40" w:after="120"/>
              <w:ind w:right="113"/>
              <w:rPr>
                <w:iCs/>
                <w:szCs w:val="18"/>
              </w:rPr>
            </w:pPr>
          </w:p>
        </w:tc>
        <w:tc>
          <w:tcPr>
            <w:tcW w:w="1134" w:type="dxa"/>
            <w:tcBorders>
              <w:top w:val="single" w:sz="12" w:space="0" w:color="auto"/>
            </w:tcBorders>
            <w:shd w:val="clear" w:color="auto" w:fill="auto"/>
          </w:tcPr>
          <w:p w14:paraId="776EF009" w14:textId="77777777" w:rsidR="0009316F" w:rsidRPr="00261CCE" w:rsidRDefault="0009316F" w:rsidP="002C548F">
            <w:pPr>
              <w:keepNext/>
              <w:keepLines/>
              <w:spacing w:before="40" w:after="120"/>
              <w:ind w:right="113"/>
              <w:rPr>
                <w:iCs/>
                <w:szCs w:val="18"/>
              </w:rPr>
            </w:pPr>
          </w:p>
        </w:tc>
      </w:tr>
      <w:tr w:rsidR="0009316F" w:rsidRPr="00261CCE" w14:paraId="64BB06F1" w14:textId="77777777" w:rsidTr="00C439AF">
        <w:tc>
          <w:tcPr>
            <w:tcW w:w="1418" w:type="dxa"/>
            <w:shd w:val="clear" w:color="auto" w:fill="auto"/>
          </w:tcPr>
          <w:p w14:paraId="4F17AA38" w14:textId="77777777" w:rsidR="0009316F" w:rsidRPr="00261CCE" w:rsidRDefault="0009316F" w:rsidP="002C548F">
            <w:pPr>
              <w:keepNext/>
              <w:keepLines/>
              <w:spacing w:before="40" w:after="120"/>
              <w:ind w:right="113"/>
              <w:rPr>
                <w:rFonts w:eastAsia="PMingLiU"/>
              </w:rPr>
            </w:pPr>
            <w:r w:rsidRPr="00261CCE">
              <w:rPr>
                <w:szCs w:val="18"/>
              </w:rPr>
              <w:t xml:space="preserve">E-waste generation per capita </w:t>
            </w:r>
            <w:r w:rsidRPr="00261CCE">
              <w:rPr>
                <w:szCs w:val="18"/>
              </w:rPr>
              <w:br/>
              <w:t>(kg in 2019)</w:t>
            </w:r>
          </w:p>
        </w:tc>
        <w:tc>
          <w:tcPr>
            <w:tcW w:w="850" w:type="dxa"/>
            <w:shd w:val="clear" w:color="auto" w:fill="auto"/>
            <w:vAlign w:val="center"/>
          </w:tcPr>
          <w:p w14:paraId="59EA0594"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00B050"/>
                <w:sz w:val="28"/>
                <w:szCs w:val="28"/>
              </w:rPr>
              <w:t>ä</w:t>
            </w:r>
            <w:r w:rsidRPr="00261CCE">
              <w:t xml:space="preserve"> </w:t>
            </w:r>
            <w:r w:rsidRPr="00261CCE">
              <w:rPr>
                <w:rFonts w:ascii="Wingdings" w:eastAsia="Wingdings" w:hAnsi="Wingdings" w:cs="Wingdings"/>
                <w:color w:val="FF0000"/>
                <w:sz w:val="28"/>
                <w:szCs w:val="28"/>
              </w:rPr>
              <w:t>L</w:t>
            </w:r>
          </w:p>
          <w:p w14:paraId="01E4D370" w14:textId="77777777" w:rsidR="0009316F" w:rsidRPr="00261CCE" w:rsidRDefault="0009316F" w:rsidP="002C548F">
            <w:pPr>
              <w:keepNext/>
              <w:keepLines/>
              <w:spacing w:before="40" w:after="120"/>
              <w:ind w:right="113"/>
              <w:jc w:val="center"/>
              <w:rPr>
                <w:rFonts w:eastAsia="PMingLiU"/>
              </w:rPr>
            </w:pPr>
            <w:r w:rsidRPr="00261CCE">
              <w:rPr>
                <w:sz w:val="18"/>
                <w:szCs w:val="18"/>
              </w:rPr>
              <w:t>(18)</w:t>
            </w:r>
          </w:p>
        </w:tc>
        <w:tc>
          <w:tcPr>
            <w:tcW w:w="993" w:type="dxa"/>
            <w:shd w:val="clear" w:color="auto" w:fill="auto"/>
            <w:vAlign w:val="center"/>
          </w:tcPr>
          <w:p w14:paraId="42902CE7"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00B050"/>
                <w:sz w:val="28"/>
                <w:szCs w:val="28"/>
              </w:rPr>
              <w:t>ä</w:t>
            </w:r>
            <w:r w:rsidRPr="00261CCE">
              <w:t xml:space="preserve"> </w:t>
            </w:r>
            <w:r w:rsidRPr="00261CCE">
              <w:rPr>
                <w:rFonts w:ascii="Wingdings" w:eastAsia="Wingdings" w:hAnsi="Wingdings" w:cs="Wingdings"/>
                <w:color w:val="FF0000"/>
                <w:sz w:val="28"/>
                <w:szCs w:val="28"/>
              </w:rPr>
              <w:t>L</w:t>
            </w:r>
          </w:p>
          <w:p w14:paraId="3017831F" w14:textId="77777777" w:rsidR="0009316F" w:rsidRPr="00261CCE" w:rsidRDefault="0009316F" w:rsidP="002C548F">
            <w:pPr>
              <w:keepNext/>
              <w:keepLines/>
              <w:spacing w:before="40" w:after="120"/>
              <w:ind w:right="113"/>
              <w:jc w:val="center"/>
              <w:rPr>
                <w:rFonts w:eastAsia="PMingLiU"/>
              </w:rPr>
            </w:pPr>
            <w:r w:rsidRPr="00261CCE">
              <w:rPr>
                <w:sz w:val="18"/>
                <w:szCs w:val="18"/>
              </w:rPr>
              <w:t>(23)</w:t>
            </w:r>
          </w:p>
        </w:tc>
        <w:tc>
          <w:tcPr>
            <w:tcW w:w="992" w:type="dxa"/>
            <w:shd w:val="clear" w:color="auto" w:fill="auto"/>
            <w:vAlign w:val="center"/>
          </w:tcPr>
          <w:p w14:paraId="110E07A5"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FF0000"/>
                <w:sz w:val="28"/>
                <w:szCs w:val="28"/>
              </w:rPr>
              <w:t>æ</w:t>
            </w:r>
            <w:r w:rsidRPr="00261CCE">
              <w:rPr>
                <w:color w:val="FF0000"/>
                <w:sz w:val="28"/>
                <w:szCs w:val="28"/>
              </w:rPr>
              <w:t xml:space="preserve"> </w:t>
            </w:r>
            <w:r w:rsidRPr="00261CCE">
              <w:rPr>
                <w:rFonts w:ascii="Wingdings" w:eastAsia="Wingdings" w:hAnsi="Wingdings" w:cs="Wingdings"/>
                <w:color w:val="FFC000"/>
                <w:sz w:val="28"/>
                <w:szCs w:val="28"/>
              </w:rPr>
              <w:t>K</w:t>
            </w:r>
          </w:p>
          <w:p w14:paraId="6247EE13" w14:textId="77777777" w:rsidR="0009316F" w:rsidRPr="00261CCE" w:rsidRDefault="0009316F" w:rsidP="002C548F">
            <w:pPr>
              <w:keepNext/>
              <w:keepLines/>
              <w:spacing w:before="40" w:after="120"/>
              <w:ind w:right="113"/>
              <w:jc w:val="center"/>
              <w:rPr>
                <w:rFonts w:eastAsia="PMingLiU"/>
              </w:rPr>
            </w:pPr>
            <w:r w:rsidRPr="00261CCE">
              <w:rPr>
                <w:sz w:val="18"/>
                <w:szCs w:val="18"/>
              </w:rPr>
              <w:t>(7)</w:t>
            </w:r>
          </w:p>
        </w:tc>
        <w:tc>
          <w:tcPr>
            <w:tcW w:w="992" w:type="dxa"/>
            <w:shd w:val="clear" w:color="auto" w:fill="auto"/>
            <w:vAlign w:val="center"/>
          </w:tcPr>
          <w:p w14:paraId="7C854463"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FF0000"/>
                <w:sz w:val="28"/>
                <w:szCs w:val="28"/>
              </w:rPr>
              <w:t>æ</w:t>
            </w:r>
            <w:r w:rsidRPr="00261CCE">
              <w:rPr>
                <w:color w:val="FF0000"/>
                <w:sz w:val="28"/>
                <w:szCs w:val="28"/>
              </w:rPr>
              <w:t xml:space="preserve"> </w:t>
            </w:r>
            <w:r w:rsidRPr="00261CCE">
              <w:rPr>
                <w:rFonts w:ascii="Wingdings" w:eastAsia="Wingdings" w:hAnsi="Wingdings" w:cs="Wingdings"/>
                <w:color w:val="FF0000"/>
                <w:sz w:val="28"/>
                <w:szCs w:val="28"/>
              </w:rPr>
              <w:t>L</w:t>
            </w:r>
          </w:p>
          <w:p w14:paraId="1F9D82FA" w14:textId="77777777" w:rsidR="0009316F" w:rsidRPr="00261CCE" w:rsidRDefault="0009316F" w:rsidP="002C548F">
            <w:pPr>
              <w:keepNext/>
              <w:keepLines/>
              <w:spacing w:before="40" w:after="120"/>
              <w:ind w:right="113"/>
              <w:jc w:val="center"/>
              <w:rPr>
                <w:rFonts w:eastAsia="PMingLiU"/>
              </w:rPr>
            </w:pPr>
            <w:r w:rsidRPr="00261CCE">
              <w:rPr>
                <w:sz w:val="18"/>
                <w:szCs w:val="18"/>
              </w:rPr>
              <w:t>(10)</w:t>
            </w:r>
          </w:p>
        </w:tc>
        <w:tc>
          <w:tcPr>
            <w:tcW w:w="1134" w:type="dxa"/>
            <w:shd w:val="clear" w:color="auto" w:fill="auto"/>
            <w:vAlign w:val="center"/>
          </w:tcPr>
          <w:p w14:paraId="78B671C8"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FF0000"/>
                <w:sz w:val="28"/>
                <w:szCs w:val="28"/>
              </w:rPr>
              <w:t>æ</w:t>
            </w:r>
            <w:r w:rsidRPr="00261CCE">
              <w:rPr>
                <w:color w:val="FF0000"/>
                <w:sz w:val="28"/>
                <w:szCs w:val="28"/>
              </w:rPr>
              <w:t xml:space="preserve"> </w:t>
            </w:r>
            <w:r w:rsidRPr="00261CCE">
              <w:rPr>
                <w:rFonts w:ascii="Wingdings" w:eastAsia="Wingdings" w:hAnsi="Wingdings" w:cs="Wingdings"/>
                <w:color w:val="FF0000"/>
                <w:sz w:val="28"/>
                <w:szCs w:val="28"/>
              </w:rPr>
              <w:t>L</w:t>
            </w:r>
          </w:p>
          <w:p w14:paraId="0A37F202" w14:textId="77777777" w:rsidR="0009316F" w:rsidRPr="00261CCE" w:rsidRDefault="0009316F" w:rsidP="002C548F">
            <w:pPr>
              <w:keepNext/>
              <w:keepLines/>
              <w:spacing w:before="40" w:after="120"/>
              <w:ind w:right="113"/>
              <w:jc w:val="center"/>
              <w:rPr>
                <w:rFonts w:eastAsia="PMingLiU"/>
              </w:rPr>
            </w:pPr>
            <w:r w:rsidRPr="00261CCE">
              <w:rPr>
                <w:sz w:val="18"/>
                <w:szCs w:val="18"/>
              </w:rPr>
              <w:t>(9.9)</w:t>
            </w:r>
          </w:p>
        </w:tc>
        <w:tc>
          <w:tcPr>
            <w:tcW w:w="1134" w:type="dxa"/>
            <w:shd w:val="clear" w:color="auto" w:fill="auto"/>
            <w:vAlign w:val="center"/>
          </w:tcPr>
          <w:p w14:paraId="1F4BDD04" w14:textId="77777777" w:rsidR="0009316F" w:rsidRPr="00261CCE" w:rsidRDefault="0009316F" w:rsidP="002C548F">
            <w:pPr>
              <w:keepNext/>
              <w:keepLines/>
              <w:spacing w:after="120"/>
              <w:jc w:val="center"/>
              <w:rPr>
                <w:color w:val="FF0000"/>
                <w:sz w:val="28"/>
                <w:szCs w:val="28"/>
              </w:rPr>
            </w:pPr>
            <w:r w:rsidRPr="00261CCE">
              <w:rPr>
                <w:rFonts w:ascii="Wingdings" w:eastAsia="Wingdings" w:hAnsi="Wingdings" w:cs="Wingdings"/>
                <w:color w:val="FFC000"/>
                <w:sz w:val="28"/>
                <w:szCs w:val="28"/>
              </w:rPr>
              <w:t>à</w:t>
            </w:r>
            <w:r w:rsidRPr="00261CCE">
              <w:t xml:space="preserve"> </w:t>
            </w:r>
            <w:r w:rsidRPr="00261CCE">
              <w:rPr>
                <w:rFonts w:ascii="Wingdings" w:eastAsia="Wingdings" w:hAnsi="Wingdings" w:cs="Wingdings"/>
                <w:color w:val="FF0000"/>
                <w:sz w:val="28"/>
                <w:szCs w:val="28"/>
              </w:rPr>
              <w:t>L</w:t>
            </w:r>
          </w:p>
          <w:p w14:paraId="3C6AB553" w14:textId="77777777" w:rsidR="0009316F" w:rsidRPr="00261CCE" w:rsidRDefault="0009316F" w:rsidP="002C548F">
            <w:pPr>
              <w:keepNext/>
              <w:keepLines/>
              <w:spacing w:before="40" w:after="120"/>
              <w:ind w:right="113"/>
              <w:jc w:val="center"/>
              <w:rPr>
                <w:rFonts w:eastAsia="PMingLiU"/>
              </w:rPr>
            </w:pPr>
            <w:r w:rsidRPr="00261CCE">
              <w:rPr>
                <w:sz w:val="18"/>
                <w:szCs w:val="18"/>
              </w:rPr>
              <w:t>(15)</w:t>
            </w:r>
          </w:p>
        </w:tc>
      </w:tr>
      <w:tr w:rsidR="0009316F" w:rsidRPr="00261CCE" w14:paraId="520EC7FD" w14:textId="77777777" w:rsidTr="00C439AF">
        <w:trPr>
          <w:trHeight w:val="846"/>
        </w:trPr>
        <w:tc>
          <w:tcPr>
            <w:tcW w:w="1418" w:type="dxa"/>
            <w:tcBorders>
              <w:bottom w:val="single" w:sz="12" w:space="0" w:color="auto"/>
            </w:tcBorders>
            <w:shd w:val="clear" w:color="auto" w:fill="auto"/>
          </w:tcPr>
          <w:p w14:paraId="76064AED" w14:textId="77777777" w:rsidR="0009316F" w:rsidRPr="00261CCE" w:rsidRDefault="0009316F" w:rsidP="00C439AF">
            <w:pPr>
              <w:spacing w:before="40" w:after="120"/>
              <w:ind w:right="113"/>
              <w:rPr>
                <w:rFonts w:eastAsia="PMingLiU"/>
              </w:rPr>
            </w:pPr>
            <w:r w:rsidRPr="00261CCE">
              <w:rPr>
                <w:szCs w:val="18"/>
              </w:rPr>
              <w:t>Total waste per capita (2018)</w:t>
            </w:r>
          </w:p>
        </w:tc>
        <w:tc>
          <w:tcPr>
            <w:tcW w:w="850" w:type="dxa"/>
            <w:tcBorders>
              <w:bottom w:val="single" w:sz="12" w:space="0" w:color="auto"/>
            </w:tcBorders>
            <w:shd w:val="clear" w:color="auto" w:fill="auto"/>
            <w:vAlign w:val="center"/>
          </w:tcPr>
          <w:p w14:paraId="6A755E35"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c>
          <w:tcPr>
            <w:tcW w:w="993" w:type="dxa"/>
            <w:tcBorders>
              <w:bottom w:val="single" w:sz="12" w:space="0" w:color="auto"/>
            </w:tcBorders>
            <w:shd w:val="clear" w:color="auto" w:fill="auto"/>
            <w:vAlign w:val="center"/>
          </w:tcPr>
          <w:p w14:paraId="33ABF7B0"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c>
          <w:tcPr>
            <w:tcW w:w="992" w:type="dxa"/>
            <w:tcBorders>
              <w:bottom w:val="single" w:sz="12" w:space="0" w:color="auto"/>
            </w:tcBorders>
            <w:shd w:val="clear" w:color="auto" w:fill="auto"/>
            <w:vAlign w:val="center"/>
          </w:tcPr>
          <w:p w14:paraId="6749EC02"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c>
          <w:tcPr>
            <w:tcW w:w="992" w:type="dxa"/>
            <w:tcBorders>
              <w:bottom w:val="single" w:sz="12" w:space="0" w:color="auto"/>
            </w:tcBorders>
            <w:shd w:val="clear" w:color="auto" w:fill="auto"/>
            <w:vAlign w:val="center"/>
          </w:tcPr>
          <w:p w14:paraId="19EFF719"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c>
          <w:tcPr>
            <w:tcW w:w="1134" w:type="dxa"/>
            <w:tcBorders>
              <w:bottom w:val="single" w:sz="12" w:space="0" w:color="auto"/>
            </w:tcBorders>
            <w:shd w:val="clear" w:color="auto" w:fill="auto"/>
            <w:vAlign w:val="center"/>
          </w:tcPr>
          <w:p w14:paraId="25E742EA"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c>
          <w:tcPr>
            <w:tcW w:w="1134" w:type="dxa"/>
            <w:tcBorders>
              <w:bottom w:val="single" w:sz="12" w:space="0" w:color="auto"/>
            </w:tcBorders>
            <w:shd w:val="clear" w:color="auto" w:fill="auto"/>
            <w:vAlign w:val="center"/>
          </w:tcPr>
          <w:p w14:paraId="33FED3C4"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æ</w:t>
            </w:r>
          </w:p>
        </w:tc>
      </w:tr>
    </w:tbl>
    <w:p w14:paraId="1C1B212F" w14:textId="77777777" w:rsidR="0009316F" w:rsidRPr="00261CCE" w:rsidRDefault="0009316F" w:rsidP="0009316F">
      <w:pPr>
        <w:tabs>
          <w:tab w:val="left" w:pos="7938"/>
        </w:tabs>
        <w:spacing w:before="120" w:after="120"/>
        <w:ind w:left="1134" w:right="992" w:firstLine="567"/>
        <w:jc w:val="both"/>
        <w:rPr>
          <w:sz w:val="18"/>
          <w:szCs w:val="18"/>
        </w:rPr>
      </w:pPr>
      <w:r w:rsidRPr="00261CCE">
        <w:rPr>
          <w:i/>
          <w:iCs/>
          <w:sz w:val="18"/>
          <w:szCs w:val="18"/>
        </w:rPr>
        <w:t>Source</w:t>
      </w:r>
      <w:r w:rsidRPr="00261CCE">
        <w:rPr>
          <w:sz w:val="18"/>
          <w:szCs w:val="18"/>
        </w:rPr>
        <w:t xml:space="preserve">: For e-waste generation </w:t>
      </w:r>
      <w:r w:rsidRPr="00261CCE">
        <w:rPr>
          <w:i/>
          <w:iCs/>
          <w:sz w:val="18"/>
          <w:szCs w:val="18"/>
        </w:rPr>
        <w:t xml:space="preserve">– </w:t>
      </w:r>
      <w:r w:rsidRPr="00261CCE">
        <w:rPr>
          <w:sz w:val="18"/>
          <w:szCs w:val="18"/>
        </w:rPr>
        <w:t>Vanessa Forti and others,</w:t>
      </w:r>
      <w:r w:rsidRPr="00261CCE">
        <w:rPr>
          <w:i/>
          <w:iCs/>
          <w:sz w:val="18"/>
          <w:szCs w:val="18"/>
        </w:rPr>
        <w:t xml:space="preserve"> The Global E-waste Monitor 2020: Quantities, flows and the circular economy potential</w:t>
      </w:r>
      <w:r w:rsidRPr="00261CCE">
        <w:t xml:space="preserve"> (n.p., </w:t>
      </w:r>
      <w:r w:rsidRPr="00261CCE">
        <w:rPr>
          <w:sz w:val="18"/>
          <w:szCs w:val="18"/>
        </w:rPr>
        <w:t xml:space="preserve">United Nations University/United Nations Institute for Training and Research, co-hosted Sustainable Cycles Programme, International Telecommunication Union and International Solid Waste Association, 2021); For total waste per capita – </w:t>
      </w:r>
      <w:r w:rsidRPr="00261CCE">
        <w:rPr>
          <w:sz w:val="18"/>
          <w:szCs w:val="18"/>
          <w:shd w:val="clear" w:color="auto" w:fill="FFFFFF"/>
        </w:rPr>
        <w:t>national statistics for the European Union, Iceland, Liechtenstein, Norway, the United Kingdom of Great Britain and Northern Ireland, and South-Eastern Europe except Albania: Eurostat data, retrieved 20 May 2021; other countries: national data published by countries’ statistical entities, retrieved May–July 2021. </w:t>
      </w:r>
    </w:p>
    <w:p w14:paraId="57D4CD9B" w14:textId="77777777" w:rsidR="0009316F" w:rsidRPr="00261CCE" w:rsidRDefault="0009316F" w:rsidP="0009316F">
      <w:pPr>
        <w:ind w:left="1134" w:right="992" w:firstLine="567"/>
        <w:jc w:val="both"/>
        <w:rPr>
          <w:sz w:val="18"/>
          <w:szCs w:val="18"/>
        </w:rPr>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improving,</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stable or </w:t>
      </w:r>
      <w:r w:rsidRPr="00261CCE">
        <w:rPr>
          <w:rFonts w:ascii="Wingdings" w:eastAsia="Wingdings" w:hAnsi="Wingdings" w:cs="Wingdings"/>
          <w:color w:val="FF0000"/>
          <w:sz w:val="28"/>
          <w:szCs w:val="28"/>
        </w:rPr>
        <w:t>æ</w:t>
      </w:r>
      <w:r w:rsidRPr="00261CCE">
        <w:t xml:space="preserve"> </w:t>
      </w:r>
      <w:r w:rsidRPr="00261CCE">
        <w:rPr>
          <w:sz w:val="18"/>
          <w:szCs w:val="18"/>
        </w:rPr>
        <w:t xml:space="preserve">worsening; status of e-waste generation is </w:t>
      </w:r>
      <w:r w:rsidRPr="00261CCE">
        <w:rPr>
          <w:rFonts w:ascii="Wingdings" w:eastAsia="Wingdings" w:hAnsi="Wingdings" w:cs="Wingdings"/>
          <w:color w:val="FFC000"/>
          <w:sz w:val="28"/>
          <w:szCs w:val="28"/>
        </w:rPr>
        <w:t>K</w:t>
      </w:r>
      <w:r w:rsidRPr="00261CCE">
        <w:rPr>
          <w:color w:val="E36C0A" w:themeColor="accent6" w:themeShade="BF"/>
          <w:sz w:val="28"/>
          <w:szCs w:val="28"/>
        </w:rPr>
        <w:t xml:space="preserve"> </w:t>
      </w:r>
      <w:r w:rsidRPr="00261CCE">
        <w:rPr>
          <w:sz w:val="18"/>
          <w:szCs w:val="18"/>
        </w:rPr>
        <w:t>(at the global average of 6.95 kg per capita in 2019) or</w:t>
      </w:r>
      <w:r w:rsidRPr="00261CCE">
        <w:t xml:space="preserve"> </w:t>
      </w:r>
      <w:r w:rsidRPr="00261CCE">
        <w:rPr>
          <w:rFonts w:ascii="Wingdings" w:eastAsia="Wingdings" w:hAnsi="Wingdings" w:cs="Wingdings"/>
          <w:color w:val="FF0000"/>
          <w:sz w:val="28"/>
          <w:szCs w:val="28"/>
        </w:rPr>
        <w:t>L</w:t>
      </w:r>
      <w:r w:rsidRPr="00261CCE">
        <w:t xml:space="preserve"> </w:t>
      </w:r>
      <w:r w:rsidRPr="00261CCE">
        <w:rPr>
          <w:sz w:val="18"/>
          <w:szCs w:val="18"/>
        </w:rPr>
        <w:t>(above the global average rate). No data for Andorra, Liechtenstein, Monaco, San Marino, Tajikistan and Uzbekistan. Limited or no data for some of the countries.</w:t>
      </w:r>
    </w:p>
    <w:p w14:paraId="19E0A2BB" w14:textId="77777777" w:rsidR="0009316F" w:rsidRPr="00261CCE" w:rsidRDefault="0009316F" w:rsidP="0009316F">
      <w:pPr>
        <w:keepNext/>
        <w:keepLines/>
        <w:tabs>
          <w:tab w:val="right" w:pos="851"/>
          <w:tab w:val="left" w:pos="7088"/>
        </w:tabs>
        <w:spacing w:before="240" w:after="120" w:line="240" w:lineRule="exact"/>
        <w:ind w:left="1134" w:right="1134" w:hanging="1134"/>
        <w:rPr>
          <w:b/>
        </w:rPr>
      </w:pPr>
      <w:r w:rsidRPr="00261CCE">
        <w:rPr>
          <w:b/>
        </w:rPr>
        <w:tab/>
        <w:t>12.</w:t>
      </w:r>
      <w:r w:rsidRPr="00261CCE">
        <w:rPr>
          <w:b/>
        </w:rPr>
        <w:tab/>
        <w:t>Chemicals</w:t>
      </w:r>
    </w:p>
    <w:p w14:paraId="59CF973B" w14:textId="55C8F879" w:rsidR="0009316F" w:rsidRPr="00261CCE" w:rsidRDefault="000C0F47" w:rsidP="0009316F">
      <w:pPr>
        <w:pStyle w:val="SingleTxtG"/>
      </w:pPr>
      <w:r>
        <w:t>27</w:t>
      </w:r>
      <w:r w:rsidR="0009316F" w:rsidRPr="00261CCE">
        <w:t>.</w:t>
      </w:r>
      <w:r w:rsidR="0009316F">
        <w:tab/>
      </w:r>
      <w:r w:rsidR="0009316F" w:rsidRPr="00261CCE">
        <w:t>Chemicals play a vital role in the economy and are essential in paving the way towards a green economy, but it remains difficult to capture what is full human exposure to hazardous chemicals (see table 12 below). Chemicals and waste management are at the heart of many solutions to the current challenges that countries face in their transition to a net zero greenhouse gas emission and sustainable economy.</w:t>
      </w:r>
    </w:p>
    <w:p w14:paraId="0BE98E39" w14:textId="6A00752F" w:rsidR="0009316F" w:rsidRPr="00261CCE" w:rsidRDefault="0009316F" w:rsidP="0009316F">
      <w:pPr>
        <w:pStyle w:val="H23G"/>
      </w:pPr>
      <w:r>
        <w:tab/>
      </w:r>
      <w:r>
        <w:tab/>
      </w:r>
      <w:r w:rsidRPr="00261CCE">
        <w:t>Recommendation</w:t>
      </w:r>
      <w:r w:rsidR="000C0F47">
        <w:t>s</w:t>
      </w:r>
      <w:r w:rsidRPr="00261CCE">
        <w:t xml:space="preserve">: </w:t>
      </w:r>
    </w:p>
    <w:p w14:paraId="1A01E7BE" w14:textId="19F119F1" w:rsidR="0009316F" w:rsidRPr="00261CCE" w:rsidRDefault="000C0F47" w:rsidP="005A147B">
      <w:pPr>
        <w:spacing w:after="120"/>
        <w:ind w:left="1134" w:right="1134"/>
        <w:jc w:val="both"/>
      </w:pPr>
      <w:r>
        <w:t>28</w:t>
      </w:r>
      <w:r w:rsidR="0009316F" w:rsidRPr="00261CCE">
        <w:rPr>
          <w:lang w:eastAsia="zh-TW"/>
        </w:rPr>
        <w:t>.</w:t>
      </w:r>
      <w:r w:rsidR="0009316F" w:rsidRPr="00261CCE">
        <w:rPr>
          <w:lang w:eastAsia="zh-TW"/>
        </w:rPr>
        <w:tab/>
      </w:r>
      <w:r w:rsidR="0009316F" w:rsidRPr="0053762F">
        <w:rPr>
          <w:rStyle w:val="SingleTxtGChar"/>
        </w:rPr>
        <w:t>Governments in the pan-European region should strengthen their waste and chemicals management systems. Governments should strive to further advance full and coherent implementation of multilateral environmental agreements, including the Protocol on Pollutant Release and Transfer Registers to the Convention on Access to Information, Public Participation in Decision-making and Access to Justice in Environmental Matters (see also point 18 below).</w:t>
      </w:r>
    </w:p>
    <w:p w14:paraId="56241EFE" w14:textId="77777777" w:rsidR="0009316F" w:rsidRPr="00261CCE" w:rsidRDefault="0009316F" w:rsidP="002C548F">
      <w:pPr>
        <w:keepNext/>
        <w:keepLines/>
        <w:spacing w:before="240" w:after="120"/>
        <w:ind w:left="1134" w:right="1134"/>
        <w:rPr>
          <w:b/>
          <w:bCs/>
          <w:lang w:eastAsia="zh-TW"/>
        </w:rPr>
      </w:pPr>
      <w:r w:rsidRPr="00261CCE">
        <w:rPr>
          <w:lang w:eastAsia="zh-TW"/>
        </w:rPr>
        <w:lastRenderedPageBreak/>
        <w:t>Table 12</w:t>
      </w:r>
      <w:r w:rsidRPr="00261CCE">
        <w:rPr>
          <w:lang w:eastAsia="zh-TW"/>
        </w:rPr>
        <w:br/>
      </w:r>
      <w:r w:rsidRPr="00261CCE">
        <w:rPr>
          <w:b/>
          <w:bCs/>
          <w:lang w:eastAsia="zh-TW"/>
        </w:rPr>
        <w:t>Overview on status and trends for selected indicators for safely managed drinking water or sanitation services</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
        <w:gridCol w:w="1075"/>
        <w:gridCol w:w="992"/>
        <w:gridCol w:w="850"/>
        <w:gridCol w:w="993"/>
        <w:gridCol w:w="1275"/>
        <w:gridCol w:w="1276"/>
      </w:tblGrid>
      <w:tr w:rsidR="0009316F" w:rsidRPr="00261CCE" w14:paraId="500DADB7" w14:textId="77777777" w:rsidTr="00C439AF">
        <w:trPr>
          <w:trHeight w:val="726"/>
        </w:trPr>
        <w:tc>
          <w:tcPr>
            <w:tcW w:w="1052" w:type="dxa"/>
            <w:tcBorders>
              <w:top w:val="single" w:sz="4" w:space="0" w:color="auto"/>
              <w:bottom w:val="single" w:sz="12" w:space="0" w:color="auto"/>
            </w:tcBorders>
            <w:shd w:val="clear" w:color="auto" w:fill="auto"/>
          </w:tcPr>
          <w:p w14:paraId="42C5CE3D" w14:textId="77777777" w:rsidR="0009316F" w:rsidRPr="00261CCE" w:rsidRDefault="0009316F" w:rsidP="002C548F">
            <w:pPr>
              <w:keepNext/>
              <w:keepLines/>
              <w:spacing w:before="80" w:line="200" w:lineRule="exact"/>
              <w:rPr>
                <w:rFonts w:eastAsia="PMingLiU"/>
                <w:i/>
                <w:sz w:val="16"/>
              </w:rPr>
            </w:pPr>
            <w:r w:rsidRPr="00261CCE">
              <w:rPr>
                <w:i/>
                <w:iCs/>
                <w:sz w:val="18"/>
                <w:szCs w:val="18"/>
              </w:rPr>
              <w:t>Indicator</w:t>
            </w:r>
          </w:p>
        </w:tc>
        <w:tc>
          <w:tcPr>
            <w:tcW w:w="1075" w:type="dxa"/>
            <w:tcBorders>
              <w:top w:val="single" w:sz="4" w:space="0" w:color="auto"/>
              <w:bottom w:val="single" w:sz="4" w:space="0" w:color="auto"/>
            </w:tcBorders>
            <w:shd w:val="clear" w:color="auto" w:fill="auto"/>
          </w:tcPr>
          <w:p w14:paraId="3985DD71" w14:textId="77777777" w:rsidR="0009316F" w:rsidRPr="00261CCE" w:rsidRDefault="0009316F" w:rsidP="002C548F">
            <w:pPr>
              <w:keepNext/>
              <w:keepLines/>
              <w:spacing w:before="80" w:line="200" w:lineRule="exact"/>
              <w:jc w:val="center"/>
              <w:rPr>
                <w:rFonts w:eastAsia="PMingLiU"/>
                <w:i/>
                <w:sz w:val="16"/>
              </w:rPr>
            </w:pPr>
            <w:r w:rsidRPr="00261CCE">
              <w:rPr>
                <w:i/>
                <w:iCs/>
                <w:sz w:val="18"/>
                <w:szCs w:val="18"/>
              </w:rPr>
              <w:t>European Union</w:t>
            </w:r>
          </w:p>
        </w:tc>
        <w:tc>
          <w:tcPr>
            <w:tcW w:w="992" w:type="dxa"/>
            <w:tcBorders>
              <w:top w:val="single" w:sz="4" w:space="0" w:color="auto"/>
              <w:bottom w:val="single" w:sz="4" w:space="0" w:color="auto"/>
            </w:tcBorders>
            <w:shd w:val="clear" w:color="auto" w:fill="auto"/>
          </w:tcPr>
          <w:p w14:paraId="5F8D0560" w14:textId="77777777" w:rsidR="0009316F" w:rsidRPr="00261CCE" w:rsidRDefault="0009316F" w:rsidP="002C548F">
            <w:pPr>
              <w:keepNext/>
              <w:keepLines/>
              <w:spacing w:before="80" w:line="200" w:lineRule="exact"/>
              <w:jc w:val="center"/>
              <w:rPr>
                <w:rFonts w:eastAsia="PMingLiU"/>
                <w:i/>
                <w:sz w:val="16"/>
              </w:rPr>
            </w:pPr>
            <w:r w:rsidRPr="00261CCE">
              <w:rPr>
                <w:i/>
                <w:iCs/>
                <w:sz w:val="18"/>
                <w:szCs w:val="18"/>
              </w:rPr>
              <w:t>Western Europe</w:t>
            </w:r>
          </w:p>
        </w:tc>
        <w:tc>
          <w:tcPr>
            <w:tcW w:w="850" w:type="dxa"/>
            <w:tcBorders>
              <w:top w:val="single" w:sz="4" w:space="0" w:color="auto"/>
              <w:bottom w:val="single" w:sz="4" w:space="0" w:color="auto"/>
            </w:tcBorders>
            <w:shd w:val="clear" w:color="auto" w:fill="auto"/>
          </w:tcPr>
          <w:p w14:paraId="40141F19" w14:textId="77777777" w:rsidR="0009316F" w:rsidRPr="00261CCE" w:rsidRDefault="0009316F" w:rsidP="002C548F">
            <w:pPr>
              <w:keepNext/>
              <w:keepLines/>
              <w:spacing w:before="80" w:line="200" w:lineRule="exact"/>
              <w:jc w:val="center"/>
              <w:rPr>
                <w:rFonts w:eastAsia="PMingLiU"/>
                <w:i/>
                <w:sz w:val="16"/>
              </w:rPr>
            </w:pPr>
            <w:r w:rsidRPr="00261CCE">
              <w:rPr>
                <w:i/>
                <w:iCs/>
                <w:sz w:val="18"/>
                <w:szCs w:val="18"/>
              </w:rPr>
              <w:t>Central Asia</w:t>
            </w:r>
          </w:p>
        </w:tc>
        <w:tc>
          <w:tcPr>
            <w:tcW w:w="993" w:type="dxa"/>
            <w:tcBorders>
              <w:top w:val="single" w:sz="4" w:space="0" w:color="auto"/>
              <w:bottom w:val="single" w:sz="4" w:space="0" w:color="auto"/>
            </w:tcBorders>
            <w:shd w:val="clear" w:color="auto" w:fill="auto"/>
          </w:tcPr>
          <w:p w14:paraId="5EF9D926" w14:textId="77777777" w:rsidR="0009316F" w:rsidRPr="00261CCE" w:rsidRDefault="0009316F" w:rsidP="002C548F">
            <w:pPr>
              <w:keepNext/>
              <w:keepLines/>
              <w:spacing w:before="80" w:line="200" w:lineRule="exact"/>
              <w:jc w:val="center"/>
              <w:rPr>
                <w:rFonts w:eastAsia="PMingLiU"/>
                <w:i/>
                <w:sz w:val="16"/>
              </w:rPr>
            </w:pPr>
            <w:r w:rsidRPr="00261CCE">
              <w:rPr>
                <w:i/>
                <w:iCs/>
                <w:sz w:val="18"/>
                <w:szCs w:val="18"/>
              </w:rPr>
              <w:t>Eastern Europe</w:t>
            </w:r>
          </w:p>
        </w:tc>
        <w:tc>
          <w:tcPr>
            <w:tcW w:w="1275" w:type="dxa"/>
            <w:tcBorders>
              <w:top w:val="single" w:sz="4" w:space="0" w:color="auto"/>
              <w:bottom w:val="single" w:sz="4" w:space="0" w:color="auto"/>
            </w:tcBorders>
            <w:shd w:val="clear" w:color="auto" w:fill="auto"/>
          </w:tcPr>
          <w:p w14:paraId="320C6331" w14:textId="77777777" w:rsidR="0009316F" w:rsidRPr="00261CCE" w:rsidRDefault="0009316F" w:rsidP="002C548F">
            <w:pPr>
              <w:keepNext/>
              <w:keepLines/>
              <w:spacing w:before="80" w:line="200" w:lineRule="exact"/>
              <w:jc w:val="center"/>
              <w:rPr>
                <w:rFonts w:eastAsia="PMingLiU"/>
                <w:i/>
                <w:sz w:val="16"/>
              </w:rPr>
            </w:pPr>
            <w:r w:rsidRPr="00261CCE">
              <w:rPr>
                <w:i/>
                <w:iCs/>
                <w:sz w:val="18"/>
                <w:szCs w:val="18"/>
              </w:rPr>
              <w:t>South-Eastern Europe</w:t>
            </w:r>
          </w:p>
        </w:tc>
        <w:tc>
          <w:tcPr>
            <w:tcW w:w="1276" w:type="dxa"/>
            <w:tcBorders>
              <w:top w:val="single" w:sz="4" w:space="0" w:color="auto"/>
              <w:bottom w:val="single" w:sz="4" w:space="0" w:color="auto"/>
            </w:tcBorders>
            <w:shd w:val="clear" w:color="auto" w:fill="auto"/>
          </w:tcPr>
          <w:p w14:paraId="20462738" w14:textId="77777777" w:rsidR="0009316F" w:rsidRDefault="0009316F" w:rsidP="002C548F">
            <w:pPr>
              <w:keepNext/>
              <w:keepLines/>
              <w:spacing w:before="80" w:line="200" w:lineRule="exact"/>
              <w:jc w:val="center"/>
              <w:rPr>
                <w:i/>
                <w:iCs/>
                <w:sz w:val="18"/>
                <w:szCs w:val="18"/>
              </w:rPr>
            </w:pPr>
            <w:r w:rsidRPr="00261CCE">
              <w:rPr>
                <w:i/>
                <w:iCs/>
                <w:sz w:val="18"/>
                <w:szCs w:val="18"/>
              </w:rPr>
              <w:t>Pan-European</w:t>
            </w:r>
          </w:p>
          <w:p w14:paraId="3E5B4FB5" w14:textId="77777777" w:rsidR="0009316F" w:rsidRPr="0053762F" w:rsidRDefault="0009316F" w:rsidP="002C548F">
            <w:pPr>
              <w:keepNext/>
              <w:keepLines/>
              <w:spacing w:line="200" w:lineRule="exact"/>
              <w:jc w:val="center"/>
              <w:rPr>
                <w:i/>
                <w:iCs/>
                <w:sz w:val="18"/>
                <w:szCs w:val="18"/>
              </w:rPr>
            </w:pPr>
            <w:r w:rsidRPr="00261CCE">
              <w:rPr>
                <w:i/>
                <w:iCs/>
                <w:sz w:val="18"/>
                <w:szCs w:val="18"/>
              </w:rPr>
              <w:t>region</w:t>
            </w:r>
          </w:p>
        </w:tc>
      </w:tr>
      <w:tr w:rsidR="0009316F" w:rsidRPr="00261CCE" w14:paraId="09BBB224" w14:textId="77777777" w:rsidTr="00C439AF">
        <w:trPr>
          <w:trHeight w:hRule="exact" w:val="82"/>
        </w:trPr>
        <w:tc>
          <w:tcPr>
            <w:tcW w:w="1052" w:type="dxa"/>
            <w:tcBorders>
              <w:top w:val="single" w:sz="12" w:space="0" w:color="auto"/>
            </w:tcBorders>
            <w:shd w:val="clear" w:color="auto" w:fill="auto"/>
            <w:vAlign w:val="bottom"/>
          </w:tcPr>
          <w:p w14:paraId="37CE32F4" w14:textId="77777777" w:rsidR="0009316F" w:rsidRPr="00261CCE" w:rsidRDefault="0009316F" w:rsidP="002C548F">
            <w:pPr>
              <w:keepNext/>
              <w:keepLines/>
              <w:spacing w:before="40" w:after="40" w:line="220" w:lineRule="exact"/>
              <w:rPr>
                <w:sz w:val="18"/>
                <w:szCs w:val="18"/>
              </w:rPr>
            </w:pPr>
          </w:p>
        </w:tc>
        <w:tc>
          <w:tcPr>
            <w:tcW w:w="1075" w:type="dxa"/>
            <w:tcBorders>
              <w:top w:val="single" w:sz="12" w:space="0" w:color="auto"/>
            </w:tcBorders>
            <w:shd w:val="clear" w:color="auto" w:fill="auto"/>
            <w:vAlign w:val="center"/>
          </w:tcPr>
          <w:p w14:paraId="7C857C93" w14:textId="77777777" w:rsidR="0009316F" w:rsidRPr="00261CCE" w:rsidRDefault="0009316F" w:rsidP="002C548F">
            <w:pPr>
              <w:keepNext/>
              <w:keepLines/>
              <w:spacing w:after="120"/>
              <w:jc w:val="center"/>
              <w:rPr>
                <w:rFonts w:ascii="Wingdings" w:hAnsi="Wingdings" w:cs="Wingdings"/>
                <w:color w:val="FF0000"/>
                <w:sz w:val="28"/>
                <w:szCs w:val="28"/>
              </w:rPr>
            </w:pPr>
          </w:p>
        </w:tc>
        <w:tc>
          <w:tcPr>
            <w:tcW w:w="992" w:type="dxa"/>
            <w:tcBorders>
              <w:top w:val="single" w:sz="12" w:space="0" w:color="auto"/>
            </w:tcBorders>
            <w:shd w:val="clear" w:color="auto" w:fill="auto"/>
            <w:vAlign w:val="center"/>
          </w:tcPr>
          <w:p w14:paraId="28090D9D" w14:textId="77777777" w:rsidR="0009316F" w:rsidRPr="00261CCE" w:rsidRDefault="0009316F" w:rsidP="002C548F">
            <w:pPr>
              <w:keepNext/>
              <w:keepLines/>
              <w:spacing w:after="120"/>
              <w:jc w:val="center"/>
              <w:rPr>
                <w:rFonts w:ascii="Wingdings" w:hAnsi="Wingdings" w:cs="Wingdings"/>
                <w:color w:val="FF0000"/>
                <w:sz w:val="28"/>
                <w:szCs w:val="28"/>
              </w:rPr>
            </w:pPr>
          </w:p>
        </w:tc>
        <w:tc>
          <w:tcPr>
            <w:tcW w:w="850" w:type="dxa"/>
            <w:tcBorders>
              <w:top w:val="single" w:sz="12" w:space="0" w:color="auto"/>
            </w:tcBorders>
            <w:shd w:val="clear" w:color="auto" w:fill="auto"/>
            <w:vAlign w:val="center"/>
          </w:tcPr>
          <w:p w14:paraId="7E5BFD66" w14:textId="77777777" w:rsidR="0009316F" w:rsidRPr="00261CCE" w:rsidRDefault="0009316F" w:rsidP="002C548F">
            <w:pPr>
              <w:keepNext/>
              <w:keepLines/>
              <w:spacing w:after="120"/>
              <w:jc w:val="center"/>
              <w:rPr>
                <w:rFonts w:ascii="Wingdings" w:hAnsi="Wingdings" w:cs="Wingdings"/>
                <w:color w:val="FF0000"/>
                <w:sz w:val="28"/>
                <w:szCs w:val="28"/>
              </w:rPr>
            </w:pPr>
          </w:p>
        </w:tc>
        <w:tc>
          <w:tcPr>
            <w:tcW w:w="993" w:type="dxa"/>
            <w:tcBorders>
              <w:top w:val="single" w:sz="12" w:space="0" w:color="auto"/>
            </w:tcBorders>
            <w:shd w:val="clear" w:color="auto" w:fill="auto"/>
            <w:vAlign w:val="center"/>
          </w:tcPr>
          <w:p w14:paraId="2A152931" w14:textId="77777777" w:rsidR="0009316F" w:rsidRPr="00261CCE" w:rsidRDefault="0009316F" w:rsidP="002C548F">
            <w:pPr>
              <w:keepNext/>
              <w:keepLines/>
              <w:spacing w:after="120"/>
              <w:jc w:val="center"/>
              <w:rPr>
                <w:rFonts w:ascii="Wingdings" w:hAnsi="Wingdings" w:cs="Wingdings"/>
                <w:color w:val="FF0000"/>
                <w:sz w:val="28"/>
                <w:szCs w:val="28"/>
              </w:rPr>
            </w:pPr>
          </w:p>
        </w:tc>
        <w:tc>
          <w:tcPr>
            <w:tcW w:w="1275" w:type="dxa"/>
            <w:tcBorders>
              <w:top w:val="single" w:sz="12" w:space="0" w:color="auto"/>
            </w:tcBorders>
            <w:shd w:val="clear" w:color="auto" w:fill="auto"/>
            <w:vAlign w:val="center"/>
          </w:tcPr>
          <w:p w14:paraId="08DA0F73" w14:textId="77777777" w:rsidR="0009316F" w:rsidRPr="00261CCE" w:rsidRDefault="0009316F" w:rsidP="002C548F">
            <w:pPr>
              <w:keepNext/>
              <w:keepLines/>
              <w:spacing w:after="120"/>
              <w:jc w:val="center"/>
              <w:rPr>
                <w:rFonts w:ascii="Wingdings" w:hAnsi="Wingdings" w:cs="Wingdings"/>
                <w:color w:val="00B050"/>
                <w:sz w:val="28"/>
                <w:szCs w:val="28"/>
              </w:rPr>
            </w:pPr>
          </w:p>
        </w:tc>
        <w:tc>
          <w:tcPr>
            <w:tcW w:w="1276" w:type="dxa"/>
            <w:tcBorders>
              <w:top w:val="single" w:sz="12" w:space="0" w:color="auto"/>
            </w:tcBorders>
            <w:shd w:val="clear" w:color="auto" w:fill="auto"/>
            <w:vAlign w:val="center"/>
          </w:tcPr>
          <w:p w14:paraId="308F6FAB" w14:textId="77777777" w:rsidR="0009316F" w:rsidRPr="00261CCE" w:rsidRDefault="0009316F" w:rsidP="002C548F">
            <w:pPr>
              <w:keepNext/>
              <w:keepLines/>
              <w:spacing w:after="120"/>
              <w:jc w:val="center"/>
              <w:rPr>
                <w:rFonts w:ascii="Wingdings" w:hAnsi="Wingdings" w:cs="Wingdings"/>
                <w:color w:val="FF0000"/>
                <w:sz w:val="28"/>
                <w:szCs w:val="28"/>
              </w:rPr>
            </w:pPr>
          </w:p>
        </w:tc>
      </w:tr>
      <w:tr w:rsidR="0009316F" w:rsidRPr="00261CCE" w14:paraId="26DAFA8C" w14:textId="77777777" w:rsidTr="00C439AF">
        <w:trPr>
          <w:trHeight w:val="2124"/>
        </w:trPr>
        <w:tc>
          <w:tcPr>
            <w:tcW w:w="1052" w:type="dxa"/>
            <w:shd w:val="clear" w:color="auto" w:fill="auto"/>
            <w:vAlign w:val="bottom"/>
          </w:tcPr>
          <w:p w14:paraId="00ADB958" w14:textId="77777777" w:rsidR="0009316F" w:rsidRPr="00261CCE" w:rsidRDefault="0009316F" w:rsidP="00495957">
            <w:pPr>
              <w:spacing w:before="40" w:after="40" w:line="220" w:lineRule="exact"/>
              <w:rPr>
                <w:sz w:val="18"/>
                <w:szCs w:val="18"/>
              </w:rPr>
            </w:pPr>
            <w:r w:rsidRPr="00261CCE">
              <w:rPr>
                <w:sz w:val="18"/>
                <w:szCs w:val="18"/>
              </w:rPr>
              <w:t>Reporting under Basel, Rotterdam and Stockholm Conventions (average for 2015–2019, percentage)</w:t>
            </w:r>
          </w:p>
        </w:tc>
        <w:tc>
          <w:tcPr>
            <w:tcW w:w="1075" w:type="dxa"/>
            <w:shd w:val="clear" w:color="auto" w:fill="auto"/>
            <w:vAlign w:val="center"/>
          </w:tcPr>
          <w:p w14:paraId="23AC032B" w14:textId="77777777" w:rsidR="0009316F" w:rsidRPr="00261CCE" w:rsidRDefault="0009316F" w:rsidP="00495957">
            <w:pPr>
              <w:spacing w:after="120"/>
              <w:jc w:val="center"/>
              <w:rPr>
                <w:color w:val="FF0000"/>
                <w:sz w:val="28"/>
                <w:szCs w:val="28"/>
              </w:rPr>
            </w:pPr>
            <w:r w:rsidRPr="00261CCE">
              <w:rPr>
                <w:rFonts w:ascii="Wingdings" w:eastAsia="Wingdings" w:hAnsi="Wingdings" w:cs="Wingdings"/>
                <w:color w:val="FF0000"/>
                <w:sz w:val="28"/>
                <w:szCs w:val="28"/>
              </w:rPr>
              <w:t>æ</w:t>
            </w:r>
          </w:p>
          <w:p w14:paraId="190243D1" w14:textId="77777777" w:rsidR="0009316F" w:rsidRPr="00261CCE" w:rsidRDefault="0009316F" w:rsidP="00495957">
            <w:pPr>
              <w:spacing w:before="40" w:after="40" w:line="220" w:lineRule="exact"/>
              <w:jc w:val="center"/>
              <w:rPr>
                <w:rFonts w:eastAsia="PMingLiU"/>
                <w:sz w:val="18"/>
              </w:rPr>
            </w:pPr>
            <w:r w:rsidRPr="00261CCE">
              <w:rPr>
                <w:sz w:val="18"/>
                <w:szCs w:val="18"/>
              </w:rPr>
              <w:t>(82)</w:t>
            </w:r>
          </w:p>
        </w:tc>
        <w:tc>
          <w:tcPr>
            <w:tcW w:w="992" w:type="dxa"/>
            <w:shd w:val="clear" w:color="auto" w:fill="auto"/>
            <w:vAlign w:val="center"/>
          </w:tcPr>
          <w:p w14:paraId="06F07AF0" w14:textId="77777777" w:rsidR="0009316F" w:rsidRPr="00261CCE" w:rsidRDefault="0009316F" w:rsidP="00495957">
            <w:pPr>
              <w:spacing w:after="120"/>
              <w:jc w:val="center"/>
              <w:rPr>
                <w:color w:val="FF0000"/>
                <w:sz w:val="28"/>
                <w:szCs w:val="28"/>
              </w:rPr>
            </w:pPr>
            <w:r w:rsidRPr="00261CCE">
              <w:rPr>
                <w:rFonts w:ascii="Wingdings" w:eastAsia="Wingdings" w:hAnsi="Wingdings" w:cs="Wingdings"/>
                <w:color w:val="FF0000"/>
                <w:sz w:val="28"/>
                <w:szCs w:val="28"/>
              </w:rPr>
              <w:t>æ</w:t>
            </w:r>
          </w:p>
          <w:p w14:paraId="52A90864" w14:textId="77777777" w:rsidR="0009316F" w:rsidRPr="00261CCE" w:rsidRDefault="0009316F" w:rsidP="00495957">
            <w:pPr>
              <w:spacing w:before="40" w:after="40" w:line="220" w:lineRule="exact"/>
              <w:jc w:val="center"/>
              <w:rPr>
                <w:rFonts w:eastAsia="PMingLiU"/>
                <w:sz w:val="18"/>
              </w:rPr>
            </w:pPr>
            <w:r w:rsidRPr="00261CCE">
              <w:rPr>
                <w:sz w:val="18"/>
                <w:szCs w:val="18"/>
              </w:rPr>
              <w:t>(51)</w:t>
            </w:r>
          </w:p>
        </w:tc>
        <w:tc>
          <w:tcPr>
            <w:tcW w:w="850" w:type="dxa"/>
            <w:shd w:val="clear" w:color="auto" w:fill="auto"/>
            <w:vAlign w:val="center"/>
          </w:tcPr>
          <w:p w14:paraId="39B3B331" w14:textId="77777777" w:rsidR="0009316F" w:rsidRPr="00261CCE" w:rsidRDefault="0009316F" w:rsidP="00495957">
            <w:pPr>
              <w:spacing w:after="120"/>
              <w:jc w:val="center"/>
              <w:rPr>
                <w:color w:val="FF0000"/>
                <w:sz w:val="28"/>
                <w:szCs w:val="28"/>
              </w:rPr>
            </w:pPr>
            <w:r w:rsidRPr="00261CCE">
              <w:rPr>
                <w:rFonts w:ascii="Wingdings" w:eastAsia="Wingdings" w:hAnsi="Wingdings" w:cs="Wingdings"/>
                <w:color w:val="FF0000"/>
                <w:sz w:val="28"/>
                <w:szCs w:val="28"/>
              </w:rPr>
              <w:t>æ</w:t>
            </w:r>
          </w:p>
          <w:p w14:paraId="3DEE2C47" w14:textId="77777777" w:rsidR="0009316F" w:rsidRPr="00261CCE" w:rsidRDefault="0009316F" w:rsidP="00495957">
            <w:pPr>
              <w:spacing w:before="40" w:after="40" w:line="220" w:lineRule="exact"/>
              <w:jc w:val="center"/>
              <w:rPr>
                <w:rFonts w:eastAsia="PMingLiU"/>
                <w:sz w:val="18"/>
              </w:rPr>
            </w:pPr>
            <w:r w:rsidRPr="00261CCE">
              <w:rPr>
                <w:sz w:val="18"/>
                <w:szCs w:val="18"/>
              </w:rPr>
              <w:t>(33)</w:t>
            </w:r>
          </w:p>
        </w:tc>
        <w:tc>
          <w:tcPr>
            <w:tcW w:w="993" w:type="dxa"/>
            <w:shd w:val="clear" w:color="auto" w:fill="auto"/>
            <w:vAlign w:val="center"/>
          </w:tcPr>
          <w:p w14:paraId="75257296" w14:textId="77777777" w:rsidR="0009316F" w:rsidRPr="00261CCE" w:rsidRDefault="0009316F" w:rsidP="00495957">
            <w:pPr>
              <w:spacing w:after="120"/>
              <w:jc w:val="center"/>
              <w:rPr>
                <w:color w:val="FF0000"/>
                <w:sz w:val="28"/>
                <w:szCs w:val="28"/>
              </w:rPr>
            </w:pPr>
            <w:r w:rsidRPr="00261CCE">
              <w:rPr>
                <w:rFonts w:ascii="Wingdings" w:eastAsia="Wingdings" w:hAnsi="Wingdings" w:cs="Wingdings"/>
                <w:color w:val="FF0000"/>
                <w:sz w:val="28"/>
                <w:szCs w:val="28"/>
              </w:rPr>
              <w:t>æ</w:t>
            </w:r>
          </w:p>
          <w:p w14:paraId="38A9D9AE" w14:textId="77777777" w:rsidR="0009316F" w:rsidRPr="00261CCE" w:rsidRDefault="0009316F" w:rsidP="00495957">
            <w:pPr>
              <w:spacing w:before="40" w:after="40" w:line="220" w:lineRule="exact"/>
              <w:jc w:val="center"/>
              <w:rPr>
                <w:rFonts w:eastAsia="PMingLiU"/>
                <w:sz w:val="18"/>
              </w:rPr>
            </w:pPr>
            <w:r w:rsidRPr="00261CCE">
              <w:rPr>
                <w:sz w:val="18"/>
                <w:szCs w:val="18"/>
              </w:rPr>
              <w:t>(57)</w:t>
            </w:r>
          </w:p>
        </w:tc>
        <w:tc>
          <w:tcPr>
            <w:tcW w:w="1275" w:type="dxa"/>
            <w:shd w:val="clear" w:color="auto" w:fill="auto"/>
            <w:vAlign w:val="center"/>
          </w:tcPr>
          <w:p w14:paraId="6710C558" w14:textId="77777777" w:rsidR="0009316F" w:rsidRPr="00261CCE" w:rsidRDefault="0009316F" w:rsidP="00495957">
            <w:pPr>
              <w:spacing w:after="120"/>
              <w:jc w:val="center"/>
              <w:rPr>
                <w:color w:val="00B050"/>
                <w:sz w:val="28"/>
                <w:szCs w:val="28"/>
              </w:rPr>
            </w:pPr>
            <w:r w:rsidRPr="00261CCE">
              <w:rPr>
                <w:rFonts w:ascii="Wingdings" w:eastAsia="Wingdings" w:hAnsi="Wingdings" w:cs="Wingdings"/>
                <w:color w:val="00B050"/>
                <w:sz w:val="28"/>
                <w:szCs w:val="28"/>
              </w:rPr>
              <w:t>ä</w:t>
            </w:r>
          </w:p>
          <w:p w14:paraId="096FB8B5" w14:textId="77777777" w:rsidR="0009316F" w:rsidRPr="00261CCE" w:rsidRDefault="0009316F" w:rsidP="00495957">
            <w:pPr>
              <w:spacing w:before="40" w:after="40" w:line="220" w:lineRule="exact"/>
              <w:jc w:val="center"/>
              <w:rPr>
                <w:rFonts w:eastAsia="PMingLiU"/>
                <w:sz w:val="18"/>
              </w:rPr>
            </w:pPr>
            <w:r w:rsidRPr="00261CCE">
              <w:rPr>
                <w:sz w:val="18"/>
                <w:szCs w:val="18"/>
              </w:rPr>
              <w:t>(75)</w:t>
            </w:r>
          </w:p>
        </w:tc>
        <w:tc>
          <w:tcPr>
            <w:tcW w:w="1276" w:type="dxa"/>
            <w:shd w:val="clear" w:color="auto" w:fill="auto"/>
            <w:vAlign w:val="center"/>
          </w:tcPr>
          <w:p w14:paraId="1E0DB546" w14:textId="77777777" w:rsidR="0009316F" w:rsidRPr="00261CCE" w:rsidRDefault="0009316F" w:rsidP="00495957">
            <w:pPr>
              <w:spacing w:after="120"/>
              <w:jc w:val="center"/>
              <w:rPr>
                <w:color w:val="FF0000"/>
                <w:sz w:val="28"/>
                <w:szCs w:val="28"/>
              </w:rPr>
            </w:pPr>
            <w:r w:rsidRPr="00261CCE">
              <w:rPr>
                <w:rFonts w:ascii="Wingdings" w:eastAsia="Wingdings" w:hAnsi="Wingdings" w:cs="Wingdings"/>
                <w:color w:val="FF0000"/>
                <w:sz w:val="28"/>
                <w:szCs w:val="28"/>
              </w:rPr>
              <w:t>æ</w:t>
            </w:r>
          </w:p>
          <w:p w14:paraId="0EEFF6C7" w14:textId="77777777" w:rsidR="0009316F" w:rsidRPr="00261CCE" w:rsidRDefault="0009316F" w:rsidP="00495957">
            <w:pPr>
              <w:spacing w:before="40" w:after="40" w:line="220" w:lineRule="exact"/>
              <w:jc w:val="center"/>
              <w:rPr>
                <w:rFonts w:eastAsia="PMingLiU"/>
                <w:sz w:val="18"/>
              </w:rPr>
            </w:pPr>
            <w:r w:rsidRPr="00261CCE">
              <w:rPr>
                <w:sz w:val="18"/>
                <w:szCs w:val="18"/>
              </w:rPr>
              <w:t>(68)</w:t>
            </w:r>
          </w:p>
        </w:tc>
      </w:tr>
      <w:tr w:rsidR="0009316F" w:rsidRPr="00261CCE" w14:paraId="09FC6E11" w14:textId="77777777" w:rsidTr="00C439AF">
        <w:trPr>
          <w:trHeight w:hRule="exact" w:val="52"/>
        </w:trPr>
        <w:tc>
          <w:tcPr>
            <w:tcW w:w="1052" w:type="dxa"/>
            <w:tcBorders>
              <w:bottom w:val="single" w:sz="12" w:space="0" w:color="auto"/>
            </w:tcBorders>
            <w:shd w:val="clear" w:color="auto" w:fill="auto"/>
            <w:vAlign w:val="bottom"/>
          </w:tcPr>
          <w:p w14:paraId="39CAA6ED" w14:textId="77777777" w:rsidR="0009316F" w:rsidRPr="00261CCE" w:rsidRDefault="0009316F" w:rsidP="00495957">
            <w:pPr>
              <w:spacing w:before="40" w:after="40" w:line="220" w:lineRule="exact"/>
              <w:rPr>
                <w:sz w:val="18"/>
                <w:szCs w:val="18"/>
              </w:rPr>
            </w:pPr>
          </w:p>
        </w:tc>
        <w:tc>
          <w:tcPr>
            <w:tcW w:w="1075" w:type="dxa"/>
            <w:tcBorders>
              <w:bottom w:val="single" w:sz="12" w:space="0" w:color="auto"/>
            </w:tcBorders>
            <w:shd w:val="clear" w:color="auto" w:fill="auto"/>
            <w:vAlign w:val="center"/>
          </w:tcPr>
          <w:p w14:paraId="2E729250" w14:textId="77777777" w:rsidR="0009316F" w:rsidRPr="00261CCE" w:rsidRDefault="0009316F" w:rsidP="00495957">
            <w:pPr>
              <w:spacing w:after="120"/>
              <w:jc w:val="center"/>
              <w:rPr>
                <w:rFonts w:ascii="Wingdings" w:hAnsi="Wingdings" w:cs="Wingdings"/>
                <w:color w:val="FF0000"/>
                <w:sz w:val="28"/>
                <w:szCs w:val="28"/>
              </w:rPr>
            </w:pPr>
          </w:p>
        </w:tc>
        <w:tc>
          <w:tcPr>
            <w:tcW w:w="992" w:type="dxa"/>
            <w:tcBorders>
              <w:bottom w:val="single" w:sz="12" w:space="0" w:color="auto"/>
            </w:tcBorders>
            <w:shd w:val="clear" w:color="auto" w:fill="auto"/>
            <w:vAlign w:val="center"/>
          </w:tcPr>
          <w:p w14:paraId="7C63D416" w14:textId="77777777" w:rsidR="0009316F" w:rsidRPr="00261CCE" w:rsidRDefault="0009316F" w:rsidP="00495957">
            <w:pPr>
              <w:spacing w:after="120"/>
              <w:jc w:val="center"/>
              <w:rPr>
                <w:rFonts w:ascii="Wingdings" w:hAnsi="Wingdings" w:cs="Wingdings"/>
                <w:color w:val="FF0000"/>
                <w:sz w:val="28"/>
                <w:szCs w:val="28"/>
              </w:rPr>
            </w:pPr>
          </w:p>
        </w:tc>
        <w:tc>
          <w:tcPr>
            <w:tcW w:w="850" w:type="dxa"/>
            <w:tcBorders>
              <w:bottom w:val="single" w:sz="12" w:space="0" w:color="auto"/>
            </w:tcBorders>
            <w:shd w:val="clear" w:color="auto" w:fill="auto"/>
            <w:vAlign w:val="center"/>
          </w:tcPr>
          <w:p w14:paraId="1CCC45B5" w14:textId="77777777" w:rsidR="0009316F" w:rsidRPr="00261CCE" w:rsidRDefault="0009316F" w:rsidP="00495957">
            <w:pPr>
              <w:spacing w:after="120"/>
              <w:jc w:val="center"/>
              <w:rPr>
                <w:rFonts w:ascii="Wingdings" w:hAnsi="Wingdings" w:cs="Wingdings"/>
                <w:color w:val="FF0000"/>
                <w:sz w:val="28"/>
                <w:szCs w:val="28"/>
              </w:rPr>
            </w:pPr>
          </w:p>
        </w:tc>
        <w:tc>
          <w:tcPr>
            <w:tcW w:w="993" w:type="dxa"/>
            <w:tcBorders>
              <w:bottom w:val="single" w:sz="12" w:space="0" w:color="auto"/>
            </w:tcBorders>
            <w:shd w:val="clear" w:color="auto" w:fill="auto"/>
            <w:vAlign w:val="center"/>
          </w:tcPr>
          <w:p w14:paraId="639AF204" w14:textId="77777777" w:rsidR="0009316F" w:rsidRPr="00261CCE" w:rsidRDefault="0009316F" w:rsidP="00495957">
            <w:pPr>
              <w:spacing w:after="120"/>
              <w:jc w:val="center"/>
              <w:rPr>
                <w:rFonts w:ascii="Wingdings" w:hAnsi="Wingdings" w:cs="Wingdings"/>
                <w:color w:val="FF0000"/>
                <w:sz w:val="28"/>
                <w:szCs w:val="28"/>
              </w:rPr>
            </w:pPr>
          </w:p>
        </w:tc>
        <w:tc>
          <w:tcPr>
            <w:tcW w:w="1275" w:type="dxa"/>
            <w:tcBorders>
              <w:bottom w:val="single" w:sz="12" w:space="0" w:color="auto"/>
            </w:tcBorders>
            <w:shd w:val="clear" w:color="auto" w:fill="auto"/>
            <w:vAlign w:val="center"/>
          </w:tcPr>
          <w:p w14:paraId="4A43654F" w14:textId="77777777" w:rsidR="0009316F" w:rsidRPr="00261CCE" w:rsidRDefault="0009316F" w:rsidP="00495957">
            <w:pPr>
              <w:spacing w:after="120"/>
              <w:jc w:val="center"/>
              <w:rPr>
                <w:rFonts w:ascii="Wingdings" w:hAnsi="Wingdings" w:cs="Wingdings"/>
                <w:color w:val="00B050"/>
                <w:sz w:val="28"/>
                <w:szCs w:val="28"/>
              </w:rPr>
            </w:pPr>
          </w:p>
        </w:tc>
        <w:tc>
          <w:tcPr>
            <w:tcW w:w="1276" w:type="dxa"/>
            <w:tcBorders>
              <w:bottom w:val="single" w:sz="12" w:space="0" w:color="auto"/>
            </w:tcBorders>
            <w:shd w:val="clear" w:color="auto" w:fill="auto"/>
            <w:vAlign w:val="center"/>
          </w:tcPr>
          <w:p w14:paraId="16926A15" w14:textId="77777777" w:rsidR="0009316F" w:rsidRPr="00261CCE" w:rsidRDefault="0009316F" w:rsidP="00495957">
            <w:pPr>
              <w:spacing w:after="120"/>
              <w:jc w:val="center"/>
              <w:rPr>
                <w:rFonts w:ascii="Wingdings" w:hAnsi="Wingdings" w:cs="Wingdings"/>
                <w:color w:val="FF0000"/>
                <w:sz w:val="28"/>
                <w:szCs w:val="28"/>
              </w:rPr>
            </w:pPr>
          </w:p>
        </w:tc>
      </w:tr>
    </w:tbl>
    <w:p w14:paraId="34172BC3" w14:textId="77777777" w:rsidR="0009316F" w:rsidRPr="00261CCE" w:rsidRDefault="0009316F" w:rsidP="00495957">
      <w:pPr>
        <w:spacing w:before="120" w:after="120"/>
        <w:ind w:left="1134" w:right="992" w:firstLine="567"/>
        <w:jc w:val="both"/>
        <w:rPr>
          <w:sz w:val="18"/>
          <w:szCs w:val="18"/>
        </w:rPr>
      </w:pPr>
      <w:r w:rsidRPr="00261CCE">
        <w:rPr>
          <w:i/>
          <w:iCs/>
          <w:sz w:val="18"/>
          <w:szCs w:val="18"/>
        </w:rPr>
        <w:t>Source</w:t>
      </w:r>
      <w:r w:rsidRPr="00261CCE">
        <w:rPr>
          <w:sz w:val="18"/>
          <w:szCs w:val="18"/>
        </w:rPr>
        <w:t>: Global Sustainable Development Goal Indicator Database, retrieved 18 May 2021.</w:t>
      </w:r>
    </w:p>
    <w:p w14:paraId="77F6AA68" w14:textId="77777777" w:rsidR="0009316F" w:rsidRPr="00261CCE" w:rsidRDefault="0009316F" w:rsidP="005A147B">
      <w:pPr>
        <w:spacing w:after="120"/>
        <w:ind w:left="1134" w:right="992" w:firstLine="567"/>
        <w:jc w:val="both"/>
        <w:rPr>
          <w:i/>
          <w:iCs/>
          <w:sz w:val="18"/>
          <w:szCs w:val="18"/>
        </w:rPr>
      </w:pPr>
      <w:r w:rsidRPr="00261CCE">
        <w:rPr>
          <w:i/>
          <w:iCs/>
          <w:sz w:val="18"/>
          <w:szCs w:val="18"/>
        </w:rPr>
        <w:t>Abbreviations</w:t>
      </w:r>
      <w:r w:rsidRPr="00261CCE">
        <w:rPr>
          <w:sz w:val="18"/>
          <w:szCs w:val="18"/>
        </w:rPr>
        <w:t>: Basel Convention, Basel Convention on the Control of Transboundary Movements of Hazardous Wastes and their Disposal; Rotterdam Convention, Rotterdam Convention on the Prior Informed Consent Procedure for Certain Hazardous Chemicals and Pesticides in International Trade; Stockholm Convention, Stockholm Convention on Persistent Organic Pollutants.</w:t>
      </w:r>
    </w:p>
    <w:p w14:paraId="4CF45E6D" w14:textId="77777777" w:rsidR="0009316F" w:rsidRPr="00261CCE" w:rsidRDefault="0009316F" w:rsidP="005A147B">
      <w:pPr>
        <w:spacing w:after="120"/>
        <w:ind w:left="1134" w:right="1134" w:firstLine="567"/>
        <w:jc w:val="both"/>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 xml:space="preserve">improving or </w:t>
      </w:r>
      <w:r w:rsidRPr="00261CCE">
        <w:rPr>
          <w:rFonts w:ascii="Wingdings" w:eastAsia="Wingdings" w:hAnsi="Wingdings" w:cs="Wingdings"/>
          <w:color w:val="FF0000"/>
          <w:sz w:val="28"/>
          <w:szCs w:val="28"/>
        </w:rPr>
        <w:t>æ</w:t>
      </w:r>
      <w:r w:rsidRPr="00261CCE">
        <w:t xml:space="preserve"> </w:t>
      </w:r>
      <w:r w:rsidRPr="00261CCE">
        <w:rPr>
          <w:sz w:val="18"/>
          <w:szCs w:val="18"/>
        </w:rPr>
        <w:t>worsening.</w:t>
      </w:r>
    </w:p>
    <w:p w14:paraId="55D7652C" w14:textId="7954D04F"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13.</w:t>
      </w:r>
      <w:r w:rsidRPr="00261CCE">
        <w:rPr>
          <w:b/>
        </w:rPr>
        <w:tab/>
        <w:t>Minerals</w:t>
      </w:r>
      <w:r w:rsidR="00D56E8A">
        <w:rPr>
          <w:b/>
        </w:rPr>
        <w:t xml:space="preserve"> and materials</w:t>
      </w:r>
    </w:p>
    <w:p w14:paraId="43512033" w14:textId="7D8B53E1" w:rsidR="0009316F" w:rsidRPr="00261CCE" w:rsidRDefault="000C0F47" w:rsidP="0009316F">
      <w:pPr>
        <w:keepNext/>
        <w:spacing w:after="120"/>
        <w:ind w:left="1134" w:right="1134"/>
        <w:jc w:val="both"/>
      </w:pPr>
      <w:r>
        <w:rPr>
          <w:lang w:eastAsia="zh-TW"/>
        </w:rPr>
        <w:t>29</w:t>
      </w:r>
      <w:r w:rsidR="0009316F" w:rsidRPr="00261CCE">
        <w:rPr>
          <w:lang w:eastAsia="zh-TW"/>
        </w:rPr>
        <w:t>.</w:t>
      </w:r>
      <w:r w:rsidR="0009316F" w:rsidRPr="00261CCE">
        <w:rPr>
          <w:lang w:eastAsia="zh-TW"/>
        </w:rPr>
        <w:tab/>
      </w:r>
      <w:r w:rsidR="0009316F" w:rsidRPr="00261CCE">
        <w:t xml:space="preserve">Minerals too are critical for the transition to a net zero greenhouse gas emission and sustainable </w:t>
      </w:r>
      <w:r w:rsidR="0042041E">
        <w:t>development</w:t>
      </w:r>
      <w:r w:rsidR="0009316F" w:rsidRPr="00261CCE">
        <w:t xml:space="preserve">, in particular those used in electric and electronic gear and batteries. </w:t>
      </w:r>
      <w:r w:rsidR="0042490F" w:rsidRPr="0042490F">
        <w:t>Over the past half-century, the extraction of minerals has tripled</w:t>
      </w:r>
      <w:r w:rsidR="00A06E30">
        <w:t xml:space="preserve"> globally</w:t>
      </w:r>
      <w:r w:rsidR="0042490F" w:rsidRPr="0042490F">
        <w:t>, with the extraction and processing of natural resources accounting for over 90 per cent of biodiversity loss and water stress and about 50 per cent of climate change impacts</w:t>
      </w:r>
      <w:r w:rsidR="0042490F">
        <w:t xml:space="preserve">. </w:t>
      </w:r>
      <w:r w:rsidR="0009316F" w:rsidRPr="00261CCE">
        <w:t>An important, as-yet unexploited, opportunity exists to harness economic value for the region and to reduce the region’s dependency regarding the sourcing of critical raw materials, which are bottlenecks in the shift towards resilient future economies (see table 13 below).</w:t>
      </w:r>
    </w:p>
    <w:p w14:paraId="1A4D2EDA" w14:textId="735DA143"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0C0F47">
        <w:rPr>
          <w:b/>
        </w:rPr>
        <w:t>s</w:t>
      </w:r>
      <w:r w:rsidRPr="00261CCE">
        <w:rPr>
          <w:b/>
        </w:rPr>
        <w:t xml:space="preserve">: </w:t>
      </w:r>
    </w:p>
    <w:p w14:paraId="1E0B315F" w14:textId="13A29CAB" w:rsidR="0009316F" w:rsidRPr="00261CCE" w:rsidRDefault="000C0F47" w:rsidP="0009316F">
      <w:pPr>
        <w:keepNext/>
        <w:spacing w:after="120"/>
        <w:ind w:left="1134" w:right="1134"/>
        <w:jc w:val="both"/>
      </w:pPr>
      <w:r>
        <w:t>30</w:t>
      </w:r>
      <w:r w:rsidR="0009316F" w:rsidRPr="00261CCE">
        <w:rPr>
          <w:lang w:eastAsia="zh-TW"/>
        </w:rPr>
        <w:t>.</w:t>
      </w:r>
      <w:r w:rsidR="0009316F" w:rsidRPr="00261CCE">
        <w:rPr>
          <w:lang w:eastAsia="zh-TW"/>
        </w:rPr>
        <w:tab/>
      </w:r>
      <w:r w:rsidR="0009316F" w:rsidRPr="00261CCE">
        <w:t>Governments in the pan-European region should adopt a circular – or resource efficient – economy approach and strengthen management of raw materials</w:t>
      </w:r>
      <w:r w:rsidR="0041141A" w:rsidRPr="0041141A">
        <w:t xml:space="preserve">, including </w:t>
      </w:r>
      <w:r w:rsidR="00D574AA">
        <w:t xml:space="preserve">for example </w:t>
      </w:r>
      <w:r w:rsidR="0041141A" w:rsidRPr="0041141A">
        <w:t>through application of the United Nations Framework Classification for Resources and the United Nations Resource Management System</w:t>
      </w:r>
      <w:r w:rsidR="00972FA3">
        <w:t>.</w:t>
      </w:r>
      <w:r w:rsidR="0041141A" w:rsidRPr="0041141A">
        <w:t xml:space="preserve"> </w:t>
      </w:r>
      <w:r w:rsidR="00427DE6">
        <w:t xml:space="preserve">They should </w:t>
      </w:r>
      <w:r w:rsidR="00475C9F">
        <w:t>enforce</w:t>
      </w:r>
      <w:r w:rsidR="00427DE6">
        <w:t xml:space="preserve"> clear legal frameworks to assess and minimize the environmental impact of the extractive industry</w:t>
      </w:r>
      <w:r w:rsidR="004C705F">
        <w:t xml:space="preserve"> and</w:t>
      </w:r>
      <w:r w:rsidR="00547951">
        <w:t>,</w:t>
      </w:r>
      <w:r w:rsidR="004C705F">
        <w:t xml:space="preserve"> </w:t>
      </w:r>
      <w:r w:rsidR="00613262">
        <w:t>overall</w:t>
      </w:r>
      <w:r w:rsidR="00547951">
        <w:t>,</w:t>
      </w:r>
      <w:r w:rsidR="00613262">
        <w:t xml:space="preserve"> </w:t>
      </w:r>
      <w:r w:rsidR="00547951">
        <w:t>limit</w:t>
      </w:r>
      <w:r w:rsidR="004C705F">
        <w:t xml:space="preserve"> extraction of r</w:t>
      </w:r>
      <w:r w:rsidR="00415299">
        <w:t xml:space="preserve">aw </w:t>
      </w:r>
      <w:r w:rsidR="004C705F">
        <w:t>materials</w:t>
      </w:r>
      <w:r w:rsidR="00E939B1">
        <w:t xml:space="preserve"> </w:t>
      </w:r>
      <w:r w:rsidR="0030731A">
        <w:t>and minerals to prevent biodiversity loss</w:t>
      </w:r>
      <w:r w:rsidR="001C374E">
        <w:t>, water stress and climate change impacts</w:t>
      </w:r>
      <w:r w:rsidR="002C42DB">
        <w:t>.</w:t>
      </w:r>
    </w:p>
    <w:p w14:paraId="2E71CAA0" w14:textId="77777777" w:rsidR="0009316F" w:rsidRPr="00261CCE" w:rsidRDefault="0009316F" w:rsidP="0032542A">
      <w:pPr>
        <w:keepNext/>
        <w:spacing w:after="120"/>
        <w:ind w:left="1134" w:right="1134"/>
        <w:rPr>
          <w:b/>
          <w:bCs/>
          <w:lang w:eastAsia="zh-TW"/>
        </w:rPr>
      </w:pPr>
      <w:r w:rsidRPr="00261CCE">
        <w:rPr>
          <w:lang w:eastAsia="zh-TW"/>
        </w:rPr>
        <w:t>Table 13</w:t>
      </w:r>
      <w:r w:rsidRPr="00261CCE">
        <w:rPr>
          <w:lang w:eastAsia="zh-TW"/>
        </w:rPr>
        <w:br/>
      </w:r>
      <w:r w:rsidRPr="00261CCE">
        <w:rPr>
          <w:b/>
          <w:bCs/>
          <w:lang w:eastAsia="zh-TW"/>
        </w:rPr>
        <w:t>Overview on status and trends for the selected indicator on material footprint</w:t>
      </w:r>
    </w:p>
    <w:tbl>
      <w:tblPr>
        <w:tblStyle w:val="TableGrid"/>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
        <w:gridCol w:w="933"/>
        <w:gridCol w:w="1134"/>
        <w:gridCol w:w="992"/>
        <w:gridCol w:w="1134"/>
        <w:gridCol w:w="992"/>
        <w:gridCol w:w="1418"/>
      </w:tblGrid>
      <w:tr w:rsidR="0009316F" w:rsidRPr="00261CCE" w14:paraId="46916AA9" w14:textId="77777777" w:rsidTr="00C439AF">
        <w:tc>
          <w:tcPr>
            <w:tcW w:w="1052" w:type="dxa"/>
            <w:tcBorders>
              <w:top w:val="single" w:sz="4" w:space="0" w:color="auto"/>
              <w:bottom w:val="single" w:sz="12" w:space="0" w:color="auto"/>
            </w:tcBorders>
            <w:shd w:val="clear" w:color="auto" w:fill="auto"/>
          </w:tcPr>
          <w:p w14:paraId="5E77300B" w14:textId="77777777" w:rsidR="0009316F" w:rsidRPr="00261CCE" w:rsidRDefault="0009316F" w:rsidP="00C439AF">
            <w:pPr>
              <w:spacing w:before="80" w:line="200" w:lineRule="exact"/>
              <w:rPr>
                <w:i/>
                <w:sz w:val="16"/>
              </w:rPr>
            </w:pPr>
            <w:r w:rsidRPr="00261CCE">
              <w:rPr>
                <w:i/>
                <w:iCs/>
                <w:sz w:val="18"/>
                <w:szCs w:val="18"/>
              </w:rPr>
              <w:t>Indicator</w:t>
            </w:r>
          </w:p>
        </w:tc>
        <w:tc>
          <w:tcPr>
            <w:tcW w:w="933" w:type="dxa"/>
            <w:tcBorders>
              <w:top w:val="single" w:sz="4" w:space="0" w:color="auto"/>
              <w:bottom w:val="single" w:sz="12" w:space="0" w:color="auto"/>
            </w:tcBorders>
            <w:shd w:val="clear" w:color="auto" w:fill="auto"/>
          </w:tcPr>
          <w:p w14:paraId="1D7B009F" w14:textId="77777777" w:rsidR="0009316F" w:rsidRPr="00261CCE" w:rsidRDefault="0009316F" w:rsidP="00C439AF">
            <w:pPr>
              <w:spacing w:before="80" w:line="200" w:lineRule="exact"/>
              <w:jc w:val="center"/>
              <w:rPr>
                <w:i/>
                <w:sz w:val="16"/>
              </w:rPr>
            </w:pPr>
            <w:r w:rsidRPr="00261CCE">
              <w:rPr>
                <w:i/>
                <w:iCs/>
                <w:sz w:val="18"/>
                <w:szCs w:val="18"/>
              </w:rPr>
              <w:t>European Union</w:t>
            </w:r>
          </w:p>
        </w:tc>
        <w:tc>
          <w:tcPr>
            <w:tcW w:w="1134" w:type="dxa"/>
            <w:tcBorders>
              <w:top w:val="single" w:sz="4" w:space="0" w:color="auto"/>
              <w:bottom w:val="single" w:sz="12" w:space="0" w:color="auto"/>
            </w:tcBorders>
            <w:shd w:val="clear" w:color="auto" w:fill="auto"/>
          </w:tcPr>
          <w:p w14:paraId="12D39973" w14:textId="77777777" w:rsidR="0009316F" w:rsidRPr="00261CCE" w:rsidRDefault="0009316F" w:rsidP="00C439AF">
            <w:pPr>
              <w:spacing w:before="80" w:line="200" w:lineRule="exact"/>
              <w:jc w:val="center"/>
              <w:rPr>
                <w:i/>
                <w:sz w:val="16"/>
              </w:rPr>
            </w:pPr>
            <w:r w:rsidRPr="00261CCE">
              <w:rPr>
                <w:i/>
                <w:iCs/>
                <w:sz w:val="18"/>
                <w:szCs w:val="18"/>
              </w:rPr>
              <w:t>Western Europe</w:t>
            </w:r>
          </w:p>
        </w:tc>
        <w:tc>
          <w:tcPr>
            <w:tcW w:w="992" w:type="dxa"/>
            <w:tcBorders>
              <w:top w:val="single" w:sz="4" w:space="0" w:color="auto"/>
              <w:bottom w:val="single" w:sz="12" w:space="0" w:color="auto"/>
            </w:tcBorders>
            <w:shd w:val="clear" w:color="auto" w:fill="auto"/>
          </w:tcPr>
          <w:p w14:paraId="5AB28168" w14:textId="77777777" w:rsidR="0009316F" w:rsidRDefault="0009316F" w:rsidP="00C439AF">
            <w:pPr>
              <w:spacing w:before="80" w:line="200" w:lineRule="exact"/>
              <w:jc w:val="center"/>
              <w:rPr>
                <w:i/>
                <w:iCs/>
                <w:sz w:val="18"/>
                <w:szCs w:val="18"/>
              </w:rPr>
            </w:pPr>
            <w:r w:rsidRPr="00261CCE">
              <w:rPr>
                <w:i/>
                <w:iCs/>
                <w:sz w:val="18"/>
                <w:szCs w:val="18"/>
              </w:rPr>
              <w:t>Central</w:t>
            </w:r>
          </w:p>
          <w:p w14:paraId="0D1B4834" w14:textId="77777777" w:rsidR="0009316F" w:rsidRPr="00261CCE" w:rsidRDefault="0009316F" w:rsidP="00C439AF">
            <w:pPr>
              <w:spacing w:line="200" w:lineRule="exact"/>
              <w:jc w:val="center"/>
              <w:rPr>
                <w:i/>
                <w:iCs/>
                <w:sz w:val="18"/>
                <w:szCs w:val="18"/>
              </w:rPr>
            </w:pPr>
            <w:r w:rsidRPr="00261CCE">
              <w:rPr>
                <w:i/>
                <w:iCs/>
                <w:sz w:val="18"/>
                <w:szCs w:val="18"/>
              </w:rPr>
              <w:t>Asia</w:t>
            </w:r>
          </w:p>
        </w:tc>
        <w:tc>
          <w:tcPr>
            <w:tcW w:w="1134" w:type="dxa"/>
            <w:tcBorders>
              <w:top w:val="single" w:sz="4" w:space="0" w:color="auto"/>
              <w:bottom w:val="single" w:sz="12" w:space="0" w:color="auto"/>
            </w:tcBorders>
            <w:shd w:val="clear" w:color="auto" w:fill="auto"/>
          </w:tcPr>
          <w:p w14:paraId="6AADA910" w14:textId="77777777" w:rsidR="0009316F" w:rsidRPr="00261CCE" w:rsidRDefault="0009316F" w:rsidP="00C439AF">
            <w:pPr>
              <w:spacing w:before="80" w:line="200" w:lineRule="exact"/>
              <w:jc w:val="center"/>
              <w:rPr>
                <w:i/>
                <w:iCs/>
                <w:sz w:val="18"/>
                <w:szCs w:val="18"/>
              </w:rPr>
            </w:pPr>
            <w:r w:rsidRPr="00261CCE">
              <w:rPr>
                <w:i/>
                <w:iCs/>
                <w:sz w:val="18"/>
                <w:szCs w:val="18"/>
              </w:rPr>
              <w:t>Eastern</w:t>
            </w:r>
          </w:p>
          <w:p w14:paraId="233BB12B" w14:textId="77777777" w:rsidR="0009316F" w:rsidRPr="00261CCE" w:rsidRDefault="0009316F" w:rsidP="00C439AF">
            <w:pPr>
              <w:spacing w:line="200" w:lineRule="exact"/>
              <w:jc w:val="center"/>
              <w:rPr>
                <w:i/>
                <w:sz w:val="16"/>
              </w:rPr>
            </w:pPr>
            <w:r w:rsidRPr="00261CCE">
              <w:rPr>
                <w:i/>
                <w:iCs/>
                <w:sz w:val="18"/>
                <w:szCs w:val="18"/>
              </w:rPr>
              <w:t>Europe</w:t>
            </w:r>
          </w:p>
        </w:tc>
        <w:tc>
          <w:tcPr>
            <w:tcW w:w="992" w:type="dxa"/>
            <w:tcBorders>
              <w:top w:val="single" w:sz="4" w:space="0" w:color="auto"/>
              <w:bottom w:val="single" w:sz="12" w:space="0" w:color="auto"/>
            </w:tcBorders>
            <w:shd w:val="clear" w:color="auto" w:fill="auto"/>
          </w:tcPr>
          <w:p w14:paraId="440876BE" w14:textId="77777777" w:rsidR="0009316F" w:rsidRPr="00261CCE" w:rsidRDefault="0009316F" w:rsidP="00C439AF">
            <w:pPr>
              <w:spacing w:before="80" w:line="200" w:lineRule="exact"/>
              <w:jc w:val="center"/>
              <w:rPr>
                <w:i/>
                <w:iCs/>
                <w:sz w:val="18"/>
                <w:szCs w:val="18"/>
              </w:rPr>
            </w:pPr>
            <w:r w:rsidRPr="00261CCE">
              <w:rPr>
                <w:i/>
                <w:iCs/>
                <w:sz w:val="18"/>
                <w:szCs w:val="18"/>
              </w:rPr>
              <w:t>South</w:t>
            </w:r>
          </w:p>
          <w:p w14:paraId="13C032BD" w14:textId="77777777" w:rsidR="0009316F" w:rsidRPr="00261CCE" w:rsidRDefault="0009316F" w:rsidP="00C439AF">
            <w:pPr>
              <w:spacing w:line="200" w:lineRule="exact"/>
              <w:jc w:val="center"/>
              <w:rPr>
                <w:i/>
                <w:sz w:val="16"/>
              </w:rPr>
            </w:pPr>
            <w:r w:rsidRPr="00261CCE">
              <w:rPr>
                <w:i/>
                <w:iCs/>
                <w:sz w:val="18"/>
                <w:szCs w:val="18"/>
              </w:rPr>
              <w:t>-Eastern</w:t>
            </w:r>
            <w:r>
              <w:rPr>
                <w:i/>
                <w:iCs/>
                <w:sz w:val="18"/>
                <w:szCs w:val="18"/>
              </w:rPr>
              <w:t xml:space="preserve"> </w:t>
            </w:r>
            <w:r w:rsidRPr="00261CCE">
              <w:rPr>
                <w:i/>
                <w:iCs/>
                <w:sz w:val="18"/>
                <w:szCs w:val="18"/>
              </w:rPr>
              <w:t>Europe</w:t>
            </w:r>
          </w:p>
        </w:tc>
        <w:tc>
          <w:tcPr>
            <w:tcW w:w="1418" w:type="dxa"/>
            <w:tcBorders>
              <w:top w:val="single" w:sz="4" w:space="0" w:color="auto"/>
              <w:bottom w:val="single" w:sz="12" w:space="0" w:color="auto"/>
            </w:tcBorders>
            <w:shd w:val="clear" w:color="auto" w:fill="auto"/>
          </w:tcPr>
          <w:p w14:paraId="4F673CB9" w14:textId="77777777" w:rsidR="0009316F" w:rsidRPr="00261CCE" w:rsidRDefault="0009316F" w:rsidP="00C439AF">
            <w:pPr>
              <w:spacing w:before="80" w:line="200" w:lineRule="exact"/>
              <w:jc w:val="center"/>
              <w:rPr>
                <w:i/>
                <w:sz w:val="16"/>
              </w:rPr>
            </w:pPr>
            <w:r w:rsidRPr="00261CCE">
              <w:rPr>
                <w:i/>
                <w:iCs/>
                <w:sz w:val="18"/>
                <w:szCs w:val="18"/>
              </w:rPr>
              <w:t>Pan-European region</w:t>
            </w:r>
          </w:p>
        </w:tc>
      </w:tr>
      <w:tr w:rsidR="0009316F" w:rsidRPr="00261CCE" w14:paraId="3DB884E0" w14:textId="77777777" w:rsidTr="00C439AF">
        <w:trPr>
          <w:trHeight w:hRule="exact" w:val="82"/>
        </w:trPr>
        <w:tc>
          <w:tcPr>
            <w:tcW w:w="1052" w:type="dxa"/>
            <w:tcBorders>
              <w:top w:val="single" w:sz="12" w:space="0" w:color="auto"/>
            </w:tcBorders>
            <w:shd w:val="clear" w:color="auto" w:fill="auto"/>
            <w:vAlign w:val="bottom"/>
          </w:tcPr>
          <w:p w14:paraId="53B5ACFC" w14:textId="77777777" w:rsidR="0009316F" w:rsidRPr="00261CCE" w:rsidRDefault="0009316F" w:rsidP="00C439AF">
            <w:pPr>
              <w:spacing w:before="40" w:after="40" w:line="220" w:lineRule="exact"/>
              <w:rPr>
                <w:sz w:val="18"/>
                <w:szCs w:val="18"/>
              </w:rPr>
            </w:pPr>
          </w:p>
        </w:tc>
        <w:tc>
          <w:tcPr>
            <w:tcW w:w="933" w:type="dxa"/>
            <w:tcBorders>
              <w:top w:val="single" w:sz="12" w:space="0" w:color="auto"/>
            </w:tcBorders>
            <w:shd w:val="clear" w:color="auto" w:fill="auto"/>
            <w:vAlign w:val="center"/>
          </w:tcPr>
          <w:p w14:paraId="7BBA2658"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top w:val="single" w:sz="12" w:space="0" w:color="auto"/>
            </w:tcBorders>
            <w:shd w:val="clear" w:color="auto" w:fill="auto"/>
            <w:vAlign w:val="center"/>
          </w:tcPr>
          <w:p w14:paraId="2F5E0644"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top w:val="single" w:sz="12" w:space="0" w:color="auto"/>
            </w:tcBorders>
            <w:shd w:val="clear" w:color="auto" w:fill="auto"/>
            <w:vAlign w:val="center"/>
          </w:tcPr>
          <w:p w14:paraId="452321C4"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top w:val="single" w:sz="12" w:space="0" w:color="auto"/>
            </w:tcBorders>
            <w:shd w:val="clear" w:color="auto" w:fill="auto"/>
            <w:vAlign w:val="center"/>
          </w:tcPr>
          <w:p w14:paraId="6FD3257B" w14:textId="77777777" w:rsidR="0009316F" w:rsidRPr="00261CCE" w:rsidRDefault="0009316F" w:rsidP="00C439AF">
            <w:pPr>
              <w:keepNext/>
              <w:spacing w:after="120"/>
              <w:jc w:val="center"/>
              <w:rPr>
                <w:rFonts w:ascii="Wingdings" w:hAnsi="Wingdings" w:cs="Wingdings"/>
                <w:color w:val="FF0000"/>
                <w:sz w:val="28"/>
                <w:szCs w:val="28"/>
              </w:rPr>
            </w:pPr>
          </w:p>
        </w:tc>
        <w:tc>
          <w:tcPr>
            <w:tcW w:w="992" w:type="dxa"/>
            <w:tcBorders>
              <w:top w:val="single" w:sz="12" w:space="0" w:color="auto"/>
            </w:tcBorders>
            <w:shd w:val="clear" w:color="auto" w:fill="auto"/>
            <w:vAlign w:val="center"/>
          </w:tcPr>
          <w:p w14:paraId="1251D241" w14:textId="77777777" w:rsidR="0009316F" w:rsidRPr="00261CCE" w:rsidRDefault="0009316F" w:rsidP="00C439AF">
            <w:pPr>
              <w:keepNext/>
              <w:spacing w:after="120"/>
              <w:jc w:val="center"/>
              <w:rPr>
                <w:rFonts w:ascii="Wingdings" w:hAnsi="Wingdings" w:cs="Wingdings"/>
                <w:color w:val="FF0000"/>
                <w:sz w:val="28"/>
                <w:szCs w:val="28"/>
              </w:rPr>
            </w:pPr>
          </w:p>
        </w:tc>
        <w:tc>
          <w:tcPr>
            <w:tcW w:w="1418" w:type="dxa"/>
            <w:tcBorders>
              <w:top w:val="single" w:sz="12" w:space="0" w:color="auto"/>
            </w:tcBorders>
            <w:shd w:val="clear" w:color="auto" w:fill="auto"/>
            <w:vAlign w:val="center"/>
          </w:tcPr>
          <w:p w14:paraId="67FBB0BF" w14:textId="77777777" w:rsidR="0009316F" w:rsidRPr="00261CCE" w:rsidRDefault="0009316F" w:rsidP="00C439AF">
            <w:pPr>
              <w:keepNext/>
              <w:spacing w:after="120"/>
              <w:jc w:val="center"/>
              <w:rPr>
                <w:rFonts w:ascii="Wingdings" w:hAnsi="Wingdings" w:cs="Wingdings"/>
                <w:color w:val="FF0000"/>
                <w:sz w:val="28"/>
                <w:szCs w:val="28"/>
              </w:rPr>
            </w:pPr>
          </w:p>
        </w:tc>
      </w:tr>
      <w:tr w:rsidR="0009316F" w:rsidRPr="00261CCE" w14:paraId="1FBD8334" w14:textId="77777777" w:rsidTr="00C439AF">
        <w:tc>
          <w:tcPr>
            <w:tcW w:w="1052" w:type="dxa"/>
            <w:shd w:val="clear" w:color="auto" w:fill="auto"/>
            <w:vAlign w:val="bottom"/>
          </w:tcPr>
          <w:p w14:paraId="6ACE5805" w14:textId="77777777" w:rsidR="0009316F" w:rsidRPr="00261CCE" w:rsidRDefault="0009316F" w:rsidP="00C439AF">
            <w:pPr>
              <w:spacing w:before="40" w:after="40" w:line="220" w:lineRule="exact"/>
              <w:rPr>
                <w:sz w:val="18"/>
              </w:rPr>
            </w:pPr>
            <w:r w:rsidRPr="00261CCE">
              <w:rPr>
                <w:sz w:val="18"/>
                <w:szCs w:val="18"/>
              </w:rPr>
              <w:t>Material footprint, tons per capita, trend since 2000 (2017)</w:t>
            </w:r>
          </w:p>
        </w:tc>
        <w:tc>
          <w:tcPr>
            <w:tcW w:w="933" w:type="dxa"/>
            <w:shd w:val="clear" w:color="auto" w:fill="auto"/>
            <w:vAlign w:val="center"/>
          </w:tcPr>
          <w:p w14:paraId="09139F12"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50CA34B4" w14:textId="77777777" w:rsidR="0009316F" w:rsidRPr="00261CCE" w:rsidRDefault="0009316F" w:rsidP="00C439AF">
            <w:pPr>
              <w:spacing w:before="40" w:after="40" w:line="220" w:lineRule="exact"/>
              <w:jc w:val="center"/>
              <w:rPr>
                <w:sz w:val="18"/>
              </w:rPr>
            </w:pPr>
            <w:r w:rsidRPr="00261CCE">
              <w:rPr>
                <w:sz w:val="18"/>
                <w:szCs w:val="18"/>
              </w:rPr>
              <w:t>(23.3)</w:t>
            </w:r>
          </w:p>
        </w:tc>
        <w:tc>
          <w:tcPr>
            <w:tcW w:w="1134" w:type="dxa"/>
            <w:shd w:val="clear" w:color="auto" w:fill="auto"/>
            <w:vAlign w:val="center"/>
          </w:tcPr>
          <w:p w14:paraId="7854BBF2"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00B050"/>
                <w:sz w:val="28"/>
                <w:szCs w:val="28"/>
              </w:rPr>
              <w:t>ä</w:t>
            </w:r>
          </w:p>
          <w:p w14:paraId="65BB3BF5" w14:textId="77777777" w:rsidR="0009316F" w:rsidRPr="00261CCE" w:rsidRDefault="0009316F" w:rsidP="00C439AF">
            <w:pPr>
              <w:spacing w:before="40" w:after="40" w:line="220" w:lineRule="exact"/>
              <w:jc w:val="center"/>
              <w:rPr>
                <w:sz w:val="18"/>
              </w:rPr>
            </w:pPr>
            <w:r w:rsidRPr="00261CCE">
              <w:rPr>
                <w:sz w:val="18"/>
                <w:szCs w:val="18"/>
              </w:rPr>
              <w:t>(24.6)</w:t>
            </w:r>
          </w:p>
        </w:tc>
        <w:tc>
          <w:tcPr>
            <w:tcW w:w="992" w:type="dxa"/>
            <w:shd w:val="clear" w:color="auto" w:fill="auto"/>
            <w:vAlign w:val="center"/>
          </w:tcPr>
          <w:p w14:paraId="5AF80862"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78668465" w14:textId="77777777" w:rsidR="0009316F" w:rsidRPr="00261CCE" w:rsidRDefault="0009316F" w:rsidP="00C439AF">
            <w:pPr>
              <w:spacing w:before="40" w:after="40" w:line="220" w:lineRule="exact"/>
              <w:jc w:val="center"/>
              <w:rPr>
                <w:sz w:val="18"/>
              </w:rPr>
            </w:pPr>
            <w:r w:rsidRPr="00261CCE">
              <w:rPr>
                <w:sz w:val="18"/>
                <w:szCs w:val="18"/>
              </w:rPr>
              <w:t>(10.4)</w:t>
            </w:r>
          </w:p>
        </w:tc>
        <w:tc>
          <w:tcPr>
            <w:tcW w:w="1134" w:type="dxa"/>
            <w:shd w:val="clear" w:color="auto" w:fill="auto"/>
            <w:vAlign w:val="center"/>
          </w:tcPr>
          <w:p w14:paraId="0FF20D02"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53E9B202" w14:textId="77777777" w:rsidR="0009316F" w:rsidRPr="00261CCE" w:rsidRDefault="0009316F" w:rsidP="00C439AF">
            <w:pPr>
              <w:spacing w:before="40" w:after="40" w:line="220" w:lineRule="exact"/>
              <w:jc w:val="center"/>
              <w:rPr>
                <w:sz w:val="18"/>
              </w:rPr>
            </w:pPr>
            <w:r w:rsidRPr="00261CCE">
              <w:rPr>
                <w:sz w:val="18"/>
                <w:szCs w:val="18"/>
              </w:rPr>
              <w:t>(9.8)</w:t>
            </w:r>
          </w:p>
        </w:tc>
        <w:tc>
          <w:tcPr>
            <w:tcW w:w="992" w:type="dxa"/>
            <w:shd w:val="clear" w:color="auto" w:fill="auto"/>
            <w:vAlign w:val="center"/>
          </w:tcPr>
          <w:p w14:paraId="475EDDFA"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FF0000"/>
                <w:sz w:val="28"/>
                <w:szCs w:val="28"/>
              </w:rPr>
              <w:t>æ</w:t>
            </w:r>
          </w:p>
          <w:p w14:paraId="1D76A533" w14:textId="77777777" w:rsidR="0009316F" w:rsidRPr="00261CCE" w:rsidRDefault="0009316F" w:rsidP="00C439AF">
            <w:pPr>
              <w:spacing w:before="40" w:after="40" w:line="220" w:lineRule="exact"/>
              <w:jc w:val="center"/>
              <w:rPr>
                <w:sz w:val="18"/>
              </w:rPr>
            </w:pPr>
            <w:r w:rsidRPr="00261CCE">
              <w:rPr>
                <w:sz w:val="18"/>
                <w:szCs w:val="18"/>
              </w:rPr>
              <w:t>(16.2)</w:t>
            </w:r>
          </w:p>
        </w:tc>
        <w:tc>
          <w:tcPr>
            <w:tcW w:w="1418" w:type="dxa"/>
            <w:shd w:val="clear" w:color="auto" w:fill="auto"/>
            <w:vAlign w:val="center"/>
          </w:tcPr>
          <w:p w14:paraId="6BAC6626"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4FD7AABA" w14:textId="61810A00" w:rsidR="0009316F" w:rsidRPr="00261CCE" w:rsidRDefault="0009316F" w:rsidP="00C439AF">
            <w:pPr>
              <w:spacing w:before="40" w:after="40" w:line="220" w:lineRule="exact"/>
              <w:jc w:val="center"/>
              <w:rPr>
                <w:sz w:val="18"/>
              </w:rPr>
            </w:pPr>
            <w:r w:rsidRPr="00261CCE">
              <w:rPr>
                <w:sz w:val="18"/>
                <w:szCs w:val="18"/>
              </w:rPr>
              <w:t>(18.5)</w:t>
            </w:r>
          </w:p>
        </w:tc>
      </w:tr>
      <w:tr w:rsidR="0009316F" w:rsidRPr="00261CCE" w14:paraId="3A270E87" w14:textId="77777777" w:rsidTr="00C439AF">
        <w:trPr>
          <w:trHeight w:hRule="exact" w:val="52"/>
        </w:trPr>
        <w:tc>
          <w:tcPr>
            <w:tcW w:w="1052" w:type="dxa"/>
            <w:tcBorders>
              <w:bottom w:val="single" w:sz="12" w:space="0" w:color="auto"/>
            </w:tcBorders>
            <w:shd w:val="clear" w:color="auto" w:fill="auto"/>
            <w:vAlign w:val="bottom"/>
          </w:tcPr>
          <w:p w14:paraId="445F2F5E" w14:textId="77777777" w:rsidR="0009316F" w:rsidRPr="00261CCE" w:rsidRDefault="0009316F" w:rsidP="00C439AF">
            <w:pPr>
              <w:spacing w:before="40" w:after="40" w:line="220" w:lineRule="exact"/>
              <w:rPr>
                <w:sz w:val="18"/>
                <w:szCs w:val="18"/>
              </w:rPr>
            </w:pPr>
          </w:p>
        </w:tc>
        <w:tc>
          <w:tcPr>
            <w:tcW w:w="933" w:type="dxa"/>
            <w:tcBorders>
              <w:bottom w:val="single" w:sz="12" w:space="0" w:color="auto"/>
            </w:tcBorders>
            <w:shd w:val="clear" w:color="auto" w:fill="auto"/>
            <w:vAlign w:val="center"/>
          </w:tcPr>
          <w:p w14:paraId="12A8FBF3"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bottom w:val="single" w:sz="12" w:space="0" w:color="auto"/>
            </w:tcBorders>
            <w:shd w:val="clear" w:color="auto" w:fill="auto"/>
            <w:vAlign w:val="center"/>
          </w:tcPr>
          <w:p w14:paraId="77D641BC"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center"/>
          </w:tcPr>
          <w:p w14:paraId="71A4CCCB" w14:textId="77777777" w:rsidR="0009316F" w:rsidRPr="00261CCE" w:rsidRDefault="0009316F" w:rsidP="00C439AF">
            <w:pPr>
              <w:keepNext/>
              <w:spacing w:after="120"/>
              <w:jc w:val="center"/>
              <w:rPr>
                <w:rFonts w:ascii="Wingdings" w:hAnsi="Wingdings" w:cs="Wingdings"/>
                <w:color w:val="FF0000"/>
                <w:sz w:val="28"/>
                <w:szCs w:val="28"/>
              </w:rPr>
            </w:pPr>
          </w:p>
        </w:tc>
        <w:tc>
          <w:tcPr>
            <w:tcW w:w="1134" w:type="dxa"/>
            <w:tcBorders>
              <w:bottom w:val="single" w:sz="12" w:space="0" w:color="auto"/>
            </w:tcBorders>
            <w:shd w:val="clear" w:color="auto" w:fill="auto"/>
            <w:vAlign w:val="center"/>
          </w:tcPr>
          <w:p w14:paraId="5A517F8E" w14:textId="77777777" w:rsidR="0009316F" w:rsidRPr="00261CCE" w:rsidRDefault="0009316F" w:rsidP="00C439AF">
            <w:pPr>
              <w:keepNext/>
              <w:spacing w:after="120"/>
              <w:jc w:val="center"/>
              <w:rPr>
                <w:rFonts w:ascii="Wingdings" w:hAnsi="Wingdings" w:cs="Wingdings"/>
                <w:color w:val="FF0000"/>
                <w:sz w:val="28"/>
                <w:szCs w:val="28"/>
              </w:rPr>
            </w:pPr>
          </w:p>
        </w:tc>
        <w:tc>
          <w:tcPr>
            <w:tcW w:w="992" w:type="dxa"/>
            <w:tcBorders>
              <w:bottom w:val="single" w:sz="12" w:space="0" w:color="auto"/>
            </w:tcBorders>
            <w:shd w:val="clear" w:color="auto" w:fill="auto"/>
            <w:vAlign w:val="center"/>
          </w:tcPr>
          <w:p w14:paraId="03975583" w14:textId="77777777" w:rsidR="0009316F" w:rsidRPr="00261CCE" w:rsidRDefault="0009316F" w:rsidP="00C439AF">
            <w:pPr>
              <w:keepNext/>
              <w:spacing w:after="120"/>
              <w:jc w:val="center"/>
              <w:rPr>
                <w:rFonts w:ascii="Wingdings" w:hAnsi="Wingdings" w:cs="Wingdings"/>
                <w:color w:val="FF0000"/>
                <w:sz w:val="28"/>
                <w:szCs w:val="28"/>
              </w:rPr>
            </w:pPr>
          </w:p>
        </w:tc>
        <w:tc>
          <w:tcPr>
            <w:tcW w:w="1418" w:type="dxa"/>
            <w:tcBorders>
              <w:bottom w:val="single" w:sz="12" w:space="0" w:color="auto"/>
            </w:tcBorders>
            <w:shd w:val="clear" w:color="auto" w:fill="auto"/>
            <w:vAlign w:val="center"/>
          </w:tcPr>
          <w:p w14:paraId="5FB83DC8" w14:textId="77777777" w:rsidR="0009316F" w:rsidRPr="00261CCE" w:rsidRDefault="0009316F" w:rsidP="00C439AF">
            <w:pPr>
              <w:keepNext/>
              <w:spacing w:after="120"/>
              <w:jc w:val="center"/>
              <w:rPr>
                <w:rFonts w:ascii="Wingdings" w:hAnsi="Wingdings" w:cs="Wingdings"/>
                <w:color w:val="FF0000"/>
                <w:sz w:val="28"/>
                <w:szCs w:val="28"/>
              </w:rPr>
            </w:pPr>
          </w:p>
        </w:tc>
      </w:tr>
    </w:tbl>
    <w:p w14:paraId="076527F7" w14:textId="776C309C" w:rsidR="0009316F" w:rsidRPr="00261CCE" w:rsidRDefault="0009316F" w:rsidP="005A147B">
      <w:pPr>
        <w:tabs>
          <w:tab w:val="left" w:pos="2268"/>
          <w:tab w:val="left" w:pos="7371"/>
        </w:tabs>
        <w:spacing w:before="120"/>
        <w:ind w:left="1123" w:right="708" w:firstLine="437"/>
        <w:textAlignment w:val="baseline"/>
        <w:rPr>
          <w:sz w:val="18"/>
          <w:szCs w:val="18"/>
          <w:lang w:eastAsia="zh-CN"/>
        </w:rPr>
      </w:pPr>
      <w:r w:rsidRPr="00261CCE">
        <w:rPr>
          <w:i/>
          <w:iCs/>
          <w:sz w:val="18"/>
          <w:szCs w:val="18"/>
          <w:lang w:eastAsia="zh-CN"/>
        </w:rPr>
        <w:t>Sources</w:t>
      </w:r>
      <w:r w:rsidRPr="00261CCE">
        <w:rPr>
          <w:sz w:val="18"/>
          <w:szCs w:val="18"/>
          <w:lang w:eastAsia="zh-CN"/>
        </w:rPr>
        <w:t>:</w:t>
      </w:r>
      <w:r w:rsidRPr="00261CCE">
        <w:rPr>
          <w:sz w:val="18"/>
          <w:szCs w:val="18"/>
          <w:lang w:eastAsia="zh-CN"/>
        </w:rPr>
        <w:tab/>
        <w:t xml:space="preserve">UNEP World Environment Situation Room, available at </w:t>
      </w:r>
      <w:hyperlink r:id="rId12" w:history="1">
        <w:r w:rsidRPr="00261CCE">
          <w:rPr>
            <w:color w:val="0000FF"/>
            <w:sz w:val="18"/>
            <w:szCs w:val="18"/>
            <w:lang w:eastAsia="zh-CN"/>
          </w:rPr>
          <w:t>https://wesr.une</w:t>
        </w:r>
        <w:bookmarkStart w:id="3" w:name="_Hlt101356902"/>
        <w:bookmarkStart w:id="4" w:name="_Hlt101356903"/>
        <w:r w:rsidRPr="00261CCE">
          <w:rPr>
            <w:color w:val="0000FF"/>
            <w:sz w:val="18"/>
            <w:szCs w:val="18"/>
            <w:lang w:eastAsia="zh-CN"/>
          </w:rPr>
          <w:t>p</w:t>
        </w:r>
        <w:bookmarkEnd w:id="3"/>
        <w:bookmarkEnd w:id="4"/>
        <w:r w:rsidRPr="00261CCE">
          <w:rPr>
            <w:color w:val="0000FF"/>
            <w:sz w:val="18"/>
            <w:szCs w:val="18"/>
            <w:lang w:eastAsia="zh-CN"/>
          </w:rPr>
          <w:t>.org/downloader</w:t>
        </w:r>
      </w:hyperlink>
      <w:r w:rsidRPr="00261CCE">
        <w:rPr>
          <w:color w:val="0000FF"/>
          <w:sz w:val="18"/>
          <w:szCs w:val="18"/>
          <w:lang w:eastAsia="zh-CN"/>
        </w:rPr>
        <w:t xml:space="preserve"> </w:t>
      </w:r>
      <w:r w:rsidR="00395734">
        <w:rPr>
          <w:color w:val="0000FF"/>
          <w:sz w:val="18"/>
          <w:szCs w:val="18"/>
          <w:lang w:eastAsia="zh-CN"/>
        </w:rPr>
        <w:t xml:space="preserve"> </w:t>
      </w:r>
      <w:r w:rsidR="00395734" w:rsidRPr="00F227DA">
        <w:rPr>
          <w:sz w:val="18"/>
          <w:szCs w:val="18"/>
          <w:lang w:eastAsia="zh-CN"/>
        </w:rPr>
        <w:t>(Sustainable Development Goal indicator 8.4.1/12.2.1)</w:t>
      </w:r>
      <w:r w:rsidR="00395734">
        <w:rPr>
          <w:sz w:val="18"/>
          <w:szCs w:val="18"/>
          <w:lang w:eastAsia="zh-CN"/>
        </w:rPr>
        <w:t xml:space="preserve"> </w:t>
      </w:r>
      <w:r w:rsidRPr="00261CCE">
        <w:rPr>
          <w:sz w:val="18"/>
          <w:szCs w:val="18"/>
          <w:lang w:eastAsia="zh-CN"/>
        </w:rPr>
        <w:t>and ECE Statistical Database for populations.  </w:t>
      </w:r>
    </w:p>
    <w:p w14:paraId="4EBAD6D1" w14:textId="77777777" w:rsidR="0009316F" w:rsidRPr="00261CCE" w:rsidRDefault="0009316F" w:rsidP="005A147B">
      <w:pPr>
        <w:tabs>
          <w:tab w:val="left" w:pos="7371"/>
        </w:tabs>
        <w:spacing w:after="120"/>
        <w:ind w:left="1134" w:right="1134" w:firstLine="567"/>
      </w:pPr>
      <w:r w:rsidRPr="00261CCE">
        <w:rPr>
          <w:i/>
          <w:iCs/>
          <w:sz w:val="18"/>
          <w:szCs w:val="18"/>
        </w:rPr>
        <w:lastRenderedPageBreak/>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 xml:space="preserve">improving or </w:t>
      </w:r>
      <w:r w:rsidRPr="00261CCE">
        <w:rPr>
          <w:rFonts w:ascii="Wingdings" w:eastAsia="Wingdings" w:hAnsi="Wingdings" w:cs="Wingdings"/>
          <w:color w:val="FF0000"/>
          <w:sz w:val="28"/>
          <w:szCs w:val="28"/>
        </w:rPr>
        <w:t>æ</w:t>
      </w:r>
      <w:r w:rsidRPr="00261CCE">
        <w:t xml:space="preserve"> </w:t>
      </w:r>
      <w:r w:rsidRPr="00261CCE">
        <w:rPr>
          <w:sz w:val="18"/>
          <w:szCs w:val="18"/>
        </w:rPr>
        <w:t xml:space="preserve">worsening. </w:t>
      </w:r>
      <w:r w:rsidRPr="00261CCE">
        <w:rPr>
          <w:sz w:val="18"/>
          <w:szCs w:val="18"/>
          <w:lang w:eastAsia="zh-CN"/>
        </w:rPr>
        <w:t>No data for Andorra, Liechtenstein, Monaco, or San Marino. Population of Turkmenistan 2010–2017 uses figure for 2009; for the Russian Federation 2014–2017, uses 2013.</w:t>
      </w:r>
    </w:p>
    <w:p w14:paraId="70CFF095"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14.</w:t>
      </w:r>
      <w:r w:rsidRPr="00261CCE">
        <w:rPr>
          <w:b/>
        </w:rPr>
        <w:tab/>
        <w:t>Disaster risk reduction</w:t>
      </w:r>
    </w:p>
    <w:p w14:paraId="744D6A1A" w14:textId="2978B51E" w:rsidR="0009316F" w:rsidRPr="00261CCE" w:rsidRDefault="000C0F47" w:rsidP="0009316F">
      <w:pPr>
        <w:spacing w:after="120"/>
        <w:ind w:left="1134" w:right="1134"/>
        <w:jc w:val="both"/>
      </w:pPr>
      <w:r>
        <w:t>31</w:t>
      </w:r>
      <w:r w:rsidR="0009316F" w:rsidRPr="00261CCE">
        <w:t>.</w:t>
      </w:r>
      <w:r w:rsidR="0009316F" w:rsidRPr="00261CCE">
        <w:tab/>
        <w:t>About 65 per cent of the population in the pan-European region is covered by local disaster risk reduction strategies.</w:t>
      </w:r>
      <w:r w:rsidR="0009316F" w:rsidRPr="00261CCE">
        <w:rPr>
          <w:sz w:val="18"/>
          <w:vertAlign w:val="superscript"/>
        </w:rPr>
        <w:footnoteReference w:id="4"/>
      </w:r>
      <w:r w:rsidR="0009316F" w:rsidRPr="00261CCE">
        <w:t xml:space="preserve"> Only 15 countries in the region reported that all their local authorities are implementing such strategies under Sustainable Development Goal target 13.1; while 23 countries </w:t>
      </w:r>
      <w:r w:rsidR="0009316F" w:rsidRPr="00261CCE">
        <w:rPr>
          <w:sz w:val="18"/>
          <w:szCs w:val="18"/>
        </w:rPr>
        <w:t>–</w:t>
      </w:r>
      <w:r w:rsidR="0009316F" w:rsidRPr="00261CCE">
        <w:t xml:space="preserve"> which jointly represent a quarter of the region’s population </w:t>
      </w:r>
      <w:r w:rsidR="0009316F" w:rsidRPr="00261CCE">
        <w:softHyphen/>
      </w:r>
      <w:r w:rsidR="0009316F" w:rsidRPr="00261CCE">
        <w:rPr>
          <w:sz w:val="18"/>
          <w:szCs w:val="18"/>
        </w:rPr>
        <w:t>–</w:t>
      </w:r>
      <w:r w:rsidR="0009316F" w:rsidRPr="00261CCE">
        <w:t xml:space="preserve"> do not report on that target (see table 14 below). </w:t>
      </w:r>
    </w:p>
    <w:p w14:paraId="58EC6FE3" w14:textId="30FCF55C"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0C0F47">
        <w:rPr>
          <w:b/>
        </w:rPr>
        <w:t>s</w:t>
      </w:r>
      <w:r w:rsidRPr="00261CCE">
        <w:rPr>
          <w:b/>
        </w:rPr>
        <w:t xml:space="preserve">: </w:t>
      </w:r>
    </w:p>
    <w:p w14:paraId="018D4ED4" w14:textId="1E0C2689" w:rsidR="0009316F" w:rsidRPr="00261CCE" w:rsidRDefault="000C0F47" w:rsidP="0009316F">
      <w:pPr>
        <w:spacing w:after="120"/>
        <w:ind w:left="1134" w:right="1134"/>
        <w:jc w:val="both"/>
        <w:rPr>
          <w:lang w:eastAsia="zh-TW"/>
        </w:rPr>
      </w:pPr>
      <w:r>
        <w:t>32</w:t>
      </w:r>
      <w:r w:rsidR="0009316F" w:rsidRPr="00261CCE">
        <w:rPr>
          <w:lang w:eastAsia="zh-TW"/>
        </w:rPr>
        <w:t>.</w:t>
      </w:r>
      <w:r w:rsidR="0009316F" w:rsidRPr="00261CCE">
        <w:rPr>
          <w:lang w:eastAsia="zh-TW"/>
        </w:rPr>
        <w:tab/>
        <w:t xml:space="preserve">Governments in the pan-European region should strengthen </w:t>
      </w:r>
      <w:r w:rsidR="008C3AB2">
        <w:rPr>
          <w:lang w:eastAsia="zh-TW"/>
        </w:rPr>
        <w:t xml:space="preserve">the </w:t>
      </w:r>
      <w:r w:rsidR="0009316F" w:rsidRPr="00261CCE">
        <w:rPr>
          <w:lang w:eastAsia="zh-TW"/>
        </w:rPr>
        <w:t xml:space="preserve">awareness of </w:t>
      </w:r>
      <w:r w:rsidR="008C3AB2">
        <w:rPr>
          <w:lang w:eastAsia="zh-TW"/>
        </w:rPr>
        <w:t xml:space="preserve">potential </w:t>
      </w:r>
      <w:r w:rsidR="00522D23">
        <w:rPr>
          <w:lang w:eastAsia="zh-TW"/>
        </w:rPr>
        <w:t xml:space="preserve">hazards including </w:t>
      </w:r>
      <w:r w:rsidR="00757F46">
        <w:rPr>
          <w:lang w:eastAsia="zh-TW"/>
        </w:rPr>
        <w:t xml:space="preserve">natural </w:t>
      </w:r>
      <w:r w:rsidR="008878F4">
        <w:rPr>
          <w:lang w:eastAsia="zh-TW"/>
        </w:rPr>
        <w:t>and particular</w:t>
      </w:r>
      <w:r w:rsidR="00B86406">
        <w:rPr>
          <w:lang w:eastAsia="zh-TW"/>
        </w:rPr>
        <w:t>ly</w:t>
      </w:r>
      <w:r w:rsidR="008878F4">
        <w:rPr>
          <w:lang w:eastAsia="zh-TW"/>
        </w:rPr>
        <w:t xml:space="preserve"> </w:t>
      </w:r>
      <w:r w:rsidR="0009316F" w:rsidRPr="00261CCE">
        <w:rPr>
          <w:lang w:eastAsia="zh-TW"/>
        </w:rPr>
        <w:t xml:space="preserve">climate </w:t>
      </w:r>
      <w:r w:rsidR="00522D23">
        <w:rPr>
          <w:lang w:eastAsia="zh-TW"/>
        </w:rPr>
        <w:t>ones</w:t>
      </w:r>
      <w:r w:rsidR="0009316F" w:rsidRPr="00261CCE">
        <w:rPr>
          <w:lang w:eastAsia="zh-TW"/>
        </w:rPr>
        <w:t>, especially among poorer communities, and establish conditions to report regularly on Sustainable Development Goal target 13.1 and under the Sendai Framework for Disaster Risk Reduction 2015–2030.</w:t>
      </w:r>
    </w:p>
    <w:p w14:paraId="2515DC0E" w14:textId="77777777" w:rsidR="0009316F" w:rsidRPr="00261CCE" w:rsidRDefault="0009316F" w:rsidP="0009316F">
      <w:pPr>
        <w:keepNext/>
        <w:spacing w:before="240" w:after="120"/>
        <w:ind w:left="1134" w:right="1134"/>
        <w:rPr>
          <w:b/>
          <w:bCs/>
          <w:lang w:eastAsia="zh-TW"/>
        </w:rPr>
      </w:pPr>
      <w:r w:rsidRPr="00261CCE">
        <w:rPr>
          <w:lang w:eastAsia="zh-TW"/>
        </w:rPr>
        <w:t>Table 14</w:t>
      </w:r>
      <w:r w:rsidRPr="00261CCE">
        <w:rPr>
          <w:lang w:eastAsia="zh-TW"/>
        </w:rPr>
        <w:br/>
      </w:r>
      <w:r w:rsidRPr="00261CCE">
        <w:rPr>
          <w:b/>
          <w:bCs/>
          <w:lang w:eastAsia="zh-TW"/>
        </w:rPr>
        <w:t>Overview on status and trends for selected indicators on disaster risk reduction</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6"/>
        <w:gridCol w:w="850"/>
        <w:gridCol w:w="993"/>
        <w:gridCol w:w="992"/>
        <w:gridCol w:w="992"/>
        <w:gridCol w:w="992"/>
      </w:tblGrid>
      <w:tr w:rsidR="0009316F" w:rsidRPr="00261CCE" w14:paraId="15368155" w14:textId="77777777" w:rsidTr="00C439AF">
        <w:trPr>
          <w:tblHeader/>
        </w:trPr>
        <w:tc>
          <w:tcPr>
            <w:tcW w:w="1276" w:type="dxa"/>
            <w:tcBorders>
              <w:top w:val="single" w:sz="4" w:space="0" w:color="auto"/>
              <w:bottom w:val="single" w:sz="12" w:space="0" w:color="auto"/>
            </w:tcBorders>
            <w:shd w:val="clear" w:color="auto" w:fill="auto"/>
          </w:tcPr>
          <w:p w14:paraId="52A7D20A" w14:textId="77777777" w:rsidR="0009316F" w:rsidRPr="00261CCE" w:rsidRDefault="0009316F" w:rsidP="00C439AF">
            <w:pPr>
              <w:spacing w:before="80" w:line="200" w:lineRule="exact"/>
              <w:ind w:right="113"/>
              <w:rPr>
                <w:rFonts w:eastAsia="PMingLiU"/>
                <w:i/>
                <w:sz w:val="16"/>
              </w:rPr>
            </w:pPr>
            <w:r w:rsidRPr="00261CCE">
              <w:rPr>
                <w:i/>
                <w:iCs/>
                <w:sz w:val="18"/>
                <w:szCs w:val="18"/>
              </w:rPr>
              <w:t>Indicator</w:t>
            </w:r>
          </w:p>
        </w:tc>
        <w:tc>
          <w:tcPr>
            <w:tcW w:w="1276" w:type="dxa"/>
            <w:tcBorders>
              <w:top w:val="single" w:sz="4" w:space="0" w:color="auto"/>
              <w:bottom w:val="single" w:sz="12" w:space="0" w:color="auto"/>
            </w:tcBorders>
            <w:shd w:val="clear" w:color="auto" w:fill="auto"/>
          </w:tcPr>
          <w:p w14:paraId="0B319D85"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European Union</w:t>
            </w:r>
          </w:p>
        </w:tc>
        <w:tc>
          <w:tcPr>
            <w:tcW w:w="850" w:type="dxa"/>
            <w:tcBorders>
              <w:top w:val="single" w:sz="4" w:space="0" w:color="auto"/>
              <w:bottom w:val="single" w:sz="12" w:space="0" w:color="auto"/>
            </w:tcBorders>
            <w:shd w:val="clear" w:color="auto" w:fill="auto"/>
          </w:tcPr>
          <w:p w14:paraId="0974A4E0"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Western Europe</w:t>
            </w:r>
          </w:p>
        </w:tc>
        <w:tc>
          <w:tcPr>
            <w:tcW w:w="993" w:type="dxa"/>
            <w:tcBorders>
              <w:top w:val="single" w:sz="4" w:space="0" w:color="auto"/>
              <w:bottom w:val="single" w:sz="12" w:space="0" w:color="auto"/>
            </w:tcBorders>
            <w:shd w:val="clear" w:color="auto" w:fill="auto"/>
          </w:tcPr>
          <w:p w14:paraId="5AE5E9A2"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Central Asia</w:t>
            </w:r>
          </w:p>
        </w:tc>
        <w:tc>
          <w:tcPr>
            <w:tcW w:w="992" w:type="dxa"/>
            <w:tcBorders>
              <w:top w:val="single" w:sz="4" w:space="0" w:color="auto"/>
              <w:bottom w:val="single" w:sz="12" w:space="0" w:color="auto"/>
            </w:tcBorders>
            <w:shd w:val="clear" w:color="auto" w:fill="auto"/>
          </w:tcPr>
          <w:p w14:paraId="4140D7E6"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Eastern Europe</w:t>
            </w:r>
          </w:p>
        </w:tc>
        <w:tc>
          <w:tcPr>
            <w:tcW w:w="992" w:type="dxa"/>
            <w:tcBorders>
              <w:top w:val="single" w:sz="4" w:space="0" w:color="auto"/>
              <w:bottom w:val="single" w:sz="12" w:space="0" w:color="auto"/>
            </w:tcBorders>
            <w:shd w:val="clear" w:color="auto" w:fill="auto"/>
          </w:tcPr>
          <w:p w14:paraId="6FA7698B"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South-Eastern Europe</w:t>
            </w:r>
          </w:p>
        </w:tc>
        <w:tc>
          <w:tcPr>
            <w:tcW w:w="992" w:type="dxa"/>
            <w:tcBorders>
              <w:top w:val="single" w:sz="4" w:space="0" w:color="auto"/>
              <w:bottom w:val="single" w:sz="12" w:space="0" w:color="auto"/>
            </w:tcBorders>
            <w:shd w:val="clear" w:color="auto" w:fill="auto"/>
          </w:tcPr>
          <w:p w14:paraId="0488F548"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Pan-European region</w:t>
            </w:r>
          </w:p>
        </w:tc>
      </w:tr>
      <w:tr w:rsidR="0009316F" w:rsidRPr="00261CCE" w14:paraId="518B6907" w14:textId="77777777" w:rsidTr="00C439AF">
        <w:trPr>
          <w:trHeight w:hRule="exact" w:val="80"/>
        </w:trPr>
        <w:tc>
          <w:tcPr>
            <w:tcW w:w="1276" w:type="dxa"/>
            <w:tcBorders>
              <w:top w:val="single" w:sz="12" w:space="0" w:color="auto"/>
            </w:tcBorders>
            <w:shd w:val="clear" w:color="auto" w:fill="auto"/>
          </w:tcPr>
          <w:p w14:paraId="670C59DE" w14:textId="77777777" w:rsidR="0009316F" w:rsidRPr="00261CCE" w:rsidRDefault="0009316F" w:rsidP="00C439AF">
            <w:pPr>
              <w:spacing w:before="40" w:after="120"/>
              <w:ind w:right="113"/>
              <w:rPr>
                <w:rFonts w:eastAsia="PMingLiU"/>
              </w:rPr>
            </w:pPr>
          </w:p>
        </w:tc>
        <w:tc>
          <w:tcPr>
            <w:tcW w:w="1276" w:type="dxa"/>
            <w:tcBorders>
              <w:top w:val="single" w:sz="12" w:space="0" w:color="auto"/>
            </w:tcBorders>
            <w:shd w:val="clear" w:color="auto" w:fill="auto"/>
          </w:tcPr>
          <w:p w14:paraId="5FE07822" w14:textId="77777777" w:rsidR="0009316F" w:rsidRPr="00261CCE" w:rsidRDefault="0009316F" w:rsidP="00C439AF">
            <w:pPr>
              <w:spacing w:before="40" w:after="120"/>
              <w:ind w:right="113"/>
              <w:rPr>
                <w:iCs/>
                <w:szCs w:val="18"/>
              </w:rPr>
            </w:pPr>
          </w:p>
        </w:tc>
        <w:tc>
          <w:tcPr>
            <w:tcW w:w="850" w:type="dxa"/>
            <w:tcBorders>
              <w:top w:val="single" w:sz="12" w:space="0" w:color="auto"/>
            </w:tcBorders>
            <w:shd w:val="clear" w:color="auto" w:fill="auto"/>
          </w:tcPr>
          <w:p w14:paraId="416D8C10" w14:textId="77777777" w:rsidR="0009316F" w:rsidRPr="00261CCE" w:rsidRDefault="0009316F" w:rsidP="00C439AF">
            <w:pPr>
              <w:spacing w:before="40" w:after="120"/>
              <w:ind w:right="113"/>
              <w:rPr>
                <w:iCs/>
                <w:szCs w:val="18"/>
              </w:rPr>
            </w:pPr>
          </w:p>
        </w:tc>
        <w:tc>
          <w:tcPr>
            <w:tcW w:w="993" w:type="dxa"/>
            <w:tcBorders>
              <w:top w:val="single" w:sz="12" w:space="0" w:color="auto"/>
            </w:tcBorders>
            <w:shd w:val="clear" w:color="auto" w:fill="auto"/>
          </w:tcPr>
          <w:p w14:paraId="22A3283E" w14:textId="77777777" w:rsidR="0009316F" w:rsidRPr="00261CCE" w:rsidRDefault="0009316F" w:rsidP="00C439AF">
            <w:pPr>
              <w:spacing w:before="40" w:after="120"/>
              <w:ind w:right="113"/>
              <w:rPr>
                <w:iCs/>
                <w:szCs w:val="18"/>
              </w:rPr>
            </w:pPr>
          </w:p>
        </w:tc>
        <w:tc>
          <w:tcPr>
            <w:tcW w:w="992" w:type="dxa"/>
            <w:tcBorders>
              <w:top w:val="single" w:sz="12" w:space="0" w:color="auto"/>
            </w:tcBorders>
            <w:shd w:val="clear" w:color="auto" w:fill="auto"/>
          </w:tcPr>
          <w:p w14:paraId="684B919C" w14:textId="77777777" w:rsidR="0009316F" w:rsidRPr="00261CCE" w:rsidRDefault="0009316F" w:rsidP="00C439AF">
            <w:pPr>
              <w:spacing w:before="40" w:after="120"/>
              <w:ind w:right="113"/>
              <w:rPr>
                <w:iCs/>
                <w:szCs w:val="18"/>
              </w:rPr>
            </w:pPr>
          </w:p>
        </w:tc>
        <w:tc>
          <w:tcPr>
            <w:tcW w:w="992" w:type="dxa"/>
            <w:tcBorders>
              <w:top w:val="single" w:sz="12" w:space="0" w:color="auto"/>
            </w:tcBorders>
            <w:shd w:val="clear" w:color="auto" w:fill="auto"/>
          </w:tcPr>
          <w:p w14:paraId="361E0BA1" w14:textId="77777777" w:rsidR="0009316F" w:rsidRPr="00261CCE" w:rsidRDefault="0009316F" w:rsidP="00C439AF">
            <w:pPr>
              <w:spacing w:before="40" w:after="120"/>
              <w:ind w:right="113"/>
              <w:rPr>
                <w:iCs/>
                <w:szCs w:val="18"/>
              </w:rPr>
            </w:pPr>
          </w:p>
        </w:tc>
        <w:tc>
          <w:tcPr>
            <w:tcW w:w="992" w:type="dxa"/>
            <w:tcBorders>
              <w:top w:val="single" w:sz="12" w:space="0" w:color="auto"/>
            </w:tcBorders>
            <w:shd w:val="clear" w:color="auto" w:fill="auto"/>
          </w:tcPr>
          <w:p w14:paraId="39B0DFED" w14:textId="77777777" w:rsidR="0009316F" w:rsidRPr="00261CCE" w:rsidRDefault="0009316F" w:rsidP="00C439AF">
            <w:pPr>
              <w:spacing w:before="40" w:after="120"/>
              <w:ind w:right="113"/>
              <w:rPr>
                <w:iCs/>
                <w:szCs w:val="18"/>
              </w:rPr>
            </w:pPr>
          </w:p>
        </w:tc>
      </w:tr>
      <w:tr w:rsidR="0009316F" w:rsidRPr="00261CCE" w14:paraId="23848770" w14:textId="77777777" w:rsidTr="00C439AF">
        <w:tc>
          <w:tcPr>
            <w:tcW w:w="1276" w:type="dxa"/>
            <w:shd w:val="clear" w:color="auto" w:fill="auto"/>
          </w:tcPr>
          <w:p w14:paraId="6C491AE4" w14:textId="77777777" w:rsidR="0009316F" w:rsidRPr="00261CCE" w:rsidRDefault="0009316F" w:rsidP="00C439AF">
            <w:pPr>
              <w:spacing w:before="40" w:after="120"/>
              <w:ind w:right="113"/>
              <w:rPr>
                <w:rFonts w:eastAsia="PMingLiU"/>
                <w:sz w:val="18"/>
                <w:szCs w:val="18"/>
              </w:rPr>
            </w:pPr>
            <w:r w:rsidRPr="00261CCE">
              <w:rPr>
                <w:sz w:val="18"/>
                <w:szCs w:val="18"/>
              </w:rPr>
              <w:t>Countries having local disaster risk reduction strategies</w:t>
            </w:r>
          </w:p>
        </w:tc>
        <w:tc>
          <w:tcPr>
            <w:tcW w:w="1276" w:type="dxa"/>
            <w:shd w:val="clear" w:color="auto" w:fill="auto"/>
            <w:vAlign w:val="center"/>
          </w:tcPr>
          <w:p w14:paraId="4B998581"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à</w:t>
            </w:r>
            <w:r w:rsidRPr="00261CCE">
              <w:rPr>
                <w:color w:val="E36C0A" w:themeColor="accent6" w:themeShade="BF"/>
                <w:sz w:val="28"/>
                <w:szCs w:val="28"/>
              </w:rPr>
              <w:t xml:space="preserve"> </w:t>
            </w:r>
            <w:r w:rsidRPr="00261CCE">
              <w:rPr>
                <w:rFonts w:ascii="Wingdings" w:eastAsia="Wingdings" w:hAnsi="Wingdings" w:cs="Wingdings"/>
                <w:color w:val="00B050"/>
                <w:sz w:val="28"/>
                <w:szCs w:val="28"/>
              </w:rPr>
              <w:t>J</w:t>
            </w:r>
          </w:p>
        </w:tc>
        <w:tc>
          <w:tcPr>
            <w:tcW w:w="850" w:type="dxa"/>
            <w:shd w:val="clear" w:color="auto" w:fill="auto"/>
            <w:vAlign w:val="center"/>
          </w:tcPr>
          <w:p w14:paraId="5BA37643"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C000"/>
                <w:sz w:val="28"/>
                <w:szCs w:val="28"/>
              </w:rPr>
              <w:t>K</w:t>
            </w:r>
          </w:p>
        </w:tc>
        <w:tc>
          <w:tcPr>
            <w:tcW w:w="993" w:type="dxa"/>
            <w:shd w:val="clear" w:color="auto" w:fill="auto"/>
            <w:vAlign w:val="center"/>
          </w:tcPr>
          <w:p w14:paraId="28FCBE5C"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00B050"/>
                <w:sz w:val="28"/>
                <w:szCs w:val="28"/>
              </w:rPr>
              <w:t>ä</w:t>
            </w:r>
            <w:r w:rsidRPr="00261CCE">
              <w:rPr>
                <w:color w:val="E36C0A" w:themeColor="accent6" w:themeShade="BF"/>
                <w:sz w:val="28"/>
                <w:szCs w:val="28"/>
              </w:rPr>
              <w:t xml:space="preserve"> </w:t>
            </w:r>
            <w:r w:rsidRPr="00261CCE">
              <w:rPr>
                <w:rFonts w:ascii="Wingdings" w:eastAsia="Wingdings" w:hAnsi="Wingdings" w:cs="Wingdings"/>
                <w:color w:val="FFC000"/>
                <w:sz w:val="28"/>
                <w:szCs w:val="28"/>
              </w:rPr>
              <w:t>K</w:t>
            </w:r>
          </w:p>
        </w:tc>
        <w:tc>
          <w:tcPr>
            <w:tcW w:w="992" w:type="dxa"/>
            <w:shd w:val="clear" w:color="auto" w:fill="auto"/>
            <w:vAlign w:val="center"/>
          </w:tcPr>
          <w:p w14:paraId="031F96FC"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C000"/>
                <w:sz w:val="28"/>
                <w:szCs w:val="28"/>
              </w:rPr>
              <w:t>K</w:t>
            </w:r>
          </w:p>
        </w:tc>
        <w:tc>
          <w:tcPr>
            <w:tcW w:w="992" w:type="dxa"/>
            <w:shd w:val="clear" w:color="auto" w:fill="auto"/>
            <w:vAlign w:val="center"/>
          </w:tcPr>
          <w:p w14:paraId="6DEFE091"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à</w:t>
            </w:r>
            <w:r w:rsidRPr="00261CCE">
              <w:t xml:space="preserve"> </w:t>
            </w:r>
            <w:r w:rsidRPr="00261CCE">
              <w:rPr>
                <w:rFonts w:ascii="Wingdings" w:eastAsia="Wingdings" w:hAnsi="Wingdings" w:cs="Wingdings"/>
                <w:color w:val="FF0000"/>
                <w:sz w:val="28"/>
                <w:szCs w:val="28"/>
              </w:rPr>
              <w:t>L</w:t>
            </w:r>
          </w:p>
        </w:tc>
        <w:tc>
          <w:tcPr>
            <w:tcW w:w="992" w:type="dxa"/>
            <w:shd w:val="clear" w:color="auto" w:fill="auto"/>
            <w:vAlign w:val="center"/>
          </w:tcPr>
          <w:p w14:paraId="2686FC29"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00B050"/>
                <w:sz w:val="28"/>
                <w:szCs w:val="28"/>
              </w:rPr>
              <w:t>ä</w:t>
            </w:r>
            <w:r w:rsidRPr="00261CCE">
              <w:rPr>
                <w:color w:val="00B050"/>
                <w:sz w:val="28"/>
                <w:szCs w:val="28"/>
              </w:rPr>
              <w:t xml:space="preserve"> </w:t>
            </w:r>
            <w:r w:rsidRPr="00261CCE">
              <w:rPr>
                <w:rFonts w:ascii="Wingdings" w:eastAsia="Wingdings" w:hAnsi="Wingdings" w:cs="Wingdings"/>
                <w:color w:val="FFC000"/>
                <w:sz w:val="28"/>
                <w:szCs w:val="28"/>
              </w:rPr>
              <w:t>K</w:t>
            </w:r>
          </w:p>
        </w:tc>
      </w:tr>
      <w:tr w:rsidR="0009316F" w:rsidRPr="00261CCE" w14:paraId="68D9258D" w14:textId="77777777" w:rsidTr="00C439AF">
        <w:trPr>
          <w:trHeight w:val="657"/>
        </w:trPr>
        <w:tc>
          <w:tcPr>
            <w:tcW w:w="1276" w:type="dxa"/>
            <w:shd w:val="clear" w:color="auto" w:fill="auto"/>
          </w:tcPr>
          <w:p w14:paraId="2E4CA5A9" w14:textId="77777777" w:rsidR="0009316F" w:rsidRPr="00261CCE" w:rsidRDefault="0009316F" w:rsidP="00C439AF">
            <w:pPr>
              <w:spacing w:before="40" w:after="120"/>
              <w:ind w:right="113"/>
              <w:rPr>
                <w:rFonts w:eastAsia="PMingLiU"/>
                <w:sz w:val="18"/>
                <w:szCs w:val="18"/>
              </w:rPr>
            </w:pPr>
            <w:r w:rsidRPr="00261CCE">
              <w:rPr>
                <w:sz w:val="18"/>
                <w:szCs w:val="18"/>
              </w:rPr>
              <w:t>Countries reporting under SDG target 13.1</w:t>
            </w:r>
          </w:p>
        </w:tc>
        <w:tc>
          <w:tcPr>
            <w:tcW w:w="1276" w:type="dxa"/>
            <w:shd w:val="clear" w:color="auto" w:fill="auto"/>
            <w:vAlign w:val="center"/>
          </w:tcPr>
          <w:p w14:paraId="4D7C134B"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K</w:t>
            </w:r>
          </w:p>
        </w:tc>
        <w:tc>
          <w:tcPr>
            <w:tcW w:w="850" w:type="dxa"/>
            <w:shd w:val="clear" w:color="auto" w:fill="auto"/>
            <w:vAlign w:val="center"/>
          </w:tcPr>
          <w:p w14:paraId="2BFD085A"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0000"/>
                <w:sz w:val="28"/>
                <w:szCs w:val="28"/>
              </w:rPr>
              <w:t>L</w:t>
            </w:r>
          </w:p>
        </w:tc>
        <w:tc>
          <w:tcPr>
            <w:tcW w:w="993" w:type="dxa"/>
            <w:shd w:val="clear" w:color="auto" w:fill="auto"/>
            <w:vAlign w:val="center"/>
          </w:tcPr>
          <w:p w14:paraId="253631F3"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K</w:t>
            </w:r>
          </w:p>
        </w:tc>
        <w:tc>
          <w:tcPr>
            <w:tcW w:w="992" w:type="dxa"/>
            <w:shd w:val="clear" w:color="auto" w:fill="auto"/>
            <w:vAlign w:val="center"/>
          </w:tcPr>
          <w:p w14:paraId="2B26F52B"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K</w:t>
            </w:r>
          </w:p>
        </w:tc>
        <w:tc>
          <w:tcPr>
            <w:tcW w:w="992" w:type="dxa"/>
            <w:shd w:val="clear" w:color="auto" w:fill="auto"/>
            <w:vAlign w:val="center"/>
          </w:tcPr>
          <w:p w14:paraId="10984DD0"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K</w:t>
            </w:r>
          </w:p>
        </w:tc>
        <w:tc>
          <w:tcPr>
            <w:tcW w:w="992" w:type="dxa"/>
            <w:shd w:val="clear" w:color="auto" w:fill="auto"/>
            <w:vAlign w:val="center"/>
          </w:tcPr>
          <w:p w14:paraId="3DEDDA36" w14:textId="77777777" w:rsidR="0009316F" w:rsidRPr="00261CCE" w:rsidRDefault="0009316F" w:rsidP="00C439AF">
            <w:pPr>
              <w:spacing w:before="40" w:after="120"/>
              <w:ind w:right="113"/>
              <w:jc w:val="center"/>
              <w:rPr>
                <w:rFonts w:eastAsia="PMingLiU"/>
              </w:rPr>
            </w:pPr>
            <w:r w:rsidRPr="00261CCE">
              <w:rPr>
                <w:rFonts w:ascii="Wingdings" w:eastAsia="Wingdings" w:hAnsi="Wingdings" w:cs="Wingdings"/>
                <w:color w:val="FFC000"/>
                <w:sz w:val="28"/>
                <w:szCs w:val="28"/>
              </w:rPr>
              <w:t>K</w:t>
            </w:r>
          </w:p>
        </w:tc>
      </w:tr>
      <w:tr w:rsidR="0009316F" w:rsidRPr="00261CCE" w14:paraId="7407984A" w14:textId="77777777" w:rsidTr="00C439AF">
        <w:trPr>
          <w:trHeight w:hRule="exact" w:val="52"/>
        </w:trPr>
        <w:tc>
          <w:tcPr>
            <w:tcW w:w="1276" w:type="dxa"/>
            <w:tcBorders>
              <w:bottom w:val="single" w:sz="12" w:space="0" w:color="auto"/>
            </w:tcBorders>
            <w:shd w:val="clear" w:color="auto" w:fill="auto"/>
          </w:tcPr>
          <w:p w14:paraId="6D828D8D" w14:textId="77777777" w:rsidR="0009316F" w:rsidRPr="00261CCE" w:rsidRDefault="0009316F" w:rsidP="00C439AF">
            <w:pPr>
              <w:spacing w:before="40" w:after="120"/>
              <w:ind w:right="113"/>
              <w:rPr>
                <w:sz w:val="18"/>
                <w:szCs w:val="18"/>
              </w:rPr>
            </w:pPr>
          </w:p>
        </w:tc>
        <w:tc>
          <w:tcPr>
            <w:tcW w:w="1276" w:type="dxa"/>
            <w:tcBorders>
              <w:bottom w:val="single" w:sz="12" w:space="0" w:color="auto"/>
            </w:tcBorders>
            <w:shd w:val="clear" w:color="auto" w:fill="auto"/>
            <w:vAlign w:val="center"/>
          </w:tcPr>
          <w:p w14:paraId="447D59AD" w14:textId="77777777" w:rsidR="0009316F" w:rsidRPr="00261CCE" w:rsidRDefault="0009316F" w:rsidP="00C439AF">
            <w:pPr>
              <w:spacing w:before="40" w:after="120"/>
              <w:ind w:right="113"/>
              <w:jc w:val="center"/>
              <w:rPr>
                <w:rFonts w:ascii="Wingdings" w:hAnsi="Wingdings" w:cs="Wingdings"/>
                <w:color w:val="FFC000"/>
                <w:sz w:val="28"/>
                <w:szCs w:val="28"/>
              </w:rPr>
            </w:pPr>
          </w:p>
        </w:tc>
        <w:tc>
          <w:tcPr>
            <w:tcW w:w="850" w:type="dxa"/>
            <w:tcBorders>
              <w:bottom w:val="single" w:sz="12" w:space="0" w:color="auto"/>
            </w:tcBorders>
            <w:shd w:val="clear" w:color="auto" w:fill="auto"/>
            <w:vAlign w:val="center"/>
          </w:tcPr>
          <w:p w14:paraId="17E61AA4" w14:textId="77777777" w:rsidR="0009316F" w:rsidRPr="00261CCE" w:rsidRDefault="0009316F" w:rsidP="00C439AF">
            <w:pPr>
              <w:spacing w:before="40" w:after="120"/>
              <w:ind w:right="113"/>
              <w:jc w:val="center"/>
              <w:rPr>
                <w:rFonts w:ascii="Wingdings" w:hAnsi="Wingdings" w:cs="Wingdings"/>
                <w:color w:val="FF0000"/>
                <w:sz w:val="28"/>
                <w:szCs w:val="28"/>
              </w:rPr>
            </w:pPr>
          </w:p>
        </w:tc>
        <w:tc>
          <w:tcPr>
            <w:tcW w:w="993" w:type="dxa"/>
            <w:tcBorders>
              <w:bottom w:val="single" w:sz="12" w:space="0" w:color="auto"/>
            </w:tcBorders>
            <w:shd w:val="clear" w:color="auto" w:fill="auto"/>
            <w:vAlign w:val="center"/>
          </w:tcPr>
          <w:p w14:paraId="7198C26B" w14:textId="77777777" w:rsidR="0009316F" w:rsidRPr="00261CCE" w:rsidRDefault="0009316F" w:rsidP="00C439AF">
            <w:pPr>
              <w:spacing w:before="40" w:after="120"/>
              <w:ind w:right="113"/>
              <w:jc w:val="center"/>
              <w:rPr>
                <w:rFonts w:ascii="Wingdings" w:hAnsi="Wingdings" w:cs="Wingdings"/>
                <w:color w:val="FFC000"/>
                <w:sz w:val="28"/>
                <w:szCs w:val="28"/>
              </w:rPr>
            </w:pPr>
          </w:p>
        </w:tc>
        <w:tc>
          <w:tcPr>
            <w:tcW w:w="992" w:type="dxa"/>
            <w:tcBorders>
              <w:bottom w:val="single" w:sz="12" w:space="0" w:color="auto"/>
            </w:tcBorders>
            <w:shd w:val="clear" w:color="auto" w:fill="auto"/>
            <w:vAlign w:val="center"/>
          </w:tcPr>
          <w:p w14:paraId="0C676F98" w14:textId="77777777" w:rsidR="0009316F" w:rsidRPr="00261CCE" w:rsidRDefault="0009316F" w:rsidP="00C439AF">
            <w:pPr>
              <w:spacing w:before="40" w:after="120"/>
              <w:ind w:right="113"/>
              <w:jc w:val="center"/>
              <w:rPr>
                <w:rFonts w:ascii="Wingdings" w:hAnsi="Wingdings" w:cs="Wingdings"/>
                <w:color w:val="FFC000"/>
                <w:sz w:val="28"/>
                <w:szCs w:val="28"/>
              </w:rPr>
            </w:pPr>
          </w:p>
        </w:tc>
        <w:tc>
          <w:tcPr>
            <w:tcW w:w="992" w:type="dxa"/>
            <w:tcBorders>
              <w:bottom w:val="single" w:sz="12" w:space="0" w:color="auto"/>
            </w:tcBorders>
            <w:shd w:val="clear" w:color="auto" w:fill="auto"/>
            <w:vAlign w:val="center"/>
          </w:tcPr>
          <w:p w14:paraId="7730E345" w14:textId="77777777" w:rsidR="0009316F" w:rsidRPr="00261CCE" w:rsidRDefault="0009316F" w:rsidP="00C439AF">
            <w:pPr>
              <w:spacing w:before="40" w:after="120"/>
              <w:ind w:right="113"/>
              <w:jc w:val="center"/>
              <w:rPr>
                <w:rFonts w:ascii="Wingdings" w:hAnsi="Wingdings" w:cs="Wingdings"/>
                <w:color w:val="FFC000"/>
                <w:sz w:val="28"/>
                <w:szCs w:val="28"/>
              </w:rPr>
            </w:pPr>
          </w:p>
        </w:tc>
        <w:tc>
          <w:tcPr>
            <w:tcW w:w="992" w:type="dxa"/>
            <w:tcBorders>
              <w:bottom w:val="single" w:sz="12" w:space="0" w:color="auto"/>
            </w:tcBorders>
            <w:shd w:val="clear" w:color="auto" w:fill="auto"/>
            <w:vAlign w:val="center"/>
          </w:tcPr>
          <w:p w14:paraId="298BD217" w14:textId="77777777" w:rsidR="0009316F" w:rsidRPr="00261CCE" w:rsidRDefault="0009316F" w:rsidP="00C439AF">
            <w:pPr>
              <w:spacing w:before="40" w:after="120"/>
              <w:ind w:right="113"/>
              <w:jc w:val="center"/>
              <w:rPr>
                <w:rFonts w:ascii="Wingdings" w:hAnsi="Wingdings" w:cs="Wingdings"/>
                <w:color w:val="FFC000"/>
                <w:sz w:val="28"/>
                <w:szCs w:val="28"/>
              </w:rPr>
            </w:pPr>
          </w:p>
        </w:tc>
      </w:tr>
    </w:tbl>
    <w:p w14:paraId="626A4A37" w14:textId="77777777" w:rsidR="0009316F" w:rsidRPr="00261CCE" w:rsidRDefault="0009316F" w:rsidP="005A147B">
      <w:pPr>
        <w:spacing w:before="120" w:after="120"/>
        <w:ind w:right="113" w:firstLine="1559"/>
        <w:rPr>
          <w:sz w:val="18"/>
          <w:szCs w:val="18"/>
          <w:shd w:val="clear" w:color="auto" w:fill="FFFFFF"/>
        </w:rPr>
      </w:pPr>
      <w:r w:rsidRPr="00261CCE">
        <w:rPr>
          <w:i/>
          <w:sz w:val="18"/>
          <w:szCs w:val="18"/>
          <w:shd w:val="clear" w:color="auto" w:fill="FFFFFF"/>
        </w:rPr>
        <w:t>Source</w:t>
      </w:r>
      <w:r w:rsidRPr="00261CCE">
        <w:rPr>
          <w:sz w:val="18"/>
          <w:szCs w:val="18"/>
          <w:shd w:val="clear" w:color="auto" w:fill="FFFFFF"/>
        </w:rPr>
        <w:t>:</w:t>
      </w:r>
      <w:r w:rsidRPr="00261CCE">
        <w:rPr>
          <w:iCs/>
          <w:sz w:val="18"/>
          <w:szCs w:val="18"/>
          <w:shd w:val="clear" w:color="auto" w:fill="FFFFFF"/>
        </w:rPr>
        <w:t xml:space="preserve"> </w:t>
      </w:r>
      <w:r w:rsidRPr="00261CCE">
        <w:rPr>
          <w:sz w:val="18"/>
          <w:szCs w:val="18"/>
          <w:shd w:val="clear" w:color="auto" w:fill="FFFFFF"/>
        </w:rPr>
        <w:t>Global Sustainable Development Goal Indicators Database.</w:t>
      </w:r>
    </w:p>
    <w:p w14:paraId="22ADF939" w14:textId="77777777" w:rsidR="0009316F" w:rsidRPr="00261CCE" w:rsidRDefault="0009316F" w:rsidP="005A147B">
      <w:pPr>
        <w:spacing w:after="120"/>
        <w:ind w:right="113" w:firstLine="1559"/>
        <w:rPr>
          <w:sz w:val="18"/>
          <w:szCs w:val="18"/>
        </w:rPr>
      </w:pPr>
      <w:r w:rsidRPr="00261CCE">
        <w:rPr>
          <w:i/>
          <w:sz w:val="18"/>
          <w:szCs w:val="18"/>
        </w:rPr>
        <w:t>Abbreviations</w:t>
      </w:r>
      <w:r w:rsidRPr="00261CCE">
        <w:rPr>
          <w:sz w:val="18"/>
          <w:szCs w:val="18"/>
        </w:rPr>
        <w:t>: SDG, Sustainable Development Goal.</w:t>
      </w:r>
    </w:p>
    <w:p w14:paraId="073EC000" w14:textId="77777777" w:rsidR="0009316F" w:rsidRPr="00261CCE" w:rsidRDefault="0009316F" w:rsidP="005A147B">
      <w:pPr>
        <w:spacing w:before="40" w:after="120"/>
        <w:ind w:left="1134" w:right="992" w:firstLine="426"/>
        <w:rPr>
          <w:sz w:val="18"/>
          <w:szCs w:val="18"/>
        </w:rPr>
      </w:pPr>
      <w:r w:rsidRPr="00261CCE">
        <w:rPr>
          <w:i/>
          <w:sz w:val="18"/>
          <w:szCs w:val="18"/>
        </w:rPr>
        <w:t>Note</w:t>
      </w:r>
      <w:r w:rsidRPr="00261CCE">
        <w:rPr>
          <w:sz w:val="18"/>
          <w:szCs w:val="18"/>
        </w:rPr>
        <w:t xml:space="preserve">: Trend is </w:t>
      </w:r>
      <w:r w:rsidRPr="00630F50">
        <w:rPr>
          <w:rFonts w:ascii="Wingdings" w:eastAsia="Wingdings" w:hAnsi="Wingdings" w:cs="Wingdings"/>
          <w:color w:val="00B050"/>
          <w:sz w:val="28"/>
          <w:szCs w:val="28"/>
        </w:rPr>
        <w:t>ä</w:t>
      </w:r>
      <w:r w:rsidRPr="00261CCE">
        <w:rPr>
          <w:sz w:val="18"/>
          <w:szCs w:val="18"/>
        </w:rPr>
        <w:t xml:space="preserve"> improving, or</w:t>
      </w:r>
      <w:r w:rsidRPr="00261CCE">
        <w:rPr>
          <w:rFonts w:hint="eastAsia"/>
          <w:sz w:val="18"/>
          <w:szCs w:val="18"/>
        </w:rPr>
        <w:t xml:space="preserve"> </w:t>
      </w:r>
      <w:r w:rsidRPr="00630F50">
        <w:rPr>
          <w:rFonts w:ascii="Wingdings" w:eastAsia="Wingdings" w:hAnsi="Wingdings" w:cs="Wingdings"/>
          <w:color w:val="FFC000"/>
          <w:sz w:val="28"/>
          <w:szCs w:val="28"/>
        </w:rPr>
        <w:t>à</w:t>
      </w:r>
      <w:r w:rsidRPr="00261CCE">
        <w:rPr>
          <w:sz w:val="18"/>
          <w:szCs w:val="18"/>
        </w:rPr>
        <w:t xml:space="preserve"> </w:t>
      </w:r>
      <w:r w:rsidRPr="00261CCE">
        <w:rPr>
          <w:rFonts w:hint="eastAsia"/>
          <w:sz w:val="18"/>
          <w:szCs w:val="18"/>
        </w:rPr>
        <w:t xml:space="preserve">stable </w:t>
      </w:r>
      <w:r w:rsidRPr="00261CCE">
        <w:rPr>
          <w:sz w:val="18"/>
          <w:szCs w:val="18"/>
        </w:rPr>
        <w:t xml:space="preserve">(or no trend information); status of countries having local disaster risk reduction strategies is </w:t>
      </w:r>
      <w:r w:rsidRPr="00C843C6">
        <w:rPr>
          <w:rFonts w:ascii="Wingdings" w:eastAsia="Wingdings" w:hAnsi="Wingdings" w:cs="Wingdings"/>
          <w:color w:val="00B050"/>
          <w:sz w:val="28"/>
          <w:szCs w:val="28"/>
        </w:rPr>
        <w:t>J</w:t>
      </w:r>
      <w:r w:rsidRPr="00261CCE">
        <w:rPr>
          <w:sz w:val="18"/>
          <w:szCs w:val="18"/>
        </w:rPr>
        <w:t xml:space="preserve"> (majority of countries reporting report 100 per cent of local governments implementing disaster risk reduction strategies), </w:t>
      </w:r>
      <w:r w:rsidRPr="00C843C6">
        <w:rPr>
          <w:rFonts w:ascii="Wingdings" w:eastAsia="Wingdings" w:hAnsi="Wingdings" w:cs="Wingdings"/>
          <w:color w:val="FFC000"/>
          <w:sz w:val="28"/>
          <w:szCs w:val="28"/>
        </w:rPr>
        <w:t>K</w:t>
      </w:r>
      <w:r w:rsidRPr="00261CCE">
        <w:rPr>
          <w:sz w:val="18"/>
          <w:szCs w:val="18"/>
        </w:rPr>
        <w:t xml:space="preserve"> or </w:t>
      </w:r>
      <w:r w:rsidRPr="00C843C6">
        <w:rPr>
          <w:rFonts w:ascii="Wingdings" w:eastAsia="Wingdings" w:hAnsi="Wingdings" w:cs="Wingdings"/>
          <w:color w:val="FF0000"/>
          <w:sz w:val="28"/>
          <w:szCs w:val="28"/>
        </w:rPr>
        <w:t>L</w:t>
      </w:r>
      <w:r w:rsidRPr="00261CCE">
        <w:rPr>
          <w:sz w:val="18"/>
          <w:szCs w:val="18"/>
        </w:rPr>
        <w:t xml:space="preserve"> (majority of countries reporting report less than 5 per cent of local governments); status of reporting is </w:t>
      </w:r>
      <w:r w:rsidRPr="00C843C6">
        <w:rPr>
          <w:rFonts w:ascii="Wingdings" w:eastAsia="Wingdings" w:hAnsi="Wingdings" w:cs="Wingdings"/>
          <w:color w:val="00B050"/>
          <w:sz w:val="28"/>
          <w:szCs w:val="28"/>
        </w:rPr>
        <w:t>J</w:t>
      </w:r>
      <w:r w:rsidRPr="00261CCE">
        <w:rPr>
          <w:sz w:val="18"/>
          <w:szCs w:val="18"/>
        </w:rPr>
        <w:t xml:space="preserve"> (all countries reporting), </w:t>
      </w:r>
      <w:r w:rsidRPr="00C843C6">
        <w:rPr>
          <w:rFonts w:ascii="Wingdings" w:eastAsia="Wingdings" w:hAnsi="Wingdings" w:cs="Wingdings"/>
          <w:color w:val="FFC000"/>
          <w:sz w:val="28"/>
          <w:szCs w:val="28"/>
        </w:rPr>
        <w:t>K</w:t>
      </w:r>
      <w:r w:rsidRPr="00261CCE">
        <w:rPr>
          <w:sz w:val="18"/>
          <w:szCs w:val="18"/>
        </w:rPr>
        <w:t xml:space="preserve"> or </w:t>
      </w:r>
      <w:r w:rsidRPr="00C843C6">
        <w:rPr>
          <w:rFonts w:ascii="Wingdings" w:eastAsia="Wingdings" w:hAnsi="Wingdings" w:cs="Wingdings"/>
          <w:color w:val="FF0000"/>
          <w:sz w:val="28"/>
          <w:szCs w:val="28"/>
        </w:rPr>
        <w:t>L</w:t>
      </w:r>
      <w:r w:rsidRPr="00261CCE">
        <w:rPr>
          <w:sz w:val="18"/>
          <w:szCs w:val="18"/>
        </w:rPr>
        <w:t xml:space="preserve"> (less than half of countries reporting).</w:t>
      </w:r>
    </w:p>
    <w:p w14:paraId="0D586DA2" w14:textId="1F6A917B" w:rsidR="0009316F" w:rsidRPr="00114DC5" w:rsidRDefault="0009316F" w:rsidP="0009316F">
      <w:pPr>
        <w:keepNext/>
        <w:keepLines/>
        <w:tabs>
          <w:tab w:val="right" w:pos="851"/>
        </w:tabs>
        <w:spacing w:before="240" w:after="120" w:line="240" w:lineRule="exact"/>
        <w:ind w:left="1134" w:right="1134" w:hanging="1134"/>
        <w:rPr>
          <w:b/>
        </w:rPr>
      </w:pPr>
      <w:r w:rsidRPr="00261CCE">
        <w:rPr>
          <w:b/>
        </w:rPr>
        <w:tab/>
      </w:r>
      <w:r w:rsidRPr="00114DC5">
        <w:rPr>
          <w:b/>
        </w:rPr>
        <w:t>15.</w:t>
      </w:r>
      <w:r w:rsidRPr="00114DC5">
        <w:rPr>
          <w:b/>
        </w:rPr>
        <w:tab/>
        <w:t>Finance</w:t>
      </w:r>
      <w:r w:rsidR="00457F71" w:rsidRPr="001A2243">
        <w:rPr>
          <w:b/>
        </w:rPr>
        <w:t xml:space="preserve"> and </w:t>
      </w:r>
      <w:r w:rsidR="00114DC5" w:rsidRPr="00D746B6">
        <w:rPr>
          <w:b/>
        </w:rPr>
        <w:t xml:space="preserve">public </w:t>
      </w:r>
      <w:r w:rsidR="00A109B3">
        <w:rPr>
          <w:b/>
        </w:rPr>
        <w:t xml:space="preserve">spending on </w:t>
      </w:r>
      <w:r w:rsidR="00457F71" w:rsidRPr="00114DC5">
        <w:rPr>
          <w:b/>
        </w:rPr>
        <w:t>environment</w:t>
      </w:r>
      <w:r w:rsidR="00457F71" w:rsidRPr="001A2243">
        <w:rPr>
          <w:b/>
        </w:rPr>
        <w:t xml:space="preserve">al protection </w:t>
      </w:r>
    </w:p>
    <w:p w14:paraId="1472AB15" w14:textId="60C2E2FC" w:rsidR="0009316F" w:rsidRPr="00261CCE" w:rsidRDefault="000C0F47" w:rsidP="0009316F">
      <w:pPr>
        <w:spacing w:after="120"/>
        <w:ind w:left="1134" w:right="1134"/>
        <w:jc w:val="both"/>
      </w:pPr>
      <w:r>
        <w:t>33</w:t>
      </w:r>
      <w:r w:rsidR="0009316F" w:rsidRPr="00261CCE">
        <w:t>.</w:t>
      </w:r>
      <w:r w:rsidR="0009316F" w:rsidRPr="00261CCE">
        <w:tab/>
        <w:t xml:space="preserve">In all countries across the pan-European region for which data are available, environmental tax revenues and </w:t>
      </w:r>
      <w:r w:rsidR="0009316F" w:rsidRPr="00261CCE" w:rsidDel="00E44E02">
        <w:t xml:space="preserve">government </w:t>
      </w:r>
      <w:r w:rsidR="0009316F" w:rsidRPr="00261CCE">
        <w:t xml:space="preserve">expenditures on environmental protection, closely following gross domestic product (GDP) growth, have increased since 2000. However, in terms of percentage of GDP, public expenditure for environmental protection (with a maximum of around 0.8 per cent) is much lower than environmental tax revenues, implying that revenues from environmental taxes are not necessarily earmarked for reducing environmental damage. Nonetheless, environmental expenditures for environmental </w:t>
      </w:r>
      <w:r w:rsidR="0009316F" w:rsidRPr="00261CCE">
        <w:lastRenderedPageBreak/>
        <w:t>protection made by Governments are only a subset of total environmental protection expenditures in each country. Green bonds have emerged as a tool for financing environmentally friendly projects, by both the private sector and Governments. Despite their negative impacts on the environment, all countries continue to implement fossil fuel subsidies to varying degrees. International Monetary Fund projections suggest that these subsidies will remain in place at least until 2025, with implicit subsidies increasing until that time (see table 15 below).</w:t>
      </w:r>
    </w:p>
    <w:p w14:paraId="0E1A0632" w14:textId="6C9526C3"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0C0F47">
        <w:rPr>
          <w:b/>
        </w:rPr>
        <w:t>s</w:t>
      </w:r>
      <w:r w:rsidRPr="00261CCE">
        <w:rPr>
          <w:b/>
        </w:rPr>
        <w:t xml:space="preserve">: </w:t>
      </w:r>
    </w:p>
    <w:p w14:paraId="176C5D2C" w14:textId="2F8ABE35" w:rsidR="0009316F" w:rsidRPr="00261CCE" w:rsidRDefault="000C0F47" w:rsidP="0009316F">
      <w:pPr>
        <w:spacing w:after="120"/>
        <w:ind w:left="1134" w:right="1134"/>
        <w:jc w:val="both"/>
      </w:pPr>
      <w:r>
        <w:t>34</w:t>
      </w:r>
      <w:r w:rsidR="0009316F" w:rsidRPr="00261CCE">
        <w:t>.</w:t>
      </w:r>
      <w:r w:rsidR="0009316F" w:rsidRPr="00261CCE">
        <w:tab/>
        <w:t>Governments should favour the development of green finance and consider spending on environmental protection in the wider context of environmental and public finance. Environmental taxes should be used to decrease different kinds of pollution, and the income generated should be primarily used to finance environmental protection public expenditures. Governments should use subsidies only when they are really necessary, as they always distort markets and increase public sector deficit. Governments should also periodically reconsider environmental subsidized finance in the light of the “polluter pays” principle and regularly perform impact assessment analysis of such funding, so that the funds can bring a genuine value added. Furthermore, Governments should envisage green bonds, in particular, through a series of policies including demonstration issuance, dissemination of clear guidelines for green bonds issuance and implementation of favourable regulatory policies, as complementary tools for environmental financing alongside more traditional ones such as taxes and fees. National environmental policies across the pan-European region should aim at phasing out harmful subsidies and transitioning towards greener energy sources quickly.</w:t>
      </w:r>
    </w:p>
    <w:p w14:paraId="333F0C85" w14:textId="77777777" w:rsidR="0009316F" w:rsidRPr="00261CCE" w:rsidRDefault="0009316F" w:rsidP="0009316F">
      <w:pPr>
        <w:keepNext/>
        <w:spacing w:before="240" w:after="120"/>
        <w:ind w:left="1134" w:right="1134"/>
        <w:rPr>
          <w:b/>
          <w:bCs/>
          <w:lang w:eastAsia="zh-TW"/>
        </w:rPr>
      </w:pPr>
      <w:r w:rsidRPr="00261CCE">
        <w:rPr>
          <w:lang w:eastAsia="zh-TW"/>
        </w:rPr>
        <w:t>Table 15</w:t>
      </w:r>
      <w:r w:rsidRPr="00261CCE">
        <w:rPr>
          <w:lang w:eastAsia="zh-TW"/>
        </w:rPr>
        <w:br/>
      </w:r>
      <w:r w:rsidRPr="00261CCE">
        <w:rPr>
          <w:b/>
          <w:bCs/>
          <w:lang w:eastAsia="zh-TW"/>
        </w:rPr>
        <w:t>Overview on status and trends for selected indicators on environmental finance</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1276"/>
        <w:gridCol w:w="851"/>
        <w:gridCol w:w="992"/>
        <w:gridCol w:w="992"/>
        <w:gridCol w:w="1134"/>
      </w:tblGrid>
      <w:tr w:rsidR="0009316F" w:rsidRPr="00261CCE" w14:paraId="32890C11" w14:textId="77777777" w:rsidTr="00C439AF">
        <w:trPr>
          <w:tblHeader/>
        </w:trPr>
        <w:tc>
          <w:tcPr>
            <w:tcW w:w="1418" w:type="dxa"/>
            <w:tcBorders>
              <w:top w:val="single" w:sz="4" w:space="0" w:color="auto"/>
              <w:bottom w:val="single" w:sz="12" w:space="0" w:color="auto"/>
            </w:tcBorders>
            <w:shd w:val="clear" w:color="auto" w:fill="auto"/>
          </w:tcPr>
          <w:p w14:paraId="14D01240" w14:textId="77777777" w:rsidR="0009316F" w:rsidRPr="00261CCE" w:rsidRDefault="0009316F" w:rsidP="00C439AF">
            <w:pPr>
              <w:spacing w:before="80" w:line="200" w:lineRule="exact"/>
              <w:ind w:right="113"/>
              <w:rPr>
                <w:rFonts w:eastAsia="PMingLiU"/>
                <w:i/>
                <w:sz w:val="16"/>
              </w:rPr>
            </w:pPr>
            <w:r w:rsidRPr="00261CCE">
              <w:rPr>
                <w:i/>
                <w:iCs/>
                <w:sz w:val="18"/>
                <w:szCs w:val="18"/>
              </w:rPr>
              <w:t>Indicator</w:t>
            </w:r>
          </w:p>
        </w:tc>
        <w:tc>
          <w:tcPr>
            <w:tcW w:w="850" w:type="dxa"/>
            <w:tcBorders>
              <w:top w:val="single" w:sz="4" w:space="0" w:color="auto"/>
              <w:bottom w:val="single" w:sz="12" w:space="0" w:color="auto"/>
            </w:tcBorders>
            <w:shd w:val="clear" w:color="auto" w:fill="auto"/>
          </w:tcPr>
          <w:p w14:paraId="0D58E31E"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European Union</w:t>
            </w:r>
          </w:p>
        </w:tc>
        <w:tc>
          <w:tcPr>
            <w:tcW w:w="1276" w:type="dxa"/>
            <w:tcBorders>
              <w:top w:val="single" w:sz="4" w:space="0" w:color="auto"/>
              <w:bottom w:val="single" w:sz="12" w:space="0" w:color="auto"/>
            </w:tcBorders>
            <w:shd w:val="clear" w:color="auto" w:fill="auto"/>
          </w:tcPr>
          <w:p w14:paraId="260D9C6A"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Western Europe</w:t>
            </w:r>
          </w:p>
        </w:tc>
        <w:tc>
          <w:tcPr>
            <w:tcW w:w="851" w:type="dxa"/>
            <w:tcBorders>
              <w:top w:val="single" w:sz="4" w:space="0" w:color="auto"/>
              <w:bottom w:val="single" w:sz="12" w:space="0" w:color="auto"/>
            </w:tcBorders>
            <w:shd w:val="clear" w:color="auto" w:fill="auto"/>
          </w:tcPr>
          <w:p w14:paraId="73364FEB"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Central Asia</w:t>
            </w:r>
          </w:p>
        </w:tc>
        <w:tc>
          <w:tcPr>
            <w:tcW w:w="992" w:type="dxa"/>
            <w:tcBorders>
              <w:top w:val="single" w:sz="4" w:space="0" w:color="auto"/>
              <w:bottom w:val="single" w:sz="12" w:space="0" w:color="auto"/>
            </w:tcBorders>
            <w:shd w:val="clear" w:color="auto" w:fill="auto"/>
          </w:tcPr>
          <w:p w14:paraId="05A4DA2B"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Eastern Europe</w:t>
            </w:r>
          </w:p>
        </w:tc>
        <w:tc>
          <w:tcPr>
            <w:tcW w:w="992" w:type="dxa"/>
            <w:tcBorders>
              <w:top w:val="single" w:sz="4" w:space="0" w:color="auto"/>
              <w:bottom w:val="single" w:sz="12" w:space="0" w:color="auto"/>
            </w:tcBorders>
            <w:shd w:val="clear" w:color="auto" w:fill="auto"/>
          </w:tcPr>
          <w:p w14:paraId="20525766" w14:textId="77777777" w:rsidR="0009316F" w:rsidRPr="00261CCE" w:rsidRDefault="0009316F" w:rsidP="00C439AF">
            <w:pPr>
              <w:spacing w:before="80" w:line="200" w:lineRule="exact"/>
              <w:ind w:right="113"/>
              <w:jc w:val="center"/>
              <w:rPr>
                <w:rFonts w:eastAsia="PMingLiU"/>
                <w:i/>
                <w:sz w:val="18"/>
                <w:szCs w:val="18"/>
              </w:rPr>
            </w:pPr>
            <w:r w:rsidRPr="00261CCE">
              <w:rPr>
                <w:i/>
                <w:iCs/>
                <w:sz w:val="18"/>
                <w:szCs w:val="18"/>
              </w:rPr>
              <w:t>South-Eastern Europe</w:t>
            </w:r>
          </w:p>
        </w:tc>
        <w:tc>
          <w:tcPr>
            <w:tcW w:w="1134" w:type="dxa"/>
            <w:tcBorders>
              <w:top w:val="single" w:sz="4" w:space="0" w:color="auto"/>
              <w:bottom w:val="single" w:sz="12" w:space="0" w:color="auto"/>
            </w:tcBorders>
            <w:shd w:val="clear" w:color="auto" w:fill="auto"/>
          </w:tcPr>
          <w:p w14:paraId="11EFAB3D" w14:textId="77777777" w:rsidR="0009316F" w:rsidRPr="00261CCE" w:rsidRDefault="0009316F" w:rsidP="00C439AF">
            <w:pPr>
              <w:spacing w:before="80" w:line="200" w:lineRule="exact"/>
              <w:ind w:right="113"/>
              <w:jc w:val="center"/>
              <w:rPr>
                <w:i/>
                <w:iCs/>
                <w:sz w:val="18"/>
                <w:szCs w:val="18"/>
              </w:rPr>
            </w:pPr>
            <w:r w:rsidRPr="00261CCE">
              <w:rPr>
                <w:i/>
                <w:iCs/>
                <w:sz w:val="18"/>
                <w:szCs w:val="18"/>
              </w:rPr>
              <w:t>Pan-European region</w:t>
            </w:r>
          </w:p>
        </w:tc>
      </w:tr>
      <w:tr w:rsidR="0009316F" w:rsidRPr="00261CCE" w14:paraId="7D077364" w14:textId="77777777" w:rsidTr="00C439AF">
        <w:trPr>
          <w:trHeight w:hRule="exact" w:val="80"/>
          <w:tblHeader/>
        </w:trPr>
        <w:tc>
          <w:tcPr>
            <w:tcW w:w="1418" w:type="dxa"/>
            <w:tcBorders>
              <w:top w:val="single" w:sz="12" w:space="0" w:color="auto"/>
            </w:tcBorders>
            <w:shd w:val="clear" w:color="auto" w:fill="auto"/>
          </w:tcPr>
          <w:p w14:paraId="4EA0B7E6" w14:textId="77777777" w:rsidR="0009316F" w:rsidRPr="00261CCE" w:rsidRDefault="0009316F" w:rsidP="00C439AF">
            <w:pPr>
              <w:spacing w:before="40" w:after="120"/>
              <w:ind w:right="113"/>
              <w:rPr>
                <w:rFonts w:eastAsia="PMingLiU"/>
              </w:rPr>
            </w:pPr>
          </w:p>
        </w:tc>
        <w:tc>
          <w:tcPr>
            <w:tcW w:w="850" w:type="dxa"/>
            <w:tcBorders>
              <w:top w:val="single" w:sz="12" w:space="0" w:color="auto"/>
            </w:tcBorders>
            <w:shd w:val="clear" w:color="auto" w:fill="auto"/>
          </w:tcPr>
          <w:p w14:paraId="06BBD696" w14:textId="77777777" w:rsidR="0009316F" w:rsidRPr="00261CCE" w:rsidRDefault="0009316F" w:rsidP="00C439AF">
            <w:pPr>
              <w:spacing w:before="40" w:after="120"/>
              <w:ind w:right="113"/>
              <w:rPr>
                <w:iCs/>
                <w:szCs w:val="18"/>
              </w:rPr>
            </w:pPr>
          </w:p>
        </w:tc>
        <w:tc>
          <w:tcPr>
            <w:tcW w:w="1276" w:type="dxa"/>
            <w:tcBorders>
              <w:top w:val="single" w:sz="12" w:space="0" w:color="auto"/>
            </w:tcBorders>
            <w:shd w:val="clear" w:color="auto" w:fill="auto"/>
          </w:tcPr>
          <w:p w14:paraId="6F23FEC6" w14:textId="77777777" w:rsidR="0009316F" w:rsidRPr="00261CCE" w:rsidRDefault="0009316F" w:rsidP="00C439AF">
            <w:pPr>
              <w:spacing w:before="40" w:after="120"/>
              <w:ind w:right="113"/>
              <w:rPr>
                <w:iCs/>
                <w:szCs w:val="18"/>
              </w:rPr>
            </w:pPr>
          </w:p>
        </w:tc>
        <w:tc>
          <w:tcPr>
            <w:tcW w:w="851" w:type="dxa"/>
            <w:tcBorders>
              <w:top w:val="single" w:sz="12" w:space="0" w:color="auto"/>
            </w:tcBorders>
            <w:shd w:val="clear" w:color="auto" w:fill="auto"/>
          </w:tcPr>
          <w:p w14:paraId="52F1DA4E" w14:textId="77777777" w:rsidR="0009316F" w:rsidRPr="00261CCE" w:rsidRDefault="0009316F" w:rsidP="00C439AF">
            <w:pPr>
              <w:spacing w:before="40" w:after="120"/>
              <w:ind w:right="113"/>
              <w:rPr>
                <w:iCs/>
                <w:szCs w:val="18"/>
              </w:rPr>
            </w:pPr>
          </w:p>
        </w:tc>
        <w:tc>
          <w:tcPr>
            <w:tcW w:w="992" w:type="dxa"/>
            <w:tcBorders>
              <w:top w:val="single" w:sz="12" w:space="0" w:color="auto"/>
            </w:tcBorders>
            <w:shd w:val="clear" w:color="auto" w:fill="auto"/>
          </w:tcPr>
          <w:p w14:paraId="2350BD3A" w14:textId="77777777" w:rsidR="0009316F" w:rsidRPr="00261CCE" w:rsidRDefault="0009316F" w:rsidP="00C439AF">
            <w:pPr>
              <w:spacing w:before="40" w:after="120"/>
              <w:ind w:right="113"/>
              <w:rPr>
                <w:iCs/>
                <w:szCs w:val="18"/>
              </w:rPr>
            </w:pPr>
          </w:p>
        </w:tc>
        <w:tc>
          <w:tcPr>
            <w:tcW w:w="992" w:type="dxa"/>
            <w:tcBorders>
              <w:top w:val="single" w:sz="12" w:space="0" w:color="auto"/>
            </w:tcBorders>
            <w:shd w:val="clear" w:color="auto" w:fill="auto"/>
          </w:tcPr>
          <w:p w14:paraId="6B781A35" w14:textId="77777777" w:rsidR="0009316F" w:rsidRPr="00261CCE" w:rsidRDefault="0009316F" w:rsidP="00C439AF">
            <w:pPr>
              <w:spacing w:before="40" w:after="120"/>
              <w:ind w:right="113"/>
              <w:rPr>
                <w:iCs/>
                <w:szCs w:val="18"/>
              </w:rPr>
            </w:pPr>
          </w:p>
        </w:tc>
        <w:tc>
          <w:tcPr>
            <w:tcW w:w="1134" w:type="dxa"/>
            <w:tcBorders>
              <w:top w:val="single" w:sz="12" w:space="0" w:color="auto"/>
            </w:tcBorders>
            <w:shd w:val="clear" w:color="auto" w:fill="auto"/>
          </w:tcPr>
          <w:p w14:paraId="79924FAC" w14:textId="77777777" w:rsidR="0009316F" w:rsidRPr="00261CCE" w:rsidRDefault="0009316F" w:rsidP="00C439AF">
            <w:pPr>
              <w:spacing w:before="40" w:after="120"/>
              <w:ind w:right="113"/>
              <w:rPr>
                <w:iCs/>
                <w:szCs w:val="18"/>
              </w:rPr>
            </w:pPr>
          </w:p>
        </w:tc>
      </w:tr>
      <w:tr w:rsidR="0009316F" w:rsidRPr="00261CCE" w14:paraId="29522454" w14:textId="77777777" w:rsidTr="00C439AF">
        <w:trPr>
          <w:trHeight w:val="1652"/>
        </w:trPr>
        <w:tc>
          <w:tcPr>
            <w:tcW w:w="1418" w:type="dxa"/>
            <w:shd w:val="clear" w:color="auto" w:fill="auto"/>
          </w:tcPr>
          <w:p w14:paraId="21E2B18D" w14:textId="77777777" w:rsidR="0009316F" w:rsidRPr="00261CCE" w:rsidRDefault="0009316F" w:rsidP="00C439AF">
            <w:pPr>
              <w:spacing w:before="40" w:after="120"/>
              <w:ind w:right="113"/>
              <w:rPr>
                <w:rFonts w:eastAsia="PMingLiU"/>
                <w:sz w:val="18"/>
                <w:szCs w:val="18"/>
              </w:rPr>
            </w:pPr>
            <w:r w:rsidRPr="00261CCE">
              <w:rPr>
                <w:rFonts w:eastAsia="PMingLiU"/>
                <w:sz w:val="18"/>
                <w:szCs w:val="18"/>
              </w:rPr>
              <w:t>Government environmental protection expenditures, as percentage of GDP, 2015–2019 (latest rate, percentage)</w:t>
            </w:r>
          </w:p>
        </w:tc>
        <w:tc>
          <w:tcPr>
            <w:tcW w:w="850" w:type="dxa"/>
            <w:shd w:val="clear" w:color="auto" w:fill="auto"/>
            <w:vAlign w:val="center"/>
          </w:tcPr>
          <w:p w14:paraId="10C22932" w14:textId="77777777" w:rsidR="0009316F" w:rsidRPr="00261CCE" w:rsidRDefault="0009316F" w:rsidP="00C439AF">
            <w:pPr>
              <w:keepNext/>
              <w:spacing w:after="120"/>
              <w:jc w:val="center"/>
            </w:pPr>
            <w:r w:rsidRPr="00261CCE">
              <w:rPr>
                <w:rFonts w:ascii="Wingdings" w:eastAsia="Wingdings" w:hAnsi="Wingdings" w:cs="Wingdings"/>
                <w:color w:val="FF0000"/>
                <w:sz w:val="28"/>
                <w:szCs w:val="28"/>
              </w:rPr>
              <w:t>æ</w:t>
            </w:r>
          </w:p>
          <w:p w14:paraId="03B314C5" w14:textId="77777777" w:rsidR="0009316F" w:rsidRPr="00261CCE" w:rsidRDefault="0009316F" w:rsidP="00C439AF">
            <w:pPr>
              <w:spacing w:before="40" w:after="120"/>
              <w:ind w:right="113"/>
              <w:jc w:val="center"/>
              <w:rPr>
                <w:rFonts w:eastAsia="PMingLiU"/>
              </w:rPr>
            </w:pPr>
            <w:r w:rsidRPr="00261CCE">
              <w:rPr>
                <w:sz w:val="18"/>
                <w:szCs w:val="18"/>
              </w:rPr>
              <w:t>(0.73)</w:t>
            </w:r>
          </w:p>
        </w:tc>
        <w:tc>
          <w:tcPr>
            <w:tcW w:w="1276" w:type="dxa"/>
            <w:shd w:val="clear" w:color="auto" w:fill="auto"/>
            <w:vAlign w:val="center"/>
          </w:tcPr>
          <w:p w14:paraId="0830867D" w14:textId="77777777" w:rsidR="0009316F" w:rsidRPr="00261CCE" w:rsidRDefault="0009316F" w:rsidP="00C439AF">
            <w:pPr>
              <w:keepNext/>
              <w:spacing w:after="120"/>
              <w:jc w:val="center"/>
            </w:pPr>
            <w:r w:rsidRPr="00261CCE">
              <w:rPr>
                <w:rFonts w:ascii="Wingdings" w:eastAsia="Wingdings" w:hAnsi="Wingdings" w:cs="Wingdings"/>
                <w:color w:val="FF0000"/>
                <w:sz w:val="28"/>
                <w:szCs w:val="28"/>
              </w:rPr>
              <w:t>æ</w:t>
            </w:r>
          </w:p>
          <w:p w14:paraId="48A4105F" w14:textId="77777777" w:rsidR="0009316F" w:rsidRPr="00261CCE" w:rsidRDefault="0009316F" w:rsidP="00C439AF">
            <w:pPr>
              <w:spacing w:before="40" w:after="120"/>
              <w:ind w:right="113"/>
              <w:jc w:val="center"/>
              <w:rPr>
                <w:rFonts w:eastAsia="PMingLiU"/>
              </w:rPr>
            </w:pPr>
            <w:r w:rsidRPr="00261CCE">
              <w:rPr>
                <w:sz w:val="18"/>
                <w:szCs w:val="18"/>
              </w:rPr>
              <w:t>(0.67)</w:t>
            </w:r>
          </w:p>
        </w:tc>
        <w:tc>
          <w:tcPr>
            <w:tcW w:w="851" w:type="dxa"/>
            <w:shd w:val="clear" w:color="auto" w:fill="auto"/>
            <w:vAlign w:val="center"/>
          </w:tcPr>
          <w:p w14:paraId="5914F7BC"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1470BE5E" w14:textId="77777777" w:rsidR="0009316F" w:rsidRPr="00261CCE" w:rsidRDefault="0009316F" w:rsidP="00C439AF">
            <w:pPr>
              <w:spacing w:before="40" w:after="120"/>
              <w:ind w:right="113"/>
              <w:jc w:val="center"/>
              <w:rPr>
                <w:rFonts w:eastAsia="PMingLiU"/>
              </w:rPr>
            </w:pPr>
            <w:r w:rsidRPr="00261CCE">
              <w:rPr>
                <w:sz w:val="18"/>
                <w:szCs w:val="18"/>
              </w:rPr>
              <w:t>(0.17)</w:t>
            </w:r>
          </w:p>
        </w:tc>
        <w:tc>
          <w:tcPr>
            <w:tcW w:w="992" w:type="dxa"/>
            <w:shd w:val="clear" w:color="auto" w:fill="auto"/>
            <w:vAlign w:val="center"/>
          </w:tcPr>
          <w:p w14:paraId="4443D22C"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78E2BA66" w14:textId="77777777" w:rsidR="0009316F" w:rsidRPr="00261CCE" w:rsidRDefault="0009316F" w:rsidP="00C439AF">
            <w:pPr>
              <w:spacing w:before="40" w:after="120"/>
              <w:ind w:right="113"/>
              <w:jc w:val="center"/>
              <w:rPr>
                <w:rFonts w:eastAsia="PMingLiU"/>
              </w:rPr>
            </w:pPr>
            <w:r w:rsidRPr="00261CCE">
              <w:rPr>
                <w:sz w:val="18"/>
                <w:szCs w:val="18"/>
              </w:rPr>
              <w:t>(0.22)</w:t>
            </w:r>
          </w:p>
        </w:tc>
        <w:tc>
          <w:tcPr>
            <w:tcW w:w="992" w:type="dxa"/>
            <w:shd w:val="clear" w:color="auto" w:fill="auto"/>
            <w:vAlign w:val="center"/>
          </w:tcPr>
          <w:p w14:paraId="2D15C1C8"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36B7F0B2" w14:textId="77777777" w:rsidR="0009316F" w:rsidRPr="00261CCE" w:rsidRDefault="0009316F" w:rsidP="00C439AF">
            <w:pPr>
              <w:spacing w:before="40" w:after="120"/>
              <w:ind w:right="113"/>
              <w:jc w:val="center"/>
              <w:rPr>
                <w:rFonts w:eastAsia="PMingLiU"/>
              </w:rPr>
            </w:pPr>
            <w:r w:rsidRPr="00261CCE">
              <w:rPr>
                <w:sz w:val="18"/>
                <w:szCs w:val="18"/>
              </w:rPr>
              <w:t>(0.45)</w:t>
            </w:r>
          </w:p>
        </w:tc>
        <w:tc>
          <w:tcPr>
            <w:tcW w:w="1134" w:type="dxa"/>
            <w:shd w:val="clear" w:color="auto" w:fill="auto"/>
            <w:vAlign w:val="center"/>
          </w:tcPr>
          <w:p w14:paraId="4999AABD" w14:textId="77777777" w:rsidR="0009316F" w:rsidRPr="00261CCE" w:rsidRDefault="0009316F" w:rsidP="00C439AF">
            <w:pPr>
              <w:keepNext/>
              <w:spacing w:after="120"/>
              <w:jc w:val="center"/>
            </w:pPr>
            <w:r w:rsidRPr="00261CCE">
              <w:rPr>
                <w:rFonts w:ascii="Wingdings" w:eastAsia="Wingdings" w:hAnsi="Wingdings" w:cs="Wingdings"/>
                <w:color w:val="FF0000"/>
                <w:sz w:val="28"/>
                <w:szCs w:val="28"/>
              </w:rPr>
              <w:t>æ</w:t>
            </w:r>
          </w:p>
          <w:p w14:paraId="2737F8D7" w14:textId="77777777" w:rsidR="0009316F" w:rsidRPr="00261CCE" w:rsidRDefault="0009316F" w:rsidP="00C439AF">
            <w:pPr>
              <w:spacing w:before="40" w:after="120"/>
              <w:ind w:right="113"/>
              <w:jc w:val="center"/>
              <w:rPr>
                <w:rFonts w:eastAsia="PMingLiU"/>
              </w:rPr>
            </w:pPr>
            <w:r w:rsidRPr="00261CCE">
              <w:rPr>
                <w:sz w:val="18"/>
                <w:szCs w:val="18"/>
              </w:rPr>
              <w:t>(0.58)</w:t>
            </w:r>
          </w:p>
        </w:tc>
      </w:tr>
      <w:tr w:rsidR="0009316F" w:rsidRPr="00261CCE" w14:paraId="270FE75B" w14:textId="77777777" w:rsidTr="00C439AF">
        <w:tc>
          <w:tcPr>
            <w:tcW w:w="1418" w:type="dxa"/>
            <w:tcBorders>
              <w:bottom w:val="single" w:sz="12" w:space="0" w:color="auto"/>
            </w:tcBorders>
            <w:shd w:val="clear" w:color="auto" w:fill="auto"/>
          </w:tcPr>
          <w:p w14:paraId="4F486449" w14:textId="77777777" w:rsidR="0009316F" w:rsidRPr="00CF437D" w:rsidRDefault="0009316F" w:rsidP="00C439AF">
            <w:pPr>
              <w:spacing w:before="40" w:after="120"/>
              <w:ind w:right="113"/>
              <w:rPr>
                <w:rFonts w:eastAsia="PMingLiU"/>
                <w:sz w:val="18"/>
                <w:szCs w:val="18"/>
                <w:lang w:val="fr-CH"/>
              </w:rPr>
            </w:pPr>
            <w:r w:rsidRPr="00261CCE">
              <w:rPr>
                <w:sz w:val="18"/>
                <w:szCs w:val="18"/>
                <w:lang w:val="fr-CH"/>
              </w:rPr>
              <w:t>Total fossil fuel subsidies, 2015–2020 (percentage change)</w:t>
            </w:r>
          </w:p>
        </w:tc>
        <w:tc>
          <w:tcPr>
            <w:tcW w:w="850" w:type="dxa"/>
            <w:tcBorders>
              <w:bottom w:val="single" w:sz="12" w:space="0" w:color="auto"/>
            </w:tcBorders>
            <w:shd w:val="clear" w:color="auto" w:fill="auto"/>
            <w:vAlign w:val="center"/>
          </w:tcPr>
          <w:p w14:paraId="273C2015"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48A79E1E" w14:textId="77777777" w:rsidR="0009316F" w:rsidRPr="00261CCE" w:rsidRDefault="0009316F" w:rsidP="00C439AF">
            <w:pPr>
              <w:spacing w:before="40" w:after="120"/>
              <w:ind w:right="113"/>
              <w:jc w:val="center"/>
              <w:rPr>
                <w:rFonts w:eastAsia="PMingLiU"/>
              </w:rPr>
            </w:pPr>
            <w:r w:rsidRPr="00261CCE">
              <w:rPr>
                <w:sz w:val="18"/>
                <w:szCs w:val="18"/>
              </w:rPr>
              <w:t>(-19)</w:t>
            </w:r>
          </w:p>
        </w:tc>
        <w:tc>
          <w:tcPr>
            <w:tcW w:w="1276" w:type="dxa"/>
            <w:tcBorders>
              <w:bottom w:val="single" w:sz="12" w:space="0" w:color="auto"/>
            </w:tcBorders>
            <w:shd w:val="clear" w:color="auto" w:fill="auto"/>
            <w:vAlign w:val="center"/>
          </w:tcPr>
          <w:p w14:paraId="6169D297"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33C0E810" w14:textId="77777777" w:rsidR="0009316F" w:rsidRPr="00261CCE" w:rsidRDefault="0009316F" w:rsidP="00C439AF">
            <w:pPr>
              <w:spacing w:before="40" w:after="120"/>
              <w:ind w:right="113"/>
              <w:jc w:val="center"/>
              <w:rPr>
                <w:rFonts w:eastAsia="PMingLiU"/>
              </w:rPr>
            </w:pPr>
            <w:r w:rsidRPr="00261CCE">
              <w:rPr>
                <w:sz w:val="18"/>
                <w:szCs w:val="18"/>
              </w:rPr>
              <w:t>(-32)</w:t>
            </w:r>
          </w:p>
        </w:tc>
        <w:tc>
          <w:tcPr>
            <w:tcW w:w="851" w:type="dxa"/>
            <w:tcBorders>
              <w:bottom w:val="single" w:sz="12" w:space="0" w:color="auto"/>
            </w:tcBorders>
            <w:shd w:val="clear" w:color="auto" w:fill="auto"/>
            <w:vAlign w:val="center"/>
          </w:tcPr>
          <w:p w14:paraId="0A93754C" w14:textId="77777777" w:rsidR="0009316F" w:rsidRPr="00261CCE" w:rsidRDefault="0009316F" w:rsidP="00C439AF">
            <w:pPr>
              <w:keepNext/>
              <w:spacing w:after="120"/>
              <w:jc w:val="center"/>
            </w:pPr>
            <w:r w:rsidRPr="00261CCE">
              <w:rPr>
                <w:rFonts w:ascii="Wingdings" w:eastAsia="Wingdings" w:hAnsi="Wingdings" w:cs="Wingdings"/>
                <w:color w:val="FF0000"/>
                <w:sz w:val="28"/>
                <w:szCs w:val="28"/>
              </w:rPr>
              <w:t>æ</w:t>
            </w:r>
          </w:p>
          <w:p w14:paraId="5607A306" w14:textId="77777777" w:rsidR="0009316F" w:rsidRPr="00261CCE" w:rsidRDefault="0009316F" w:rsidP="00C439AF">
            <w:pPr>
              <w:spacing w:before="40" w:after="120"/>
              <w:ind w:right="113"/>
              <w:jc w:val="center"/>
              <w:rPr>
                <w:rFonts w:eastAsia="PMingLiU"/>
              </w:rPr>
            </w:pPr>
            <w:r w:rsidRPr="00261CCE">
              <w:rPr>
                <w:sz w:val="18"/>
                <w:szCs w:val="18"/>
              </w:rPr>
              <w:t>(+37)</w:t>
            </w:r>
          </w:p>
        </w:tc>
        <w:tc>
          <w:tcPr>
            <w:tcW w:w="992" w:type="dxa"/>
            <w:tcBorders>
              <w:bottom w:val="single" w:sz="12" w:space="0" w:color="auto"/>
            </w:tcBorders>
            <w:shd w:val="clear" w:color="auto" w:fill="auto"/>
            <w:vAlign w:val="center"/>
          </w:tcPr>
          <w:p w14:paraId="7E0602C7"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47A5982F" w14:textId="77777777" w:rsidR="0009316F" w:rsidRPr="00261CCE" w:rsidRDefault="0009316F" w:rsidP="00C439AF">
            <w:pPr>
              <w:spacing w:before="40" w:after="120"/>
              <w:ind w:right="113"/>
              <w:jc w:val="center"/>
              <w:rPr>
                <w:rFonts w:eastAsia="PMingLiU"/>
              </w:rPr>
            </w:pPr>
            <w:r w:rsidRPr="00261CCE">
              <w:rPr>
                <w:sz w:val="18"/>
                <w:szCs w:val="18"/>
              </w:rPr>
              <w:t>(-1.2)</w:t>
            </w:r>
          </w:p>
        </w:tc>
        <w:tc>
          <w:tcPr>
            <w:tcW w:w="992" w:type="dxa"/>
            <w:tcBorders>
              <w:bottom w:val="single" w:sz="12" w:space="0" w:color="auto"/>
            </w:tcBorders>
            <w:shd w:val="clear" w:color="auto" w:fill="auto"/>
            <w:vAlign w:val="center"/>
          </w:tcPr>
          <w:p w14:paraId="36CC21B6" w14:textId="77777777" w:rsidR="0009316F" w:rsidRPr="00261CCE" w:rsidRDefault="0009316F" w:rsidP="00C439AF">
            <w:pPr>
              <w:keepNext/>
              <w:spacing w:after="120"/>
              <w:jc w:val="center"/>
            </w:pPr>
            <w:r w:rsidRPr="00261CCE">
              <w:rPr>
                <w:rFonts w:ascii="Wingdings" w:eastAsia="Wingdings" w:hAnsi="Wingdings" w:cs="Wingdings"/>
                <w:color w:val="FF0000"/>
                <w:sz w:val="28"/>
                <w:szCs w:val="28"/>
              </w:rPr>
              <w:t>æ</w:t>
            </w:r>
          </w:p>
          <w:p w14:paraId="50360667" w14:textId="77777777" w:rsidR="0009316F" w:rsidRPr="00261CCE" w:rsidRDefault="0009316F" w:rsidP="00C439AF">
            <w:pPr>
              <w:spacing w:before="40" w:after="120"/>
              <w:ind w:right="113"/>
              <w:jc w:val="center"/>
              <w:rPr>
                <w:rFonts w:eastAsia="PMingLiU"/>
              </w:rPr>
            </w:pPr>
            <w:r w:rsidRPr="00261CCE">
              <w:rPr>
                <w:sz w:val="18"/>
                <w:szCs w:val="18"/>
              </w:rPr>
              <w:t>(+32)</w:t>
            </w:r>
          </w:p>
        </w:tc>
        <w:tc>
          <w:tcPr>
            <w:tcW w:w="1134" w:type="dxa"/>
            <w:tcBorders>
              <w:bottom w:val="single" w:sz="12" w:space="0" w:color="auto"/>
            </w:tcBorders>
            <w:shd w:val="clear" w:color="auto" w:fill="auto"/>
            <w:vAlign w:val="center"/>
          </w:tcPr>
          <w:p w14:paraId="43A07B9A" w14:textId="77777777" w:rsidR="0009316F" w:rsidRPr="00261CCE" w:rsidRDefault="0009316F" w:rsidP="00C439AF">
            <w:pPr>
              <w:keepNext/>
              <w:spacing w:after="120"/>
              <w:jc w:val="center"/>
            </w:pPr>
            <w:r w:rsidRPr="00261CCE">
              <w:rPr>
                <w:rFonts w:ascii="Wingdings" w:eastAsia="Wingdings" w:hAnsi="Wingdings" w:cs="Wingdings"/>
                <w:color w:val="00B050"/>
                <w:sz w:val="28"/>
                <w:szCs w:val="28"/>
              </w:rPr>
              <w:t>ä</w:t>
            </w:r>
          </w:p>
          <w:p w14:paraId="7EB2A925" w14:textId="77777777" w:rsidR="0009316F" w:rsidRPr="00261CCE" w:rsidRDefault="0009316F" w:rsidP="00C439AF">
            <w:pPr>
              <w:spacing w:before="40" w:after="120"/>
              <w:ind w:right="113"/>
              <w:jc w:val="center"/>
              <w:rPr>
                <w:rFonts w:eastAsia="PMingLiU"/>
              </w:rPr>
            </w:pPr>
            <w:r w:rsidRPr="00261CCE">
              <w:rPr>
                <w:sz w:val="18"/>
                <w:szCs w:val="18"/>
              </w:rPr>
              <w:t>(-3.2)</w:t>
            </w:r>
          </w:p>
        </w:tc>
      </w:tr>
    </w:tbl>
    <w:p w14:paraId="282B4BBA" w14:textId="77777777" w:rsidR="0009316F" w:rsidRPr="00261CCE" w:rsidRDefault="0009316F" w:rsidP="005A147B">
      <w:pPr>
        <w:spacing w:before="120"/>
        <w:ind w:left="1111" w:firstLine="590"/>
        <w:textAlignment w:val="baseline"/>
        <w:rPr>
          <w:rFonts w:ascii="Segoe UI" w:hAnsi="Segoe UI" w:cs="Segoe UI"/>
          <w:sz w:val="18"/>
          <w:szCs w:val="18"/>
          <w:lang w:eastAsia="zh-CN"/>
        </w:rPr>
      </w:pPr>
      <w:r w:rsidRPr="00261CCE">
        <w:rPr>
          <w:i/>
          <w:iCs/>
          <w:sz w:val="18"/>
          <w:szCs w:val="18"/>
          <w:lang w:eastAsia="zh-CN"/>
        </w:rPr>
        <w:t>Source</w:t>
      </w:r>
      <w:r w:rsidRPr="00261CCE">
        <w:rPr>
          <w:sz w:val="18"/>
          <w:szCs w:val="18"/>
          <w:lang w:eastAsia="zh-CN"/>
        </w:rPr>
        <w:t>: International Monetary Fund Climate Change Dashboard, Indicators, available at https://climatedata.imf.org/pages/go-indicators.  </w:t>
      </w:r>
    </w:p>
    <w:p w14:paraId="2004E4DB" w14:textId="77777777" w:rsidR="0009316F" w:rsidRPr="00261CCE" w:rsidRDefault="0009316F" w:rsidP="005A147B">
      <w:pPr>
        <w:spacing w:after="120"/>
        <w:ind w:left="1134" w:right="1134" w:firstLine="567"/>
        <w:jc w:val="both"/>
        <w:rPr>
          <w:sz w:val="18"/>
          <w:szCs w:val="18"/>
        </w:rPr>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 xml:space="preserve">improving (increasing percentage of GDP spent on governmental environmental protection, or declining fossil fuel subsidies) or </w:t>
      </w:r>
      <w:r w:rsidRPr="00261CCE">
        <w:rPr>
          <w:rFonts w:ascii="Wingdings" w:eastAsia="Wingdings" w:hAnsi="Wingdings" w:cs="Wingdings"/>
          <w:color w:val="FF0000"/>
          <w:sz w:val="28"/>
          <w:szCs w:val="28"/>
        </w:rPr>
        <w:t>æ</w:t>
      </w:r>
      <w:r w:rsidRPr="00261CCE">
        <w:t xml:space="preserve"> </w:t>
      </w:r>
      <w:r w:rsidRPr="00261CCE">
        <w:rPr>
          <w:sz w:val="18"/>
          <w:szCs w:val="18"/>
        </w:rPr>
        <w:t>worsening. The subregional Government environmental protection expenditures are simple unweighted averages across the countries. Values for environmental protection expenditures are simple unweighted averages across the countries. No data for several countries.</w:t>
      </w:r>
      <w:r w:rsidRPr="00261CCE">
        <w:rPr>
          <w:color w:val="000000"/>
          <w:sz w:val="18"/>
          <w:szCs w:val="18"/>
          <w:lang w:eastAsia="zh-CN"/>
        </w:rPr>
        <w:t> </w:t>
      </w:r>
    </w:p>
    <w:p w14:paraId="76CC6791"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16.</w:t>
      </w:r>
      <w:r w:rsidRPr="00261CCE">
        <w:rPr>
          <w:b/>
        </w:rPr>
        <w:tab/>
        <w:t>Sustainable infrastructure</w:t>
      </w:r>
    </w:p>
    <w:p w14:paraId="1AAE26DB" w14:textId="19E1AAFD" w:rsidR="0009316F" w:rsidRPr="00261CCE" w:rsidRDefault="000C0F47" w:rsidP="0009316F">
      <w:pPr>
        <w:spacing w:after="120"/>
        <w:ind w:left="1134" w:right="1134"/>
        <w:jc w:val="both"/>
      </w:pPr>
      <w:r>
        <w:t>35</w:t>
      </w:r>
      <w:r w:rsidR="0009316F" w:rsidRPr="00261CCE">
        <w:t>.</w:t>
      </w:r>
      <w:r w:rsidR="0009316F" w:rsidRPr="00261CCE">
        <w:tab/>
        <w:t xml:space="preserve">Sustainable infrastructure investment has been recognized as one of the strategies with the greatest impact in terms of building back better in the post-COVID pandemic recovery. There is a recent common understanding that sustainability solutions should be incorporated as early as possible into the strategic planning phase. However, most pan-European region </w:t>
      </w:r>
      <w:r w:rsidR="0009316F" w:rsidRPr="00261CCE">
        <w:lastRenderedPageBreak/>
        <w:t>countries have yet to develop mechanisms to incorporate sustainability considerations (such as climate risk) and externality accounting (e.g., the cost of pollution, ecosystem services, or biodiversity protection) into the cost-benefit analysis of large infrastructure projects, while this analysis is not a legal requirement in many countries. Access to basic drinking water services is consistently above 90 per cent across the pan-European subregions, except in rural Tajikistan where access is below 75 per cent. Sanitation access ranges, for example, from 82.3 per cent in rural Eastern Europe to 99.5 percent in urban South-Eastern Europe and Western Europe, the average being 96.3 per cent. The pan-European region shows full access to electricity, and countries have at least over 83.8 percent coverage of third generation telecommunications. The challenges are currently to guarantee that there is an increase in sustainable infrastructure, using nature-based solutions, resource efficiency, recycling and reuse, in an environmentally responsible, socially inclusive and economically viable way. It is important to guarantee that the needs of all stakeholders are identified and addressed, and that infrastructure is conceived to be flexible in its use, interconnected and able to employ real-time information to adapt to the changing conditions (including climate risk, changes in service demand and migration patterns)</w:t>
      </w:r>
      <w:r w:rsidR="00152558">
        <w:t>.</w:t>
      </w:r>
      <w:r w:rsidR="0009316F" w:rsidRPr="00261CCE">
        <w:t xml:space="preserve"> (</w:t>
      </w:r>
      <w:r w:rsidR="00152558">
        <w:t>S</w:t>
      </w:r>
      <w:r w:rsidR="0009316F" w:rsidRPr="00261CCE">
        <w:t>ee table 16 below</w:t>
      </w:r>
      <w:r w:rsidR="00B3424E">
        <w:t xml:space="preserve"> for an indicator proposed in the assessment</w:t>
      </w:r>
      <w:r w:rsidR="00152558">
        <w:t>.</w:t>
      </w:r>
      <w:r w:rsidR="0009316F" w:rsidRPr="00261CCE">
        <w:t>)</w:t>
      </w:r>
    </w:p>
    <w:p w14:paraId="261558BB" w14:textId="4BD13B3C"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152558">
        <w:rPr>
          <w:b/>
        </w:rPr>
        <w:t>s</w:t>
      </w:r>
      <w:r w:rsidRPr="00261CCE">
        <w:rPr>
          <w:b/>
        </w:rPr>
        <w:t xml:space="preserve">: </w:t>
      </w:r>
    </w:p>
    <w:p w14:paraId="1BF9C81D" w14:textId="01696A1B" w:rsidR="0009316F" w:rsidRPr="00261CCE" w:rsidRDefault="000C0F47" w:rsidP="0009316F">
      <w:pPr>
        <w:spacing w:after="120"/>
        <w:ind w:left="1134" w:right="1134"/>
        <w:jc w:val="both"/>
      </w:pPr>
      <w:r>
        <w:t>36</w:t>
      </w:r>
      <w:r w:rsidR="0009316F" w:rsidRPr="00261CCE">
        <w:t>.</w:t>
      </w:r>
      <w:r w:rsidR="0009316F" w:rsidRPr="00261CCE">
        <w:tab/>
        <w:t>Governments should participate in a pan-European effort to create a common understanding of what sustainable infrastructure means and define a common strategy to quantify progress across nations. Governments should make use of existing tools to promote sustainable infrastructure development, including the ECE Protocol on Strategic Environmental Assessment</w:t>
      </w:r>
      <w:r w:rsidR="002C546B">
        <w:t xml:space="preserve"> and the </w:t>
      </w:r>
      <w:r w:rsidR="003E16E1">
        <w:t xml:space="preserve">UNEP </w:t>
      </w:r>
      <w:r w:rsidR="002C546B">
        <w:t>International Good Practice Principles for Sustainable Infrastructure</w:t>
      </w:r>
      <w:r w:rsidR="0009316F" w:rsidRPr="00261CCE">
        <w:t xml:space="preserve">, and devote additional resources to achieving the institutional and technical capacity necessary for the planning, design, execution, operation and decommissioning of sustainable infrastructure projects. </w:t>
      </w:r>
      <w:r w:rsidR="00CA6C43">
        <w:t xml:space="preserve">They should build upon </w:t>
      </w:r>
      <w:r w:rsidR="0015553B">
        <w:t>United Nations</w:t>
      </w:r>
      <w:r w:rsidR="0015553B" w:rsidRPr="0015553B">
        <w:t xml:space="preserve"> Environment Assembly </w:t>
      </w:r>
      <w:r w:rsidR="0014647E">
        <w:t>r</w:t>
      </w:r>
      <w:r w:rsidR="0015553B" w:rsidRPr="0015553B">
        <w:t>esolution</w:t>
      </w:r>
      <w:r w:rsidR="00C1077A">
        <w:t xml:space="preserve">s on </w:t>
      </w:r>
      <w:r w:rsidR="0014647E">
        <w:t>s</w:t>
      </w:r>
      <w:r w:rsidR="00176A54" w:rsidRPr="00176A54">
        <w:t>ustainable and resilient infrastructure</w:t>
      </w:r>
      <w:r w:rsidR="0015553B" w:rsidRPr="0015553B">
        <w:t xml:space="preserve"> (UNEP/EA.5/</w:t>
      </w:r>
      <w:r w:rsidR="00176A54">
        <w:t>Res.9</w:t>
      </w:r>
      <w:r w:rsidR="0015553B" w:rsidRPr="0015553B">
        <w:t xml:space="preserve">) </w:t>
      </w:r>
      <w:r w:rsidR="00176A54">
        <w:t>and</w:t>
      </w:r>
      <w:r w:rsidR="00C1077A">
        <w:t xml:space="preserve"> </w:t>
      </w:r>
      <w:r w:rsidR="0014647E">
        <w:t>n</w:t>
      </w:r>
      <w:r w:rsidR="00C1077A">
        <w:t xml:space="preserve">ature-based solutions for supporting sustainable development (UNEP/EA.5/Res.5), </w:t>
      </w:r>
      <w:r w:rsidR="0015553B" w:rsidRPr="0015553B">
        <w:t>adopted by Member States</w:t>
      </w:r>
      <w:r w:rsidR="0051654F">
        <w:t xml:space="preserve">. </w:t>
      </w:r>
      <w:r w:rsidR="0009316F" w:rsidRPr="00261CCE">
        <w:t xml:space="preserve">Governments should also deploy economic and financial incentives – in the short and medium terms – to support the implementation by the private sector of nature-based solutions in infrastructure projects. </w:t>
      </w:r>
      <w:r w:rsidR="003867D0">
        <w:t>Further, t</w:t>
      </w:r>
      <w:r w:rsidR="00BD0D6D">
        <w:t xml:space="preserve">hey should </w:t>
      </w:r>
      <w:r w:rsidR="009969C9">
        <w:t>promote investment in sustainable infrastructure more broadly</w:t>
      </w:r>
      <w:r w:rsidR="0009316F" w:rsidRPr="00261CCE">
        <w:t xml:space="preserve">. Moreover, Governments should establish favourable conditions to implement a life cycle approach and circular economy strategies aligned with or similar to the </w:t>
      </w:r>
      <w:r w:rsidR="0009316F" w:rsidRPr="00261CCE">
        <w:rPr>
          <w:lang w:eastAsia="zh-TW"/>
        </w:rPr>
        <w:t xml:space="preserve">Pan-European Strategic Framework for Greening the Economy </w:t>
      </w:r>
      <w:r w:rsidR="0009316F" w:rsidRPr="00261CCE">
        <w:t>in sustainable consumption and production patterns, or other initiatives such as the European Union taxonomy.</w:t>
      </w:r>
    </w:p>
    <w:p w14:paraId="587ED3A1" w14:textId="77777777" w:rsidR="0009316F" w:rsidRPr="00261CCE" w:rsidRDefault="0009316F" w:rsidP="0009316F">
      <w:pPr>
        <w:keepNext/>
        <w:spacing w:before="240" w:after="120"/>
        <w:ind w:left="1134" w:right="1134"/>
        <w:rPr>
          <w:b/>
          <w:bCs/>
          <w:lang w:eastAsia="zh-TW"/>
        </w:rPr>
      </w:pPr>
      <w:r w:rsidRPr="00261CCE">
        <w:rPr>
          <w:lang w:eastAsia="zh-TW"/>
        </w:rPr>
        <w:t>Table 16</w:t>
      </w:r>
      <w:r w:rsidRPr="00261CCE">
        <w:rPr>
          <w:lang w:eastAsia="zh-TW"/>
        </w:rPr>
        <w:br/>
      </w:r>
      <w:r w:rsidRPr="00261CCE">
        <w:rPr>
          <w:b/>
          <w:bCs/>
          <w:lang w:eastAsia="zh-TW"/>
        </w:rPr>
        <w:t>Overview on status and trends for the selected indicator on the Corruption Perceptions Index</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
        <w:gridCol w:w="1075"/>
        <w:gridCol w:w="992"/>
        <w:gridCol w:w="850"/>
        <w:gridCol w:w="851"/>
        <w:gridCol w:w="992"/>
        <w:gridCol w:w="1559"/>
      </w:tblGrid>
      <w:tr w:rsidR="0009316F" w:rsidRPr="00261CCE" w14:paraId="17FEE06D" w14:textId="77777777" w:rsidTr="00C439AF">
        <w:tc>
          <w:tcPr>
            <w:tcW w:w="1052" w:type="dxa"/>
            <w:tcBorders>
              <w:top w:val="single" w:sz="4" w:space="0" w:color="auto"/>
              <w:bottom w:val="single" w:sz="12" w:space="0" w:color="auto"/>
            </w:tcBorders>
            <w:shd w:val="clear" w:color="auto" w:fill="auto"/>
          </w:tcPr>
          <w:p w14:paraId="1489B230" w14:textId="77777777" w:rsidR="0009316F" w:rsidRPr="00261CCE" w:rsidRDefault="0009316F" w:rsidP="00C439AF">
            <w:pPr>
              <w:spacing w:before="80" w:line="200" w:lineRule="exact"/>
              <w:rPr>
                <w:rFonts w:eastAsia="PMingLiU"/>
                <w:i/>
                <w:sz w:val="16"/>
              </w:rPr>
            </w:pPr>
            <w:r w:rsidRPr="00261CCE">
              <w:rPr>
                <w:i/>
                <w:iCs/>
                <w:sz w:val="18"/>
                <w:szCs w:val="18"/>
              </w:rPr>
              <w:t>Indicator</w:t>
            </w:r>
          </w:p>
        </w:tc>
        <w:tc>
          <w:tcPr>
            <w:tcW w:w="1075" w:type="dxa"/>
            <w:tcBorders>
              <w:top w:val="single" w:sz="4" w:space="0" w:color="auto"/>
              <w:bottom w:val="single" w:sz="12" w:space="0" w:color="auto"/>
            </w:tcBorders>
            <w:shd w:val="clear" w:color="auto" w:fill="auto"/>
          </w:tcPr>
          <w:p w14:paraId="0185A818" w14:textId="77777777" w:rsidR="0009316F" w:rsidRPr="00261CCE" w:rsidRDefault="0009316F" w:rsidP="00C439AF">
            <w:pPr>
              <w:spacing w:before="80" w:line="200" w:lineRule="exact"/>
              <w:jc w:val="center"/>
              <w:rPr>
                <w:rFonts w:eastAsia="PMingLiU"/>
                <w:i/>
                <w:sz w:val="16"/>
              </w:rPr>
            </w:pPr>
            <w:r w:rsidRPr="00261CCE">
              <w:rPr>
                <w:i/>
                <w:iCs/>
                <w:sz w:val="18"/>
                <w:szCs w:val="18"/>
              </w:rPr>
              <w:t>European Union</w:t>
            </w:r>
          </w:p>
        </w:tc>
        <w:tc>
          <w:tcPr>
            <w:tcW w:w="992" w:type="dxa"/>
            <w:tcBorders>
              <w:top w:val="single" w:sz="4" w:space="0" w:color="auto"/>
              <w:bottom w:val="single" w:sz="12" w:space="0" w:color="auto"/>
            </w:tcBorders>
            <w:shd w:val="clear" w:color="auto" w:fill="auto"/>
          </w:tcPr>
          <w:p w14:paraId="7F8E4D39" w14:textId="77777777" w:rsidR="0009316F" w:rsidRPr="00261CCE" w:rsidRDefault="0009316F" w:rsidP="00C439AF">
            <w:pPr>
              <w:spacing w:before="80" w:line="200" w:lineRule="exact"/>
              <w:jc w:val="center"/>
              <w:rPr>
                <w:rFonts w:eastAsia="PMingLiU"/>
                <w:i/>
                <w:sz w:val="16"/>
              </w:rPr>
            </w:pPr>
            <w:r w:rsidRPr="00261CCE">
              <w:rPr>
                <w:i/>
                <w:iCs/>
                <w:sz w:val="18"/>
                <w:szCs w:val="18"/>
              </w:rPr>
              <w:t>Western Europe</w:t>
            </w:r>
          </w:p>
        </w:tc>
        <w:tc>
          <w:tcPr>
            <w:tcW w:w="850" w:type="dxa"/>
            <w:tcBorders>
              <w:top w:val="single" w:sz="4" w:space="0" w:color="auto"/>
              <w:bottom w:val="single" w:sz="12" w:space="0" w:color="auto"/>
            </w:tcBorders>
            <w:shd w:val="clear" w:color="auto" w:fill="auto"/>
          </w:tcPr>
          <w:p w14:paraId="11357FDE" w14:textId="77777777" w:rsidR="0009316F" w:rsidRPr="00261CCE" w:rsidRDefault="0009316F" w:rsidP="00C439AF">
            <w:pPr>
              <w:spacing w:before="80" w:line="200" w:lineRule="exact"/>
              <w:jc w:val="center"/>
              <w:rPr>
                <w:rFonts w:eastAsia="PMingLiU"/>
                <w:i/>
                <w:sz w:val="16"/>
              </w:rPr>
            </w:pPr>
            <w:r w:rsidRPr="00261CCE">
              <w:rPr>
                <w:i/>
                <w:iCs/>
                <w:sz w:val="18"/>
                <w:szCs w:val="18"/>
              </w:rPr>
              <w:t>Central Asia</w:t>
            </w:r>
          </w:p>
        </w:tc>
        <w:tc>
          <w:tcPr>
            <w:tcW w:w="851" w:type="dxa"/>
            <w:tcBorders>
              <w:top w:val="single" w:sz="4" w:space="0" w:color="auto"/>
              <w:bottom w:val="single" w:sz="12" w:space="0" w:color="auto"/>
            </w:tcBorders>
            <w:shd w:val="clear" w:color="auto" w:fill="auto"/>
          </w:tcPr>
          <w:p w14:paraId="4C7725EA" w14:textId="77777777" w:rsidR="0009316F" w:rsidRPr="00261CCE" w:rsidRDefault="0009316F" w:rsidP="00C439AF">
            <w:pPr>
              <w:spacing w:before="80" w:line="200" w:lineRule="exact"/>
              <w:jc w:val="center"/>
              <w:rPr>
                <w:rFonts w:eastAsia="PMingLiU"/>
                <w:i/>
                <w:sz w:val="16"/>
              </w:rPr>
            </w:pPr>
            <w:r w:rsidRPr="00261CCE">
              <w:rPr>
                <w:i/>
                <w:iCs/>
                <w:sz w:val="18"/>
                <w:szCs w:val="18"/>
              </w:rPr>
              <w:t>Eastern Europe</w:t>
            </w:r>
          </w:p>
        </w:tc>
        <w:tc>
          <w:tcPr>
            <w:tcW w:w="992" w:type="dxa"/>
            <w:tcBorders>
              <w:top w:val="single" w:sz="4" w:space="0" w:color="auto"/>
              <w:bottom w:val="single" w:sz="12" w:space="0" w:color="auto"/>
            </w:tcBorders>
            <w:shd w:val="clear" w:color="auto" w:fill="auto"/>
          </w:tcPr>
          <w:p w14:paraId="11F659AD" w14:textId="77777777" w:rsidR="0009316F" w:rsidRPr="00261CCE" w:rsidRDefault="0009316F" w:rsidP="00C439AF">
            <w:pPr>
              <w:spacing w:before="80" w:line="200" w:lineRule="exact"/>
              <w:jc w:val="center"/>
              <w:rPr>
                <w:rFonts w:eastAsia="PMingLiU"/>
                <w:i/>
                <w:sz w:val="16"/>
              </w:rPr>
            </w:pPr>
            <w:r w:rsidRPr="00261CCE">
              <w:rPr>
                <w:i/>
                <w:iCs/>
                <w:sz w:val="18"/>
                <w:szCs w:val="18"/>
              </w:rPr>
              <w:t>South-Eastern Europe</w:t>
            </w:r>
          </w:p>
        </w:tc>
        <w:tc>
          <w:tcPr>
            <w:tcW w:w="1559" w:type="dxa"/>
            <w:tcBorders>
              <w:top w:val="single" w:sz="4" w:space="0" w:color="auto"/>
              <w:bottom w:val="single" w:sz="12" w:space="0" w:color="auto"/>
            </w:tcBorders>
            <w:shd w:val="clear" w:color="auto" w:fill="auto"/>
          </w:tcPr>
          <w:p w14:paraId="32DB0941" w14:textId="77777777" w:rsidR="0009316F" w:rsidRPr="00261CCE" w:rsidRDefault="0009316F" w:rsidP="00C439AF">
            <w:pPr>
              <w:spacing w:before="80" w:line="200" w:lineRule="exact"/>
              <w:jc w:val="center"/>
              <w:rPr>
                <w:rFonts w:eastAsia="PMingLiU"/>
                <w:i/>
                <w:sz w:val="16"/>
              </w:rPr>
            </w:pPr>
            <w:r w:rsidRPr="00261CCE">
              <w:rPr>
                <w:i/>
                <w:iCs/>
                <w:sz w:val="18"/>
                <w:szCs w:val="18"/>
              </w:rPr>
              <w:t>Pan-European region</w:t>
            </w:r>
          </w:p>
        </w:tc>
      </w:tr>
      <w:tr w:rsidR="0009316F" w:rsidRPr="00261CCE" w14:paraId="4AE4DCA9" w14:textId="77777777" w:rsidTr="00C439AF">
        <w:trPr>
          <w:trHeight w:hRule="exact" w:val="82"/>
        </w:trPr>
        <w:tc>
          <w:tcPr>
            <w:tcW w:w="1052" w:type="dxa"/>
            <w:tcBorders>
              <w:top w:val="single" w:sz="12" w:space="0" w:color="auto"/>
            </w:tcBorders>
            <w:shd w:val="clear" w:color="auto" w:fill="auto"/>
            <w:vAlign w:val="bottom"/>
          </w:tcPr>
          <w:p w14:paraId="27F478F6" w14:textId="77777777" w:rsidR="0009316F" w:rsidRPr="00261CCE" w:rsidRDefault="0009316F" w:rsidP="00C439AF">
            <w:pPr>
              <w:spacing w:before="40" w:after="40" w:line="220" w:lineRule="exact"/>
              <w:rPr>
                <w:sz w:val="18"/>
                <w:szCs w:val="18"/>
              </w:rPr>
            </w:pPr>
          </w:p>
        </w:tc>
        <w:tc>
          <w:tcPr>
            <w:tcW w:w="1075" w:type="dxa"/>
            <w:tcBorders>
              <w:top w:val="single" w:sz="12" w:space="0" w:color="auto"/>
            </w:tcBorders>
            <w:shd w:val="clear" w:color="auto" w:fill="auto"/>
            <w:vAlign w:val="bottom"/>
          </w:tcPr>
          <w:p w14:paraId="68D13428"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top w:val="single" w:sz="12" w:space="0" w:color="auto"/>
            </w:tcBorders>
            <w:shd w:val="clear" w:color="auto" w:fill="auto"/>
            <w:vAlign w:val="bottom"/>
          </w:tcPr>
          <w:p w14:paraId="3CCAC49D" w14:textId="77777777" w:rsidR="0009316F" w:rsidRPr="00261CCE" w:rsidRDefault="0009316F" w:rsidP="00C439AF">
            <w:pPr>
              <w:keepNext/>
              <w:spacing w:after="120"/>
              <w:jc w:val="center"/>
              <w:rPr>
                <w:rFonts w:ascii="Wingdings" w:hAnsi="Wingdings" w:cs="Wingdings"/>
                <w:color w:val="FF0000"/>
                <w:sz w:val="28"/>
                <w:szCs w:val="28"/>
              </w:rPr>
            </w:pPr>
          </w:p>
        </w:tc>
        <w:tc>
          <w:tcPr>
            <w:tcW w:w="850" w:type="dxa"/>
            <w:tcBorders>
              <w:top w:val="single" w:sz="12" w:space="0" w:color="auto"/>
            </w:tcBorders>
            <w:shd w:val="clear" w:color="auto" w:fill="auto"/>
            <w:vAlign w:val="bottom"/>
          </w:tcPr>
          <w:p w14:paraId="49E58BF5"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top w:val="single" w:sz="12" w:space="0" w:color="auto"/>
            </w:tcBorders>
            <w:shd w:val="clear" w:color="auto" w:fill="auto"/>
            <w:vAlign w:val="bottom"/>
          </w:tcPr>
          <w:p w14:paraId="06371671"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top w:val="single" w:sz="12" w:space="0" w:color="auto"/>
            </w:tcBorders>
            <w:shd w:val="clear" w:color="auto" w:fill="auto"/>
            <w:vAlign w:val="bottom"/>
          </w:tcPr>
          <w:p w14:paraId="0A6497C3" w14:textId="77777777" w:rsidR="0009316F" w:rsidRPr="00261CCE" w:rsidRDefault="0009316F" w:rsidP="00C439AF">
            <w:pPr>
              <w:keepNext/>
              <w:spacing w:after="120"/>
              <w:jc w:val="center"/>
              <w:rPr>
                <w:rFonts w:ascii="Wingdings" w:hAnsi="Wingdings" w:cs="Wingdings"/>
                <w:color w:val="FF0000"/>
                <w:sz w:val="28"/>
                <w:szCs w:val="28"/>
              </w:rPr>
            </w:pPr>
          </w:p>
        </w:tc>
        <w:tc>
          <w:tcPr>
            <w:tcW w:w="1559" w:type="dxa"/>
            <w:tcBorders>
              <w:top w:val="single" w:sz="12" w:space="0" w:color="auto"/>
            </w:tcBorders>
            <w:shd w:val="clear" w:color="auto" w:fill="auto"/>
            <w:vAlign w:val="bottom"/>
          </w:tcPr>
          <w:p w14:paraId="501EDBD8" w14:textId="77777777" w:rsidR="0009316F" w:rsidRPr="00261CCE" w:rsidRDefault="0009316F" w:rsidP="00C439AF">
            <w:pPr>
              <w:keepNext/>
              <w:spacing w:after="120"/>
              <w:jc w:val="center"/>
              <w:rPr>
                <w:rFonts w:ascii="Wingdings" w:hAnsi="Wingdings" w:cs="Wingdings"/>
                <w:color w:val="00B050"/>
                <w:sz w:val="28"/>
                <w:szCs w:val="28"/>
              </w:rPr>
            </w:pPr>
          </w:p>
        </w:tc>
      </w:tr>
      <w:tr w:rsidR="0009316F" w:rsidRPr="00261CCE" w14:paraId="005634E7" w14:textId="77777777" w:rsidTr="00C439AF">
        <w:tc>
          <w:tcPr>
            <w:tcW w:w="1052" w:type="dxa"/>
            <w:shd w:val="clear" w:color="auto" w:fill="auto"/>
            <w:vAlign w:val="bottom"/>
          </w:tcPr>
          <w:p w14:paraId="48F22E83" w14:textId="77777777" w:rsidR="0009316F" w:rsidRPr="00261CCE" w:rsidRDefault="0009316F" w:rsidP="00C439AF">
            <w:pPr>
              <w:spacing w:before="40" w:after="40" w:line="220" w:lineRule="exact"/>
              <w:rPr>
                <w:rFonts w:eastAsia="PMingLiU"/>
                <w:sz w:val="18"/>
              </w:rPr>
            </w:pPr>
            <w:r w:rsidRPr="00261CCE">
              <w:rPr>
                <w:sz w:val="18"/>
                <w:szCs w:val="18"/>
              </w:rPr>
              <w:t>Corruption Perceptions Index (2020)</w:t>
            </w:r>
          </w:p>
        </w:tc>
        <w:tc>
          <w:tcPr>
            <w:tcW w:w="1075" w:type="dxa"/>
            <w:shd w:val="clear" w:color="auto" w:fill="auto"/>
            <w:vAlign w:val="bottom"/>
          </w:tcPr>
          <w:p w14:paraId="0DEF3FBE"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00B050"/>
                <w:sz w:val="28"/>
                <w:szCs w:val="28"/>
              </w:rPr>
              <w:t>ä</w:t>
            </w:r>
          </w:p>
          <w:p w14:paraId="2E6D21EF" w14:textId="77777777" w:rsidR="0009316F" w:rsidRPr="00261CCE" w:rsidRDefault="0009316F" w:rsidP="00C439AF">
            <w:pPr>
              <w:spacing w:before="40" w:after="40" w:line="220" w:lineRule="exact"/>
              <w:jc w:val="center"/>
              <w:rPr>
                <w:rFonts w:eastAsia="PMingLiU"/>
                <w:sz w:val="18"/>
              </w:rPr>
            </w:pPr>
            <w:r w:rsidRPr="00261CCE">
              <w:rPr>
                <w:sz w:val="18"/>
                <w:szCs w:val="18"/>
              </w:rPr>
              <w:t>(64)</w:t>
            </w:r>
          </w:p>
        </w:tc>
        <w:tc>
          <w:tcPr>
            <w:tcW w:w="992" w:type="dxa"/>
            <w:shd w:val="clear" w:color="auto" w:fill="auto"/>
            <w:vAlign w:val="bottom"/>
          </w:tcPr>
          <w:p w14:paraId="2BBB935C"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FF0000"/>
                <w:sz w:val="28"/>
                <w:szCs w:val="28"/>
              </w:rPr>
              <w:t>æ</w:t>
            </w:r>
          </w:p>
          <w:p w14:paraId="5610F97A" w14:textId="77777777" w:rsidR="0009316F" w:rsidRPr="00261CCE" w:rsidRDefault="0009316F" w:rsidP="00C439AF">
            <w:pPr>
              <w:spacing w:before="40" w:after="40" w:line="220" w:lineRule="exact"/>
              <w:jc w:val="center"/>
              <w:rPr>
                <w:rFonts w:eastAsia="PMingLiU"/>
                <w:sz w:val="18"/>
              </w:rPr>
            </w:pPr>
            <w:r w:rsidRPr="00261CCE">
              <w:rPr>
                <w:sz w:val="18"/>
                <w:szCs w:val="18"/>
              </w:rPr>
              <w:t>(76)</w:t>
            </w:r>
          </w:p>
        </w:tc>
        <w:tc>
          <w:tcPr>
            <w:tcW w:w="850" w:type="dxa"/>
            <w:shd w:val="clear" w:color="auto" w:fill="auto"/>
            <w:vAlign w:val="bottom"/>
          </w:tcPr>
          <w:p w14:paraId="643F9AFB"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00B050"/>
                <w:sz w:val="28"/>
                <w:szCs w:val="28"/>
              </w:rPr>
              <w:t>ä</w:t>
            </w:r>
          </w:p>
          <w:p w14:paraId="77296AF8" w14:textId="77777777" w:rsidR="0009316F" w:rsidRPr="00261CCE" w:rsidRDefault="0009316F" w:rsidP="00C439AF">
            <w:pPr>
              <w:spacing w:before="40" w:after="40" w:line="220" w:lineRule="exact"/>
              <w:jc w:val="center"/>
              <w:rPr>
                <w:rFonts w:eastAsia="PMingLiU"/>
                <w:sz w:val="18"/>
              </w:rPr>
            </w:pPr>
            <w:r w:rsidRPr="00261CCE">
              <w:rPr>
                <w:sz w:val="18"/>
                <w:szCs w:val="18"/>
              </w:rPr>
              <w:t>(28)</w:t>
            </w:r>
          </w:p>
        </w:tc>
        <w:tc>
          <w:tcPr>
            <w:tcW w:w="851" w:type="dxa"/>
            <w:shd w:val="clear" w:color="auto" w:fill="auto"/>
            <w:vAlign w:val="bottom"/>
          </w:tcPr>
          <w:p w14:paraId="0AF9997E"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00B050"/>
                <w:sz w:val="28"/>
                <w:szCs w:val="28"/>
              </w:rPr>
              <w:t>ä</w:t>
            </w:r>
          </w:p>
          <w:p w14:paraId="248231BE" w14:textId="77777777" w:rsidR="0009316F" w:rsidRPr="00261CCE" w:rsidRDefault="0009316F" w:rsidP="00C439AF">
            <w:pPr>
              <w:spacing w:before="40" w:after="40" w:line="220" w:lineRule="exact"/>
              <w:jc w:val="center"/>
              <w:rPr>
                <w:rFonts w:eastAsia="PMingLiU"/>
                <w:sz w:val="18"/>
              </w:rPr>
            </w:pPr>
            <w:r w:rsidRPr="00261CCE">
              <w:rPr>
                <w:sz w:val="18"/>
                <w:szCs w:val="18"/>
              </w:rPr>
              <w:t>(40)</w:t>
            </w:r>
          </w:p>
        </w:tc>
        <w:tc>
          <w:tcPr>
            <w:tcW w:w="992" w:type="dxa"/>
            <w:shd w:val="clear" w:color="auto" w:fill="auto"/>
            <w:vAlign w:val="bottom"/>
          </w:tcPr>
          <w:p w14:paraId="31BB1DFE" w14:textId="77777777" w:rsidR="0009316F" w:rsidRPr="00261CCE" w:rsidRDefault="0009316F" w:rsidP="00C439AF">
            <w:pPr>
              <w:keepNext/>
              <w:spacing w:after="120"/>
              <w:jc w:val="center"/>
              <w:rPr>
                <w:color w:val="00B050"/>
                <w:sz w:val="28"/>
                <w:szCs w:val="28"/>
              </w:rPr>
            </w:pPr>
            <w:r w:rsidRPr="00261CCE">
              <w:rPr>
                <w:rFonts w:ascii="Wingdings" w:eastAsia="Wingdings" w:hAnsi="Wingdings" w:cs="Wingdings"/>
                <w:color w:val="FF0000"/>
                <w:sz w:val="28"/>
                <w:szCs w:val="28"/>
              </w:rPr>
              <w:t>æ</w:t>
            </w:r>
          </w:p>
          <w:p w14:paraId="727A5630" w14:textId="77777777" w:rsidR="0009316F" w:rsidRPr="00261CCE" w:rsidRDefault="0009316F" w:rsidP="00C439AF">
            <w:pPr>
              <w:spacing w:before="40" w:after="40" w:line="220" w:lineRule="exact"/>
              <w:jc w:val="center"/>
              <w:rPr>
                <w:rFonts w:eastAsia="PMingLiU"/>
                <w:sz w:val="18"/>
              </w:rPr>
            </w:pPr>
            <w:r w:rsidRPr="00261CCE">
              <w:rPr>
                <w:sz w:val="18"/>
                <w:szCs w:val="18"/>
              </w:rPr>
              <w:t>(38)</w:t>
            </w:r>
          </w:p>
        </w:tc>
        <w:tc>
          <w:tcPr>
            <w:tcW w:w="1559" w:type="dxa"/>
            <w:shd w:val="clear" w:color="auto" w:fill="auto"/>
            <w:vAlign w:val="bottom"/>
          </w:tcPr>
          <w:p w14:paraId="5A496320" w14:textId="77777777" w:rsidR="0009316F" w:rsidRPr="00261CCE" w:rsidRDefault="0009316F" w:rsidP="00C439AF">
            <w:pPr>
              <w:keepNext/>
              <w:spacing w:after="120"/>
              <w:jc w:val="center"/>
              <w:rPr>
                <w:color w:val="FF0000"/>
                <w:sz w:val="28"/>
                <w:szCs w:val="28"/>
              </w:rPr>
            </w:pPr>
            <w:r w:rsidRPr="00261CCE">
              <w:rPr>
                <w:rFonts w:ascii="Wingdings" w:eastAsia="Wingdings" w:hAnsi="Wingdings" w:cs="Wingdings"/>
                <w:color w:val="00B050"/>
                <w:sz w:val="28"/>
                <w:szCs w:val="28"/>
              </w:rPr>
              <w:t>ä</w:t>
            </w:r>
          </w:p>
          <w:p w14:paraId="4C6CADD9" w14:textId="77777777" w:rsidR="0009316F" w:rsidRPr="00261CCE" w:rsidRDefault="0009316F" w:rsidP="00C439AF">
            <w:pPr>
              <w:spacing w:before="40" w:after="40" w:line="220" w:lineRule="exact"/>
              <w:jc w:val="center"/>
              <w:rPr>
                <w:rFonts w:eastAsia="PMingLiU"/>
                <w:sz w:val="18"/>
              </w:rPr>
            </w:pPr>
            <w:r w:rsidRPr="00261CCE">
              <w:rPr>
                <w:sz w:val="18"/>
                <w:szCs w:val="18"/>
              </w:rPr>
              <w:t>(55)</w:t>
            </w:r>
          </w:p>
        </w:tc>
      </w:tr>
      <w:tr w:rsidR="0009316F" w:rsidRPr="00261CCE" w14:paraId="2EA110CB" w14:textId="77777777" w:rsidTr="00C439AF">
        <w:trPr>
          <w:trHeight w:hRule="exact" w:val="57"/>
        </w:trPr>
        <w:tc>
          <w:tcPr>
            <w:tcW w:w="1052" w:type="dxa"/>
            <w:tcBorders>
              <w:bottom w:val="single" w:sz="12" w:space="0" w:color="auto"/>
            </w:tcBorders>
            <w:shd w:val="clear" w:color="auto" w:fill="auto"/>
            <w:vAlign w:val="bottom"/>
          </w:tcPr>
          <w:p w14:paraId="063837F2" w14:textId="77777777" w:rsidR="0009316F" w:rsidRPr="00261CCE" w:rsidRDefault="0009316F" w:rsidP="00C439AF">
            <w:pPr>
              <w:spacing w:before="40" w:after="40" w:line="220" w:lineRule="exact"/>
              <w:rPr>
                <w:sz w:val="18"/>
                <w:szCs w:val="18"/>
              </w:rPr>
            </w:pPr>
          </w:p>
        </w:tc>
        <w:tc>
          <w:tcPr>
            <w:tcW w:w="1075" w:type="dxa"/>
            <w:tcBorders>
              <w:bottom w:val="single" w:sz="12" w:space="0" w:color="auto"/>
            </w:tcBorders>
            <w:shd w:val="clear" w:color="auto" w:fill="auto"/>
            <w:vAlign w:val="bottom"/>
          </w:tcPr>
          <w:p w14:paraId="35C6F0F8"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bottom"/>
          </w:tcPr>
          <w:p w14:paraId="2C1728D5" w14:textId="77777777" w:rsidR="0009316F" w:rsidRPr="00261CCE" w:rsidRDefault="0009316F" w:rsidP="00C439AF">
            <w:pPr>
              <w:keepNext/>
              <w:spacing w:after="120"/>
              <w:jc w:val="center"/>
              <w:rPr>
                <w:rFonts w:ascii="Wingdings" w:hAnsi="Wingdings" w:cs="Wingdings"/>
                <w:color w:val="FF0000"/>
                <w:sz w:val="28"/>
                <w:szCs w:val="28"/>
              </w:rPr>
            </w:pPr>
          </w:p>
        </w:tc>
        <w:tc>
          <w:tcPr>
            <w:tcW w:w="850" w:type="dxa"/>
            <w:tcBorders>
              <w:bottom w:val="single" w:sz="12" w:space="0" w:color="auto"/>
            </w:tcBorders>
            <w:shd w:val="clear" w:color="auto" w:fill="auto"/>
            <w:vAlign w:val="bottom"/>
          </w:tcPr>
          <w:p w14:paraId="0F8632B2"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bottom w:val="single" w:sz="12" w:space="0" w:color="auto"/>
            </w:tcBorders>
            <w:shd w:val="clear" w:color="auto" w:fill="auto"/>
            <w:vAlign w:val="bottom"/>
          </w:tcPr>
          <w:p w14:paraId="2A539CCC"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bottom w:val="single" w:sz="12" w:space="0" w:color="auto"/>
            </w:tcBorders>
            <w:shd w:val="clear" w:color="auto" w:fill="auto"/>
            <w:vAlign w:val="bottom"/>
          </w:tcPr>
          <w:p w14:paraId="64B3188C" w14:textId="77777777" w:rsidR="0009316F" w:rsidRPr="00261CCE" w:rsidRDefault="0009316F" w:rsidP="00C439AF">
            <w:pPr>
              <w:keepNext/>
              <w:spacing w:after="120"/>
              <w:jc w:val="center"/>
              <w:rPr>
                <w:rFonts w:ascii="Wingdings" w:hAnsi="Wingdings" w:cs="Wingdings"/>
                <w:color w:val="FF0000"/>
                <w:sz w:val="28"/>
                <w:szCs w:val="28"/>
              </w:rPr>
            </w:pPr>
          </w:p>
        </w:tc>
        <w:tc>
          <w:tcPr>
            <w:tcW w:w="1559" w:type="dxa"/>
            <w:tcBorders>
              <w:bottom w:val="single" w:sz="12" w:space="0" w:color="auto"/>
            </w:tcBorders>
            <w:shd w:val="clear" w:color="auto" w:fill="auto"/>
            <w:vAlign w:val="bottom"/>
          </w:tcPr>
          <w:p w14:paraId="45C195EA" w14:textId="77777777" w:rsidR="0009316F" w:rsidRPr="00261CCE" w:rsidRDefault="0009316F" w:rsidP="00C439AF">
            <w:pPr>
              <w:keepNext/>
              <w:spacing w:after="120"/>
              <w:jc w:val="center"/>
              <w:rPr>
                <w:rFonts w:ascii="Wingdings" w:hAnsi="Wingdings" w:cs="Wingdings"/>
                <w:color w:val="00B050"/>
                <w:sz w:val="28"/>
                <w:szCs w:val="28"/>
              </w:rPr>
            </w:pPr>
          </w:p>
        </w:tc>
      </w:tr>
    </w:tbl>
    <w:p w14:paraId="740E0CF7" w14:textId="77777777" w:rsidR="0009316F" w:rsidRPr="00261CCE" w:rsidRDefault="0009316F" w:rsidP="0009316F">
      <w:pPr>
        <w:spacing w:before="120" w:line="240" w:lineRule="auto"/>
        <w:ind w:left="1134" w:firstLine="561"/>
        <w:textAlignment w:val="baseline"/>
        <w:rPr>
          <w:rFonts w:ascii="Segoe UI" w:hAnsi="Segoe UI" w:cs="Segoe UI"/>
          <w:sz w:val="18"/>
          <w:szCs w:val="18"/>
          <w:lang w:eastAsia="zh-CN"/>
        </w:rPr>
      </w:pPr>
      <w:r w:rsidRPr="00261CCE">
        <w:rPr>
          <w:i/>
          <w:iCs/>
          <w:sz w:val="18"/>
          <w:szCs w:val="18"/>
          <w:lang w:eastAsia="zh-CN"/>
        </w:rPr>
        <w:t>Source</w:t>
      </w:r>
      <w:r w:rsidRPr="00261CCE">
        <w:rPr>
          <w:sz w:val="18"/>
          <w:szCs w:val="18"/>
          <w:lang w:eastAsia="zh-CN"/>
        </w:rPr>
        <w:t>: Transparency International, Corruption Perceptions Index, available at www.transparency.org/en/cpi/2020/index.   </w:t>
      </w:r>
    </w:p>
    <w:p w14:paraId="5A145C09" w14:textId="77777777" w:rsidR="0009316F" w:rsidRPr="00261CCE" w:rsidRDefault="0009316F" w:rsidP="0009316F">
      <w:pPr>
        <w:spacing w:after="120"/>
        <w:ind w:left="1134" w:right="1134" w:firstLine="567"/>
        <w:jc w:val="both"/>
        <w:rPr>
          <w:sz w:val="18"/>
          <w:szCs w:val="18"/>
        </w:rPr>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 xml:space="preserve">improving or </w:t>
      </w:r>
      <w:r w:rsidRPr="00261CCE">
        <w:rPr>
          <w:rFonts w:ascii="Wingdings" w:eastAsia="Wingdings" w:hAnsi="Wingdings" w:cs="Wingdings"/>
          <w:color w:val="FF0000"/>
          <w:sz w:val="28"/>
          <w:szCs w:val="28"/>
        </w:rPr>
        <w:t>æ</w:t>
      </w:r>
      <w:r w:rsidRPr="00261CCE">
        <w:t xml:space="preserve"> </w:t>
      </w:r>
      <w:r w:rsidRPr="00261CCE">
        <w:rPr>
          <w:sz w:val="18"/>
          <w:szCs w:val="18"/>
        </w:rPr>
        <w:t>worsening over period 2012–2020, with 0 being the highest and 100 being the lowest level of corruption. Simple average of national values per subregion. No data for Andorra, Liechtenstein, Monaco or San Marino.</w:t>
      </w:r>
    </w:p>
    <w:p w14:paraId="5A1BAC4B"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17.</w:t>
      </w:r>
      <w:r w:rsidRPr="00261CCE">
        <w:rPr>
          <w:b/>
        </w:rPr>
        <w:tab/>
        <w:t>Sustainable tourism and circular economy</w:t>
      </w:r>
    </w:p>
    <w:p w14:paraId="1D742489" w14:textId="77777777" w:rsidR="003D3960" w:rsidRDefault="000C0F47" w:rsidP="0009316F">
      <w:pPr>
        <w:spacing w:after="120"/>
        <w:ind w:left="1134" w:right="1134"/>
        <w:jc w:val="both"/>
      </w:pPr>
      <w:r>
        <w:t>37</w:t>
      </w:r>
      <w:r w:rsidR="0009316F" w:rsidRPr="00261CCE">
        <w:t>.</w:t>
      </w:r>
      <w:r w:rsidR="0009316F" w:rsidRPr="00261CCE">
        <w:tab/>
        <w:t xml:space="preserve">A pan-European circular tourism economy will be more resilient to and better equipped to cope with future crises, be they economic, health-related, or derived from the </w:t>
      </w:r>
      <w:r w:rsidR="0009316F" w:rsidRPr="00261CCE">
        <w:lastRenderedPageBreak/>
        <w:t xml:space="preserve">environmental challenges that the region faces. This </w:t>
      </w:r>
      <w:r w:rsidR="003B13D4">
        <w:t xml:space="preserve">is </w:t>
      </w:r>
      <w:r w:rsidR="0009316F" w:rsidRPr="00261CCE">
        <w:t xml:space="preserve">essential for the sustainable development of tourism </w:t>
      </w:r>
      <w:r w:rsidR="00643B80">
        <w:t xml:space="preserve">and </w:t>
      </w:r>
      <w:r w:rsidR="00366A47">
        <w:t xml:space="preserve">the transition to </w:t>
      </w:r>
      <w:r w:rsidR="00AA1CD8">
        <w:t xml:space="preserve">green </w:t>
      </w:r>
      <w:r w:rsidR="00643B80">
        <w:t>travel</w:t>
      </w:r>
      <w:r w:rsidR="0009316F" w:rsidRPr="00261CCE">
        <w:t xml:space="preserve"> and can contribute to the achievement of the Sustainable Development Goals</w:t>
      </w:r>
      <w:r w:rsidR="0092211B">
        <w:t xml:space="preserve"> </w:t>
      </w:r>
      <w:r w:rsidR="002C6D60">
        <w:t>(</w:t>
      </w:r>
      <w:r w:rsidR="002B1309">
        <w:t xml:space="preserve">such as </w:t>
      </w:r>
      <w:r w:rsidR="002C6D60">
        <w:t xml:space="preserve">Goals </w:t>
      </w:r>
      <w:r w:rsidR="002B1309">
        <w:t>6, 7, 8, 11, 12, 13, 14 and 15</w:t>
      </w:r>
      <w:r w:rsidR="002C6D60">
        <w:t>)</w:t>
      </w:r>
      <w:r w:rsidR="0009316F" w:rsidRPr="00261CCE">
        <w:t>. With the rapid growth of tourism</w:t>
      </w:r>
      <w:r w:rsidR="00411EED" w:rsidRPr="00411EED">
        <w:t xml:space="preserve"> </w:t>
      </w:r>
      <w:r w:rsidR="00411EED">
        <w:t>prior to the COVID-19 pandemic</w:t>
      </w:r>
      <w:r w:rsidR="0009316F" w:rsidRPr="00261CCE">
        <w:t xml:space="preserve">, its impacts </w:t>
      </w:r>
      <w:r w:rsidR="00E740E2">
        <w:t>we</w:t>
      </w:r>
      <w:r w:rsidR="0009316F" w:rsidRPr="00261CCE">
        <w:t>re growing despite efficiency improvements, increasingly contributing to environmental crises</w:t>
      </w:r>
      <w:r w:rsidR="004F1424">
        <w:t>, biodiversity loss</w:t>
      </w:r>
      <w:r w:rsidR="0009316F" w:rsidRPr="00261CCE">
        <w:t xml:space="preserve"> and social issues</w:t>
      </w:r>
      <w:r w:rsidR="00946BFD">
        <w:t>. A</w:t>
      </w:r>
      <w:r w:rsidR="00717EF5">
        <w:t xml:space="preserve"> return to business as usual after the pandemic must </w:t>
      </w:r>
      <w:r w:rsidR="002C6D60">
        <w:t xml:space="preserve">therefore </w:t>
      </w:r>
      <w:r w:rsidR="00717EF5">
        <w:t>be avoided</w:t>
      </w:r>
      <w:r w:rsidR="00C22BB1">
        <w:t xml:space="preserve"> through a </w:t>
      </w:r>
      <w:r w:rsidR="00F43F48">
        <w:t>transformation</w:t>
      </w:r>
      <w:r w:rsidR="00C22BB1">
        <w:t xml:space="preserve"> to </w:t>
      </w:r>
      <w:r w:rsidR="00772265">
        <w:t>sustainable tourism</w:t>
      </w:r>
      <w:r w:rsidR="0009316F" w:rsidRPr="00261CCE">
        <w:t xml:space="preserve">. </w:t>
      </w:r>
      <w:r w:rsidR="00464CAE" w:rsidRPr="00464CAE">
        <w:t>Circularity is a major strategy for the transformation and for the recovery of the sector</w:t>
      </w:r>
      <w:r w:rsidR="00797B95">
        <w:t xml:space="preserve"> and </w:t>
      </w:r>
      <w:r w:rsidR="00A2056D">
        <w:t>for</w:t>
      </w:r>
      <w:r w:rsidR="00797B95">
        <w:t xml:space="preserve"> sustainable development overall </w:t>
      </w:r>
      <w:r w:rsidR="00754BFA">
        <w:t xml:space="preserve">and </w:t>
      </w:r>
      <w:r w:rsidR="00224325">
        <w:t>w</w:t>
      </w:r>
      <w:r w:rsidR="00CA4203">
        <w:t>ill</w:t>
      </w:r>
      <w:r w:rsidR="00754BFA">
        <w:t xml:space="preserve"> contribute </w:t>
      </w:r>
      <w:r w:rsidR="00224325">
        <w:t>to more resilient</w:t>
      </w:r>
      <w:r w:rsidR="00754BFA" w:rsidRPr="00754BFA">
        <w:t xml:space="preserve"> societies and economies</w:t>
      </w:r>
      <w:r w:rsidR="00464CAE" w:rsidRPr="00464CAE">
        <w:t>.</w:t>
      </w:r>
      <w:r w:rsidR="00464CAE">
        <w:t xml:space="preserve"> </w:t>
      </w:r>
      <w:r w:rsidR="0009316F" w:rsidRPr="00261CCE">
        <w:t>The application of circular principles in tourism is</w:t>
      </w:r>
      <w:r w:rsidR="007B3561">
        <w:t>,</w:t>
      </w:r>
      <w:r w:rsidR="0009316F" w:rsidRPr="00261CCE">
        <w:t xml:space="preserve"> </w:t>
      </w:r>
      <w:r w:rsidR="00464CAE">
        <w:t>however</w:t>
      </w:r>
      <w:r w:rsidR="007B3561">
        <w:t>,</w:t>
      </w:r>
      <w:r w:rsidR="00464CAE">
        <w:t xml:space="preserve"> </w:t>
      </w:r>
      <w:r w:rsidR="0009316F" w:rsidRPr="00261CCE">
        <w:t xml:space="preserve">still in its infancy, apart from individual cases. </w:t>
      </w:r>
    </w:p>
    <w:p w14:paraId="72ADB014" w14:textId="7D19498B" w:rsidR="0009316F" w:rsidRPr="00261CCE" w:rsidRDefault="003D3960" w:rsidP="0009316F">
      <w:pPr>
        <w:spacing w:after="120"/>
        <w:ind w:left="1134" w:right="1134"/>
        <w:jc w:val="both"/>
      </w:pPr>
      <w:r>
        <w:t>38.</w:t>
      </w:r>
      <w:r>
        <w:tab/>
      </w:r>
      <w:r w:rsidR="0009316F" w:rsidRPr="00261CCE">
        <w:t>Key areas</w:t>
      </w:r>
      <w:r w:rsidR="00C149D3">
        <w:t xml:space="preserve"> in</w:t>
      </w:r>
      <w:r w:rsidR="0009316F" w:rsidRPr="00261CCE">
        <w:t xml:space="preserve"> </w:t>
      </w:r>
      <w:r w:rsidR="00C149D3">
        <w:t>and sub-sectors of</w:t>
      </w:r>
      <w:r w:rsidR="0009316F" w:rsidRPr="00261CCE">
        <w:t xml:space="preserve"> tourism with a strong relation to both Sustainable Development Goals and the circular economy are</w:t>
      </w:r>
      <w:r w:rsidR="008E530C">
        <w:t xml:space="preserve">: </w:t>
      </w:r>
      <w:r w:rsidR="0009316F" w:rsidRPr="00261CCE">
        <w:t xml:space="preserve">energy use and emissions in transport, accommodation </w:t>
      </w:r>
      <w:r w:rsidR="00052A1D">
        <w:t xml:space="preserve">(including cooling) </w:t>
      </w:r>
      <w:r w:rsidR="0009316F" w:rsidRPr="00261CCE">
        <w:t>and restaurants</w:t>
      </w:r>
      <w:r w:rsidR="008E530C">
        <w:t>;</w:t>
      </w:r>
      <w:r w:rsidR="0009316F" w:rsidRPr="00261CCE">
        <w:t xml:space="preserve"> waste management </w:t>
      </w:r>
      <w:r w:rsidR="00851787">
        <w:t>for</w:t>
      </w:r>
      <w:r w:rsidR="00851787" w:rsidRPr="00261CCE">
        <w:t xml:space="preserve"> </w:t>
      </w:r>
      <w:r w:rsidR="00812C65">
        <w:t xml:space="preserve">destinations, </w:t>
      </w:r>
      <w:r w:rsidR="0009316F" w:rsidRPr="00261CCE">
        <w:t>accommodation and restaurants (including food waste</w:t>
      </w:r>
      <w:r w:rsidR="007E0B8D">
        <w:t xml:space="preserve"> and plastics</w:t>
      </w:r>
      <w:r w:rsidR="0009316F" w:rsidRPr="00261CCE">
        <w:t>)</w:t>
      </w:r>
      <w:r w:rsidR="00F76C77">
        <w:t xml:space="preserve">; </w:t>
      </w:r>
      <w:r w:rsidR="0009316F" w:rsidRPr="00261CCE">
        <w:t>water consumption and generation of wastewater in general</w:t>
      </w:r>
      <w:r w:rsidR="00F76C77">
        <w:t>;</w:t>
      </w:r>
      <w:r w:rsidR="0009316F" w:rsidRPr="00261CCE">
        <w:t xml:space="preserve"> and resource usage in building</w:t>
      </w:r>
      <w:r w:rsidR="007207F6">
        <w:t xml:space="preserve"> and construction</w:t>
      </w:r>
      <w:r w:rsidR="0009316F" w:rsidRPr="00261CCE">
        <w:t>, for interiors, and in amenities. Opportunities may be most straightforward in construction and operations of accommodations and restaurants</w:t>
      </w:r>
      <w:r w:rsidR="001268BA">
        <w:t xml:space="preserve">, </w:t>
      </w:r>
      <w:r w:rsidR="001268BA" w:rsidRPr="00261CCE">
        <w:t>including waste management</w:t>
      </w:r>
      <w:r w:rsidR="0009316F" w:rsidRPr="00261CCE">
        <w:t xml:space="preserve">. Tourism, under the condition of its sustainable development, has the potential for long-lasting positive impacts beyond the sector itself, due to its interlinkages with other economic activities and the direct producer-consumer interaction. Indicator development for the monitoring of circularity in tourism </w:t>
      </w:r>
      <w:r w:rsidR="00582802" w:rsidRPr="00582802">
        <w:t xml:space="preserve">has yet to overcome </w:t>
      </w:r>
      <w:r w:rsidR="0009316F" w:rsidRPr="00261CCE">
        <w:t xml:space="preserve">data availability </w:t>
      </w:r>
      <w:r w:rsidR="00582802">
        <w:t>challenges</w:t>
      </w:r>
      <w:r w:rsidR="0009316F" w:rsidRPr="00261CCE">
        <w:t xml:space="preserve"> and definitional issues (see table 17 below</w:t>
      </w:r>
      <w:r w:rsidR="00B87C3E">
        <w:t xml:space="preserve"> indicators used in the assessment</w:t>
      </w:r>
      <w:r w:rsidR="0009316F" w:rsidRPr="00261CCE">
        <w:t>).</w:t>
      </w:r>
      <w:r w:rsidR="001C5EC3">
        <w:t xml:space="preserve"> </w:t>
      </w:r>
      <w:r w:rsidR="004E5797">
        <w:t xml:space="preserve">The </w:t>
      </w:r>
      <w:r w:rsidR="001C5EC3">
        <w:t xml:space="preserve">development and accessibility </w:t>
      </w:r>
      <w:r w:rsidR="004E5797">
        <w:t>of data on c</w:t>
      </w:r>
      <w:r w:rsidR="00906A77">
        <w:t xml:space="preserve">ircular economy in the </w:t>
      </w:r>
      <w:r w:rsidR="004E5797">
        <w:t>tourism</w:t>
      </w:r>
      <w:r w:rsidR="00906A77">
        <w:t xml:space="preserve"> sector </w:t>
      </w:r>
      <w:r w:rsidR="00E5098B">
        <w:t>is</w:t>
      </w:r>
      <w:r w:rsidR="004E5797">
        <w:t xml:space="preserve"> </w:t>
      </w:r>
      <w:r w:rsidR="004E5797" w:rsidRPr="004E5797">
        <w:t>an essential step to</w:t>
      </w:r>
      <w:r w:rsidR="00163901">
        <w:t>:</w:t>
      </w:r>
      <w:r w:rsidR="004E5797" w:rsidRPr="004E5797">
        <w:t xml:space="preserve"> evaluate the most effective and high impact investments in sustainable tourism</w:t>
      </w:r>
      <w:r w:rsidR="00163901">
        <w:t>;</w:t>
      </w:r>
      <w:r w:rsidR="004E5797" w:rsidRPr="004E5797">
        <w:t xml:space="preserve"> and facilitate large-scale private sector and multilateral investments in sustainable tourism business models.</w:t>
      </w:r>
    </w:p>
    <w:p w14:paraId="0C48F29E" w14:textId="6D04CF64"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r>
      <w:r w:rsidRPr="00261CCE">
        <w:rPr>
          <w:b/>
        </w:rPr>
        <w:tab/>
        <w:t>Recommendation</w:t>
      </w:r>
      <w:r w:rsidR="000C0F47">
        <w:rPr>
          <w:b/>
        </w:rPr>
        <w:t>s</w:t>
      </w:r>
      <w:r w:rsidRPr="00261CCE">
        <w:rPr>
          <w:b/>
        </w:rPr>
        <w:t xml:space="preserve">: </w:t>
      </w:r>
    </w:p>
    <w:p w14:paraId="571D38B9" w14:textId="3D936467" w:rsidR="00840538" w:rsidRDefault="000C0F47" w:rsidP="0009316F">
      <w:pPr>
        <w:spacing w:after="120"/>
        <w:ind w:left="1134" w:right="1134"/>
        <w:jc w:val="both"/>
      </w:pPr>
      <w:r>
        <w:t>3</w:t>
      </w:r>
      <w:r w:rsidR="003D3960">
        <w:t>9</w:t>
      </w:r>
      <w:r w:rsidR="0009316F" w:rsidRPr="00261CCE">
        <w:t>.</w:t>
      </w:r>
      <w:r w:rsidR="0009316F" w:rsidRPr="00261CCE">
        <w:tab/>
      </w:r>
      <w:r w:rsidR="00CD0195" w:rsidRPr="00CD0195">
        <w:t>Governments should work together with tourism destination management organi</w:t>
      </w:r>
      <w:r w:rsidR="00CD0195">
        <w:t>z</w:t>
      </w:r>
      <w:r w:rsidR="00CD0195" w:rsidRPr="00CD0195">
        <w:t xml:space="preserve">ations, cities and regions </w:t>
      </w:r>
      <w:r w:rsidR="00A64EBA">
        <w:t xml:space="preserve">to </w:t>
      </w:r>
      <w:r w:rsidR="00CD0195" w:rsidRPr="00CD0195">
        <w:t>pla</w:t>
      </w:r>
      <w:r w:rsidR="00A64EBA">
        <w:t>n</w:t>
      </w:r>
      <w:r w:rsidR="00CD0195" w:rsidRPr="00CD0195">
        <w:t xml:space="preserve"> the transition to circular business models. Governments are responsible for key policies in local public services such as transport, solid waste, water and energy, all of which affect tourism operations, investments, economic growth and environmental quality. The COVID-19 pandemic demonstrated acutely the supply challenges present due to fragmented and complex tourism value chains. In seeking resilience, </w:t>
      </w:r>
      <w:r w:rsidR="006516A7">
        <w:t>G</w:t>
      </w:r>
      <w:r w:rsidR="00CD0195" w:rsidRPr="00CD0195">
        <w:t xml:space="preserve">overnments and tourism businesses should </w:t>
      </w:r>
      <w:r w:rsidR="000245EF">
        <w:t xml:space="preserve">therefore </w:t>
      </w:r>
      <w:r w:rsidR="00CD0195" w:rsidRPr="00CD0195">
        <w:t>be moving towards shortened supply chains, collaborative infrastructures and enhanced resource efficiency, as well as sustainable consumption and production patterns.</w:t>
      </w:r>
      <w:r w:rsidR="006516A7">
        <w:t xml:space="preserve"> </w:t>
      </w:r>
      <w:r w:rsidR="00F4107E" w:rsidRPr="00F4107E">
        <w:t>Governments</w:t>
      </w:r>
      <w:r w:rsidR="004A6414">
        <w:t xml:space="preserve"> also</w:t>
      </w:r>
      <w:r w:rsidR="00F4107E" w:rsidRPr="00F4107E">
        <w:t xml:space="preserve"> should facilitate access to knowledge, information, and finance on circularity for </w:t>
      </w:r>
      <w:r w:rsidR="005C389F" w:rsidRPr="005C389F">
        <w:t>small- and medium-sized enterprises (</w:t>
      </w:r>
      <w:r w:rsidR="00F4107E" w:rsidRPr="00F4107E">
        <w:t>SMEs</w:t>
      </w:r>
      <w:r w:rsidR="005C389F">
        <w:t>)</w:t>
      </w:r>
      <w:r w:rsidR="00F4107E" w:rsidRPr="00F4107E">
        <w:t xml:space="preserve"> operating in the tourism sector, as well as for the promotion of domestic and regional tourism, with scale up of sustainable mobility and climate positive tourism models. </w:t>
      </w:r>
      <w:r w:rsidR="004A6414">
        <w:t xml:space="preserve">Further, </w:t>
      </w:r>
      <w:r w:rsidR="00F4107E" w:rsidRPr="00F4107E">
        <w:t xml:space="preserve">Governments should integrate </w:t>
      </w:r>
      <w:r w:rsidR="004A6414">
        <w:t>circular economy</w:t>
      </w:r>
      <w:r w:rsidR="00F4107E" w:rsidRPr="00F4107E">
        <w:t xml:space="preserve"> principles in tourism-related legislation, policies, plans and strategies, especially with </w:t>
      </w:r>
      <w:r w:rsidR="000245EF">
        <w:t>a</w:t>
      </w:r>
      <w:r w:rsidR="000245EF" w:rsidRPr="00F4107E">
        <w:t xml:space="preserve"> </w:t>
      </w:r>
      <w:r w:rsidR="00F4107E" w:rsidRPr="00F4107E">
        <w:t xml:space="preserve">view to achieve </w:t>
      </w:r>
      <w:r w:rsidR="00EE2233" w:rsidRPr="00261CCE">
        <w:t>Sustainable Development Goals</w:t>
      </w:r>
      <w:r w:rsidR="00F4107E" w:rsidRPr="00F4107E">
        <w:t xml:space="preserve"> and biodiversity and climate agenda targets. Making a circular transition a priority with trackable goals and an allocated budget is critical for the sustainability of the sector. Sustainable investment and finance for the tourism sector should be included in national or local plans. Private and public stakeholders should integrate </w:t>
      </w:r>
      <w:r w:rsidR="00EE2233">
        <w:t>circular economy</w:t>
      </w:r>
      <w:r w:rsidR="00F4107E" w:rsidRPr="00F4107E">
        <w:t xml:space="preserve"> principles into their sustainability strategies and set clear targets </w:t>
      </w:r>
      <w:r w:rsidR="00EE2233">
        <w:t>that</w:t>
      </w:r>
      <w:r w:rsidR="00F4107E" w:rsidRPr="00F4107E">
        <w:t xml:space="preserve"> can be quantified and monitored. </w:t>
      </w:r>
      <w:r w:rsidR="0011206F">
        <w:t>G</w:t>
      </w:r>
      <w:r w:rsidR="0011206F" w:rsidRPr="0011206F">
        <w:t xml:space="preserve">overnments </w:t>
      </w:r>
      <w:r w:rsidR="0011206F">
        <w:t xml:space="preserve">can </w:t>
      </w:r>
      <w:r w:rsidR="0011206F" w:rsidRPr="0011206F">
        <w:t>pilot circularity in tourism by tackling specific issues such as plastic pollution. Such an approach would help industry stakeholders to better understand and operationalize concepts of circularity and value chain coordination and replicate them at a later stage to other topics and operations. This could be done through participation in multi-stakeholder voluntary initiatives such as the Global Tourism Plastics Initiative</w:t>
      </w:r>
      <w:r w:rsidR="00840538">
        <w:t xml:space="preserve">. </w:t>
      </w:r>
    </w:p>
    <w:p w14:paraId="65905AE8" w14:textId="5E3C0076" w:rsidR="0009316F" w:rsidRPr="00261CCE" w:rsidRDefault="00AC01A4" w:rsidP="0009316F">
      <w:pPr>
        <w:spacing w:after="120"/>
        <w:ind w:left="1134" w:right="1134"/>
        <w:jc w:val="both"/>
      </w:pPr>
      <w:r>
        <w:t>40</w:t>
      </w:r>
      <w:r w:rsidR="00840538">
        <w:t xml:space="preserve">. </w:t>
      </w:r>
      <w:r w:rsidR="000C0F47">
        <w:tab/>
      </w:r>
      <w:r w:rsidR="00840538">
        <w:t>More generally,</w:t>
      </w:r>
      <w:r w:rsidR="00F4107E" w:rsidRPr="00F4107E">
        <w:t xml:space="preserve"> </w:t>
      </w:r>
      <w:r w:rsidR="0009316F" w:rsidRPr="00261CCE">
        <w:t xml:space="preserve">Governments should </w:t>
      </w:r>
      <w:r w:rsidR="00940456">
        <w:t>increase</w:t>
      </w:r>
      <w:r w:rsidR="00FC1E4E" w:rsidRPr="00FC1E4E">
        <w:t xml:space="preserve"> responsible travel to natural areas in accordance with the principles of ecotourism, </w:t>
      </w:r>
      <w:r w:rsidR="00DB2199">
        <w:t xml:space="preserve">thus </w:t>
      </w:r>
      <w:r w:rsidR="00FC1E4E" w:rsidRPr="00FC1E4E">
        <w:t>uniting conservation, communities and sustainable travel.</w:t>
      </w:r>
      <w:r w:rsidR="0009316F" w:rsidRPr="00261CCE">
        <w:t xml:space="preserve">  ECE member States need to select specific key-impact tourism indicators to be included in ECE statistical databases. Indicators for circular economy in tourism should be aligned with those being developed for the monitoring of sustainable development in </w:t>
      </w:r>
      <w:r w:rsidR="0009316F" w:rsidRPr="00261CCE">
        <w:lastRenderedPageBreak/>
        <w:t xml:space="preserve">tourism and be compatible with </w:t>
      </w:r>
      <w:r w:rsidR="007A01B9">
        <w:t xml:space="preserve">the </w:t>
      </w:r>
      <w:r w:rsidR="0009316F" w:rsidRPr="00261CCE">
        <w:t>Sustainable Development Goals</w:t>
      </w:r>
      <w:r w:rsidR="007A01B9">
        <w:t xml:space="preserve"> and climate objectives</w:t>
      </w:r>
      <w:r w:rsidR="00163901">
        <w:t>, as well as being</w:t>
      </w:r>
      <w:r w:rsidR="00357040">
        <w:t xml:space="preserve"> in line with the </w:t>
      </w:r>
      <w:r w:rsidR="007B3B94" w:rsidRPr="007B3B94">
        <w:t>United Nations World Tourism Organization (UNWTO) Statistical Framework for Measuring the Sustainability of Tourism</w:t>
      </w:r>
      <w:r w:rsidR="0009316F" w:rsidRPr="00261CCE">
        <w:t>.</w:t>
      </w:r>
    </w:p>
    <w:p w14:paraId="6DFC695E" w14:textId="77777777" w:rsidR="0009316F" w:rsidRPr="00261CCE" w:rsidRDefault="0009316F" w:rsidP="0009316F">
      <w:pPr>
        <w:keepNext/>
        <w:spacing w:before="240" w:after="120"/>
        <w:ind w:left="1134" w:right="1134"/>
        <w:rPr>
          <w:b/>
          <w:bCs/>
          <w:lang w:eastAsia="zh-TW"/>
        </w:rPr>
      </w:pPr>
      <w:r w:rsidRPr="00261CCE">
        <w:rPr>
          <w:lang w:eastAsia="zh-TW"/>
        </w:rPr>
        <w:t>Table 17</w:t>
      </w:r>
      <w:r w:rsidRPr="00261CCE">
        <w:rPr>
          <w:lang w:eastAsia="zh-TW"/>
        </w:rPr>
        <w:br/>
      </w:r>
      <w:r w:rsidRPr="00261CCE">
        <w:rPr>
          <w:b/>
          <w:bCs/>
          <w:lang w:eastAsia="zh-TW"/>
        </w:rPr>
        <w:t>Overview on status and trends for selected indicators on circular economy and sustainable tourism</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1134"/>
        <w:gridCol w:w="851"/>
        <w:gridCol w:w="992"/>
        <w:gridCol w:w="1134"/>
        <w:gridCol w:w="992"/>
      </w:tblGrid>
      <w:tr w:rsidR="0009316F" w:rsidRPr="00261CCE" w14:paraId="27818C52" w14:textId="77777777" w:rsidTr="00C439AF">
        <w:trPr>
          <w:tblHeader/>
        </w:trPr>
        <w:tc>
          <w:tcPr>
            <w:tcW w:w="1276" w:type="dxa"/>
            <w:tcBorders>
              <w:top w:val="single" w:sz="4" w:space="0" w:color="auto"/>
              <w:bottom w:val="single" w:sz="12" w:space="0" w:color="auto"/>
            </w:tcBorders>
            <w:shd w:val="clear" w:color="auto" w:fill="auto"/>
          </w:tcPr>
          <w:p w14:paraId="07633B5B" w14:textId="77777777" w:rsidR="0009316F" w:rsidRPr="00261CCE" w:rsidRDefault="0009316F" w:rsidP="00C439AF">
            <w:pPr>
              <w:suppressAutoHyphens w:val="0"/>
              <w:spacing w:before="80" w:line="200" w:lineRule="exact"/>
              <w:rPr>
                <w:rFonts w:eastAsia="PMingLiU"/>
                <w:i/>
                <w:sz w:val="16"/>
              </w:rPr>
            </w:pPr>
            <w:r w:rsidRPr="00261CCE">
              <w:rPr>
                <w:i/>
                <w:iCs/>
                <w:sz w:val="18"/>
                <w:szCs w:val="18"/>
              </w:rPr>
              <w:t>Indicator</w:t>
            </w:r>
          </w:p>
        </w:tc>
        <w:tc>
          <w:tcPr>
            <w:tcW w:w="992" w:type="dxa"/>
            <w:tcBorders>
              <w:top w:val="single" w:sz="4" w:space="0" w:color="auto"/>
              <w:bottom w:val="single" w:sz="12" w:space="0" w:color="auto"/>
            </w:tcBorders>
            <w:shd w:val="clear" w:color="auto" w:fill="auto"/>
          </w:tcPr>
          <w:p w14:paraId="04E8BD72" w14:textId="77777777" w:rsidR="0009316F" w:rsidRPr="00261CCE" w:rsidRDefault="0009316F" w:rsidP="00C439AF">
            <w:pPr>
              <w:suppressAutoHyphens w:val="0"/>
              <w:spacing w:before="80" w:line="200" w:lineRule="exact"/>
              <w:jc w:val="center"/>
              <w:rPr>
                <w:rFonts w:eastAsia="PMingLiU"/>
                <w:i/>
                <w:sz w:val="18"/>
                <w:szCs w:val="18"/>
              </w:rPr>
            </w:pPr>
            <w:r w:rsidRPr="00261CCE">
              <w:rPr>
                <w:i/>
                <w:iCs/>
                <w:sz w:val="18"/>
                <w:szCs w:val="18"/>
              </w:rPr>
              <w:t>European Union</w:t>
            </w:r>
          </w:p>
        </w:tc>
        <w:tc>
          <w:tcPr>
            <w:tcW w:w="1134" w:type="dxa"/>
            <w:tcBorders>
              <w:top w:val="single" w:sz="4" w:space="0" w:color="auto"/>
              <w:bottom w:val="single" w:sz="12" w:space="0" w:color="auto"/>
            </w:tcBorders>
            <w:shd w:val="clear" w:color="auto" w:fill="auto"/>
          </w:tcPr>
          <w:p w14:paraId="6FB87868" w14:textId="77777777" w:rsidR="0009316F" w:rsidRPr="00261CCE" w:rsidRDefault="0009316F" w:rsidP="00C439AF">
            <w:pPr>
              <w:suppressAutoHyphens w:val="0"/>
              <w:spacing w:before="80" w:line="200" w:lineRule="exact"/>
              <w:jc w:val="center"/>
              <w:rPr>
                <w:rFonts w:eastAsia="PMingLiU"/>
                <w:i/>
                <w:sz w:val="18"/>
                <w:szCs w:val="18"/>
              </w:rPr>
            </w:pPr>
            <w:r w:rsidRPr="00261CCE">
              <w:rPr>
                <w:i/>
                <w:iCs/>
                <w:sz w:val="18"/>
                <w:szCs w:val="18"/>
              </w:rPr>
              <w:t>Western Europe</w:t>
            </w:r>
          </w:p>
        </w:tc>
        <w:tc>
          <w:tcPr>
            <w:tcW w:w="851" w:type="dxa"/>
            <w:tcBorders>
              <w:top w:val="single" w:sz="4" w:space="0" w:color="auto"/>
              <w:bottom w:val="single" w:sz="12" w:space="0" w:color="auto"/>
            </w:tcBorders>
            <w:shd w:val="clear" w:color="auto" w:fill="auto"/>
          </w:tcPr>
          <w:p w14:paraId="12F01E40" w14:textId="77777777" w:rsidR="0009316F" w:rsidRPr="00261CCE" w:rsidRDefault="0009316F" w:rsidP="00C439AF">
            <w:pPr>
              <w:suppressAutoHyphens w:val="0"/>
              <w:spacing w:before="80" w:line="200" w:lineRule="exact"/>
              <w:jc w:val="center"/>
              <w:rPr>
                <w:i/>
                <w:iCs/>
                <w:sz w:val="18"/>
                <w:szCs w:val="18"/>
              </w:rPr>
            </w:pPr>
            <w:r w:rsidRPr="00261CCE">
              <w:rPr>
                <w:i/>
                <w:iCs/>
                <w:sz w:val="18"/>
                <w:szCs w:val="18"/>
              </w:rPr>
              <w:t>Central</w:t>
            </w:r>
          </w:p>
          <w:p w14:paraId="20C54974" w14:textId="77777777" w:rsidR="0009316F" w:rsidRPr="00261CCE" w:rsidRDefault="0009316F" w:rsidP="00C439AF">
            <w:pPr>
              <w:suppressAutoHyphens w:val="0"/>
              <w:spacing w:line="200" w:lineRule="exact"/>
              <w:jc w:val="center"/>
              <w:rPr>
                <w:rFonts w:eastAsia="PMingLiU"/>
                <w:i/>
                <w:sz w:val="18"/>
                <w:szCs w:val="18"/>
              </w:rPr>
            </w:pPr>
            <w:r w:rsidRPr="00261CCE">
              <w:rPr>
                <w:i/>
                <w:iCs/>
                <w:sz w:val="18"/>
                <w:szCs w:val="18"/>
              </w:rPr>
              <w:t>Asia</w:t>
            </w:r>
          </w:p>
        </w:tc>
        <w:tc>
          <w:tcPr>
            <w:tcW w:w="992" w:type="dxa"/>
            <w:tcBorders>
              <w:top w:val="single" w:sz="4" w:space="0" w:color="auto"/>
              <w:bottom w:val="single" w:sz="12" w:space="0" w:color="auto"/>
            </w:tcBorders>
            <w:shd w:val="clear" w:color="auto" w:fill="auto"/>
          </w:tcPr>
          <w:p w14:paraId="4B9FB690" w14:textId="77777777" w:rsidR="0009316F" w:rsidRPr="00261CCE" w:rsidRDefault="0009316F" w:rsidP="00C439AF">
            <w:pPr>
              <w:suppressAutoHyphens w:val="0"/>
              <w:spacing w:before="80" w:line="200" w:lineRule="exact"/>
              <w:jc w:val="center"/>
              <w:rPr>
                <w:rFonts w:eastAsia="PMingLiU"/>
                <w:i/>
                <w:sz w:val="18"/>
                <w:szCs w:val="18"/>
              </w:rPr>
            </w:pPr>
            <w:r w:rsidRPr="00261CCE">
              <w:rPr>
                <w:i/>
                <w:iCs/>
                <w:sz w:val="18"/>
                <w:szCs w:val="18"/>
              </w:rPr>
              <w:t>Eastern Europe</w:t>
            </w:r>
          </w:p>
        </w:tc>
        <w:tc>
          <w:tcPr>
            <w:tcW w:w="1134" w:type="dxa"/>
            <w:tcBorders>
              <w:top w:val="single" w:sz="4" w:space="0" w:color="auto"/>
              <w:bottom w:val="single" w:sz="12" w:space="0" w:color="auto"/>
            </w:tcBorders>
            <w:shd w:val="clear" w:color="auto" w:fill="auto"/>
          </w:tcPr>
          <w:p w14:paraId="492BA0D5" w14:textId="77777777" w:rsidR="0009316F" w:rsidRPr="00261CCE" w:rsidRDefault="0009316F" w:rsidP="00C439AF">
            <w:pPr>
              <w:suppressAutoHyphens w:val="0"/>
              <w:spacing w:before="80" w:line="200" w:lineRule="exact"/>
              <w:jc w:val="center"/>
              <w:rPr>
                <w:rFonts w:eastAsia="PMingLiU"/>
                <w:i/>
                <w:sz w:val="18"/>
                <w:szCs w:val="18"/>
              </w:rPr>
            </w:pPr>
            <w:r w:rsidRPr="00261CCE">
              <w:rPr>
                <w:i/>
                <w:iCs/>
                <w:sz w:val="18"/>
                <w:szCs w:val="18"/>
              </w:rPr>
              <w:t>South-Eastern Europe</w:t>
            </w:r>
          </w:p>
        </w:tc>
        <w:tc>
          <w:tcPr>
            <w:tcW w:w="992" w:type="dxa"/>
            <w:tcBorders>
              <w:top w:val="single" w:sz="4" w:space="0" w:color="auto"/>
              <w:bottom w:val="single" w:sz="12" w:space="0" w:color="auto"/>
            </w:tcBorders>
            <w:shd w:val="clear" w:color="auto" w:fill="auto"/>
          </w:tcPr>
          <w:p w14:paraId="29C5E226" w14:textId="77777777" w:rsidR="0009316F" w:rsidRPr="00261CCE" w:rsidRDefault="0009316F" w:rsidP="00C439AF">
            <w:pPr>
              <w:suppressAutoHyphens w:val="0"/>
              <w:spacing w:before="80" w:line="200" w:lineRule="exact"/>
              <w:jc w:val="center"/>
              <w:rPr>
                <w:rFonts w:eastAsia="PMingLiU"/>
                <w:i/>
                <w:sz w:val="18"/>
                <w:szCs w:val="18"/>
              </w:rPr>
            </w:pPr>
            <w:r w:rsidRPr="00261CCE">
              <w:rPr>
                <w:i/>
                <w:iCs/>
                <w:sz w:val="18"/>
                <w:szCs w:val="18"/>
              </w:rPr>
              <w:t>Pan-European region</w:t>
            </w:r>
          </w:p>
        </w:tc>
      </w:tr>
      <w:tr w:rsidR="0009316F" w:rsidRPr="00261CCE" w14:paraId="110CC188" w14:textId="77777777" w:rsidTr="00C439AF">
        <w:trPr>
          <w:trHeight w:hRule="exact" w:val="82"/>
        </w:trPr>
        <w:tc>
          <w:tcPr>
            <w:tcW w:w="1276" w:type="dxa"/>
            <w:tcBorders>
              <w:top w:val="single" w:sz="12" w:space="0" w:color="auto"/>
            </w:tcBorders>
            <w:shd w:val="clear" w:color="auto" w:fill="auto"/>
          </w:tcPr>
          <w:p w14:paraId="2FF0E854" w14:textId="77777777" w:rsidR="0009316F" w:rsidRPr="00261CCE" w:rsidRDefault="0009316F" w:rsidP="00C439AF">
            <w:pPr>
              <w:suppressAutoHyphens w:val="0"/>
              <w:spacing w:before="40" w:after="40" w:line="220" w:lineRule="exact"/>
              <w:rPr>
                <w:sz w:val="18"/>
                <w:szCs w:val="18"/>
              </w:rPr>
            </w:pPr>
          </w:p>
        </w:tc>
        <w:tc>
          <w:tcPr>
            <w:tcW w:w="992" w:type="dxa"/>
            <w:tcBorders>
              <w:top w:val="single" w:sz="12" w:space="0" w:color="auto"/>
            </w:tcBorders>
            <w:shd w:val="clear" w:color="auto" w:fill="auto"/>
            <w:vAlign w:val="center"/>
          </w:tcPr>
          <w:p w14:paraId="480D9D61"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top w:val="single" w:sz="12" w:space="0" w:color="auto"/>
            </w:tcBorders>
            <w:shd w:val="clear" w:color="auto" w:fill="auto"/>
            <w:vAlign w:val="center"/>
          </w:tcPr>
          <w:p w14:paraId="4D5B7B4A" w14:textId="77777777" w:rsidR="0009316F" w:rsidRPr="00261CCE" w:rsidRDefault="0009316F" w:rsidP="00C439AF">
            <w:pPr>
              <w:keepNext/>
              <w:spacing w:after="120"/>
              <w:jc w:val="center"/>
              <w:rPr>
                <w:rFonts w:ascii="Wingdings" w:hAnsi="Wingdings" w:cs="Wingdings"/>
                <w:color w:val="00B050"/>
                <w:sz w:val="28"/>
                <w:szCs w:val="28"/>
              </w:rPr>
            </w:pPr>
          </w:p>
        </w:tc>
        <w:tc>
          <w:tcPr>
            <w:tcW w:w="851" w:type="dxa"/>
            <w:tcBorders>
              <w:top w:val="single" w:sz="12" w:space="0" w:color="auto"/>
            </w:tcBorders>
            <w:shd w:val="clear" w:color="auto" w:fill="auto"/>
            <w:vAlign w:val="center"/>
          </w:tcPr>
          <w:p w14:paraId="499592AF" w14:textId="77777777" w:rsidR="0009316F" w:rsidRPr="00261CCE" w:rsidRDefault="0009316F" w:rsidP="00C439AF">
            <w:pPr>
              <w:keepNext/>
              <w:spacing w:after="120"/>
              <w:jc w:val="center"/>
              <w:rPr>
                <w:rFonts w:ascii="Wingdings" w:hAnsi="Wingdings" w:cs="Wingdings"/>
                <w:color w:val="00B050"/>
                <w:sz w:val="28"/>
                <w:szCs w:val="28"/>
              </w:rPr>
            </w:pPr>
          </w:p>
        </w:tc>
        <w:tc>
          <w:tcPr>
            <w:tcW w:w="992" w:type="dxa"/>
            <w:tcBorders>
              <w:top w:val="single" w:sz="12" w:space="0" w:color="auto"/>
            </w:tcBorders>
            <w:shd w:val="clear" w:color="auto" w:fill="auto"/>
            <w:vAlign w:val="center"/>
          </w:tcPr>
          <w:p w14:paraId="0A292463" w14:textId="77777777" w:rsidR="0009316F" w:rsidRPr="00261CCE" w:rsidRDefault="0009316F" w:rsidP="00C439AF">
            <w:pPr>
              <w:keepNext/>
              <w:spacing w:after="120"/>
              <w:jc w:val="center"/>
              <w:rPr>
                <w:rFonts w:ascii="Wingdings" w:hAnsi="Wingdings" w:cs="Wingdings"/>
                <w:color w:val="FFC000"/>
                <w:sz w:val="28"/>
                <w:szCs w:val="28"/>
              </w:rPr>
            </w:pPr>
          </w:p>
        </w:tc>
        <w:tc>
          <w:tcPr>
            <w:tcW w:w="1134" w:type="dxa"/>
            <w:tcBorders>
              <w:top w:val="single" w:sz="12" w:space="0" w:color="auto"/>
            </w:tcBorders>
            <w:shd w:val="clear" w:color="auto" w:fill="auto"/>
            <w:vAlign w:val="center"/>
          </w:tcPr>
          <w:p w14:paraId="67659126" w14:textId="77777777" w:rsidR="0009316F" w:rsidRPr="00261CCE" w:rsidRDefault="0009316F" w:rsidP="00C439AF">
            <w:pPr>
              <w:keepNext/>
              <w:spacing w:after="120"/>
              <w:jc w:val="center"/>
              <w:rPr>
                <w:rFonts w:ascii="Wingdings" w:hAnsi="Wingdings" w:cs="Wingdings"/>
                <w:color w:val="FFC000"/>
                <w:sz w:val="28"/>
                <w:szCs w:val="28"/>
              </w:rPr>
            </w:pPr>
          </w:p>
        </w:tc>
        <w:tc>
          <w:tcPr>
            <w:tcW w:w="992" w:type="dxa"/>
            <w:tcBorders>
              <w:top w:val="single" w:sz="12" w:space="0" w:color="auto"/>
            </w:tcBorders>
            <w:shd w:val="clear" w:color="auto" w:fill="auto"/>
            <w:vAlign w:val="center"/>
          </w:tcPr>
          <w:p w14:paraId="3E7E5EEF" w14:textId="77777777" w:rsidR="0009316F" w:rsidRPr="00261CCE" w:rsidRDefault="0009316F" w:rsidP="00C439AF">
            <w:pPr>
              <w:keepNext/>
              <w:spacing w:after="120"/>
              <w:jc w:val="center"/>
              <w:rPr>
                <w:rFonts w:ascii="Wingdings" w:hAnsi="Wingdings" w:cs="Wingdings"/>
                <w:color w:val="FFC000"/>
                <w:sz w:val="28"/>
                <w:szCs w:val="28"/>
              </w:rPr>
            </w:pPr>
          </w:p>
        </w:tc>
      </w:tr>
      <w:tr w:rsidR="0009316F" w:rsidRPr="00261CCE" w14:paraId="387B08E0" w14:textId="77777777" w:rsidTr="00C439AF">
        <w:tc>
          <w:tcPr>
            <w:tcW w:w="1276" w:type="dxa"/>
            <w:shd w:val="clear" w:color="auto" w:fill="auto"/>
          </w:tcPr>
          <w:p w14:paraId="3169358E"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Renewable energy share in total energy consumption (2014–2018) (latest rate, percentage)</w:t>
            </w:r>
          </w:p>
        </w:tc>
        <w:tc>
          <w:tcPr>
            <w:tcW w:w="992" w:type="dxa"/>
            <w:shd w:val="clear" w:color="auto" w:fill="auto"/>
            <w:vAlign w:val="center"/>
          </w:tcPr>
          <w:p w14:paraId="2C385670" w14:textId="77777777" w:rsidR="0009316F" w:rsidRPr="00261CCE" w:rsidRDefault="0009316F" w:rsidP="00C439AF">
            <w:pPr>
              <w:keepNext/>
              <w:spacing w:after="120"/>
              <w:jc w:val="center"/>
              <w:rPr>
                <w:color w:val="FFC000"/>
                <w:sz w:val="28"/>
                <w:szCs w:val="28"/>
              </w:rPr>
            </w:pPr>
            <w:r w:rsidRPr="00261CCE">
              <w:rPr>
                <w:rFonts w:ascii="Wingdings" w:eastAsia="Wingdings" w:hAnsi="Wingdings" w:cs="Wingdings"/>
                <w:color w:val="FFC000"/>
                <w:sz w:val="28"/>
                <w:szCs w:val="28"/>
              </w:rPr>
              <w:t>à</w:t>
            </w:r>
          </w:p>
          <w:p w14:paraId="0858D5F7"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(18)</w:t>
            </w:r>
          </w:p>
        </w:tc>
        <w:tc>
          <w:tcPr>
            <w:tcW w:w="1134" w:type="dxa"/>
            <w:shd w:val="clear" w:color="auto" w:fill="auto"/>
            <w:vAlign w:val="center"/>
          </w:tcPr>
          <w:p w14:paraId="53151EF3"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6C512F49"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(18)</w:t>
            </w:r>
          </w:p>
        </w:tc>
        <w:tc>
          <w:tcPr>
            <w:tcW w:w="851" w:type="dxa"/>
            <w:shd w:val="clear" w:color="auto" w:fill="auto"/>
            <w:vAlign w:val="center"/>
          </w:tcPr>
          <w:p w14:paraId="018FE9A7" w14:textId="77777777" w:rsidR="0009316F" w:rsidRPr="00261CCE" w:rsidRDefault="0009316F" w:rsidP="00C439AF">
            <w:pPr>
              <w:keepNext/>
              <w:spacing w:after="120"/>
              <w:jc w:val="center"/>
              <w:rPr>
                <w:sz w:val="18"/>
                <w:szCs w:val="18"/>
              </w:rPr>
            </w:pPr>
            <w:r w:rsidRPr="00261CCE">
              <w:rPr>
                <w:rFonts w:ascii="Wingdings" w:eastAsia="Wingdings" w:hAnsi="Wingdings" w:cs="Wingdings"/>
                <w:color w:val="00B050"/>
                <w:sz w:val="28"/>
                <w:szCs w:val="28"/>
              </w:rPr>
              <w:t>ä</w:t>
            </w:r>
          </w:p>
          <w:p w14:paraId="09034EF6"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(4)</w:t>
            </w:r>
          </w:p>
        </w:tc>
        <w:tc>
          <w:tcPr>
            <w:tcW w:w="992" w:type="dxa"/>
            <w:shd w:val="clear" w:color="auto" w:fill="auto"/>
            <w:vAlign w:val="center"/>
          </w:tcPr>
          <w:p w14:paraId="5EF8FC0C"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10EA450C"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(4)</w:t>
            </w:r>
          </w:p>
        </w:tc>
        <w:tc>
          <w:tcPr>
            <w:tcW w:w="1134" w:type="dxa"/>
            <w:shd w:val="clear" w:color="auto" w:fill="auto"/>
            <w:vAlign w:val="center"/>
          </w:tcPr>
          <w:p w14:paraId="06678FB7"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4E01155A"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(14)</w:t>
            </w:r>
          </w:p>
        </w:tc>
        <w:tc>
          <w:tcPr>
            <w:tcW w:w="992" w:type="dxa"/>
            <w:shd w:val="clear" w:color="auto" w:fill="auto"/>
            <w:vAlign w:val="center"/>
          </w:tcPr>
          <w:p w14:paraId="1A9D0E8A" w14:textId="77777777" w:rsidR="0009316F" w:rsidRPr="00261CCE" w:rsidRDefault="0009316F" w:rsidP="00C439AF">
            <w:pPr>
              <w:keepNext/>
              <w:spacing w:after="120"/>
              <w:jc w:val="center"/>
              <w:rPr>
                <w:color w:val="FFC000"/>
                <w:sz w:val="18"/>
                <w:szCs w:val="18"/>
              </w:rPr>
            </w:pPr>
            <w:r w:rsidRPr="00261CCE">
              <w:rPr>
                <w:rFonts w:ascii="Wingdings" w:eastAsia="Wingdings" w:hAnsi="Wingdings" w:cs="Wingdings"/>
                <w:color w:val="FFC000"/>
                <w:sz w:val="28"/>
                <w:szCs w:val="28"/>
              </w:rPr>
              <w:t>à</w:t>
            </w:r>
          </w:p>
          <w:p w14:paraId="16438CBE" w14:textId="77777777" w:rsidR="0009316F" w:rsidRPr="00261CCE" w:rsidRDefault="0009316F" w:rsidP="00C439AF">
            <w:pPr>
              <w:suppressAutoHyphens w:val="0"/>
              <w:spacing w:before="40" w:after="40" w:line="220" w:lineRule="exact"/>
              <w:jc w:val="center"/>
              <w:rPr>
                <w:rFonts w:eastAsia="PMingLiU"/>
                <w:sz w:val="18"/>
              </w:rPr>
            </w:pPr>
            <w:r w:rsidRPr="00261CCE">
              <w:rPr>
                <w:sz w:val="18"/>
                <w:szCs w:val="18"/>
              </w:rPr>
              <w:t>(13)</w:t>
            </w:r>
          </w:p>
        </w:tc>
      </w:tr>
      <w:tr w:rsidR="0009316F" w:rsidRPr="00261CCE" w14:paraId="256BC82A" w14:textId="77777777" w:rsidTr="00C439AF">
        <w:tc>
          <w:tcPr>
            <w:tcW w:w="1276" w:type="dxa"/>
            <w:shd w:val="clear" w:color="auto" w:fill="auto"/>
          </w:tcPr>
          <w:p w14:paraId="63104786"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Percentage domestic tourism of total trips by nationals (2019)</w:t>
            </w:r>
          </w:p>
        </w:tc>
        <w:tc>
          <w:tcPr>
            <w:tcW w:w="992" w:type="dxa"/>
            <w:shd w:val="clear" w:color="auto" w:fill="auto"/>
            <w:vAlign w:val="bottom"/>
          </w:tcPr>
          <w:p w14:paraId="0294CAD5"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73</w:t>
            </w:r>
          </w:p>
        </w:tc>
        <w:tc>
          <w:tcPr>
            <w:tcW w:w="1134" w:type="dxa"/>
            <w:shd w:val="clear" w:color="auto" w:fill="auto"/>
            <w:vAlign w:val="bottom"/>
          </w:tcPr>
          <w:p w14:paraId="2135F71E"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54</w:t>
            </w:r>
          </w:p>
        </w:tc>
        <w:tc>
          <w:tcPr>
            <w:tcW w:w="851" w:type="dxa"/>
            <w:shd w:val="clear" w:color="auto" w:fill="auto"/>
            <w:vAlign w:val="bottom"/>
          </w:tcPr>
          <w:p w14:paraId="2E55F40C"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90</w:t>
            </w:r>
          </w:p>
        </w:tc>
        <w:tc>
          <w:tcPr>
            <w:tcW w:w="992" w:type="dxa"/>
            <w:shd w:val="clear" w:color="auto" w:fill="auto"/>
            <w:vAlign w:val="bottom"/>
          </w:tcPr>
          <w:p w14:paraId="3280390A"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79</w:t>
            </w:r>
          </w:p>
        </w:tc>
        <w:tc>
          <w:tcPr>
            <w:tcW w:w="1134" w:type="dxa"/>
            <w:shd w:val="clear" w:color="auto" w:fill="auto"/>
            <w:vAlign w:val="bottom"/>
          </w:tcPr>
          <w:p w14:paraId="7C1915D0"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89</w:t>
            </w:r>
          </w:p>
        </w:tc>
        <w:tc>
          <w:tcPr>
            <w:tcW w:w="992" w:type="dxa"/>
            <w:shd w:val="clear" w:color="auto" w:fill="auto"/>
            <w:vAlign w:val="bottom"/>
          </w:tcPr>
          <w:p w14:paraId="6966BCF4" w14:textId="0DAB3026" w:rsidR="0009316F" w:rsidRPr="00261CCE" w:rsidRDefault="0009316F" w:rsidP="00C439AF">
            <w:pPr>
              <w:suppressAutoHyphens w:val="0"/>
              <w:spacing w:before="40" w:after="40" w:line="600" w:lineRule="auto"/>
              <w:jc w:val="center"/>
              <w:rPr>
                <w:rFonts w:eastAsia="PMingLiU"/>
                <w:sz w:val="18"/>
              </w:rPr>
            </w:pPr>
            <w:r w:rsidRPr="00261CCE">
              <w:rPr>
                <w:sz w:val="18"/>
                <w:szCs w:val="18"/>
              </w:rPr>
              <w:t>73</w:t>
            </w:r>
          </w:p>
        </w:tc>
      </w:tr>
      <w:tr w:rsidR="0009316F" w:rsidRPr="00261CCE" w14:paraId="27737846" w14:textId="77777777" w:rsidTr="00C439AF">
        <w:trPr>
          <w:trHeight w:val="1018"/>
        </w:trPr>
        <w:tc>
          <w:tcPr>
            <w:tcW w:w="1276" w:type="dxa"/>
            <w:shd w:val="clear" w:color="auto" w:fill="auto"/>
          </w:tcPr>
          <w:p w14:paraId="32EABFD6" w14:textId="77777777" w:rsidR="0009316F" w:rsidRPr="00261CCE" w:rsidRDefault="0009316F" w:rsidP="00C439AF">
            <w:pPr>
              <w:suppressAutoHyphens w:val="0"/>
              <w:spacing w:before="40" w:after="40" w:line="220" w:lineRule="exact"/>
              <w:rPr>
                <w:rFonts w:eastAsia="PMingLiU"/>
                <w:sz w:val="18"/>
              </w:rPr>
            </w:pPr>
            <w:r w:rsidRPr="00261CCE">
              <w:rPr>
                <w:sz w:val="18"/>
                <w:szCs w:val="18"/>
              </w:rPr>
              <w:t>Percentage air transport of all inbound trips (2019)</w:t>
            </w:r>
          </w:p>
        </w:tc>
        <w:tc>
          <w:tcPr>
            <w:tcW w:w="992" w:type="dxa"/>
            <w:shd w:val="clear" w:color="auto" w:fill="auto"/>
            <w:vAlign w:val="bottom"/>
          </w:tcPr>
          <w:p w14:paraId="72CE40A4" w14:textId="461D5DE9" w:rsidR="0009316F" w:rsidRPr="00261CCE" w:rsidRDefault="008A64BF" w:rsidP="00C439AF">
            <w:pPr>
              <w:suppressAutoHyphens w:val="0"/>
              <w:spacing w:before="40" w:after="40" w:line="600" w:lineRule="auto"/>
              <w:jc w:val="center"/>
              <w:rPr>
                <w:rFonts w:eastAsia="PMingLiU"/>
                <w:sz w:val="18"/>
              </w:rPr>
            </w:pPr>
            <w:r>
              <w:rPr>
                <w:sz w:val="18"/>
                <w:szCs w:val="18"/>
              </w:rPr>
              <w:t>36</w:t>
            </w:r>
          </w:p>
        </w:tc>
        <w:tc>
          <w:tcPr>
            <w:tcW w:w="1134" w:type="dxa"/>
            <w:shd w:val="clear" w:color="auto" w:fill="auto"/>
            <w:vAlign w:val="bottom"/>
          </w:tcPr>
          <w:p w14:paraId="6D92D3DA"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79</w:t>
            </w:r>
          </w:p>
        </w:tc>
        <w:tc>
          <w:tcPr>
            <w:tcW w:w="851" w:type="dxa"/>
            <w:shd w:val="clear" w:color="auto" w:fill="auto"/>
            <w:vAlign w:val="bottom"/>
          </w:tcPr>
          <w:p w14:paraId="34D65133"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13</w:t>
            </w:r>
          </w:p>
        </w:tc>
        <w:tc>
          <w:tcPr>
            <w:tcW w:w="992" w:type="dxa"/>
            <w:shd w:val="clear" w:color="auto" w:fill="auto"/>
            <w:vAlign w:val="bottom"/>
          </w:tcPr>
          <w:p w14:paraId="1CF5E6E0"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21</w:t>
            </w:r>
          </w:p>
        </w:tc>
        <w:tc>
          <w:tcPr>
            <w:tcW w:w="1134" w:type="dxa"/>
            <w:shd w:val="clear" w:color="auto" w:fill="auto"/>
            <w:vAlign w:val="bottom"/>
          </w:tcPr>
          <w:p w14:paraId="20A6CE95" w14:textId="77777777" w:rsidR="0009316F" w:rsidRPr="00261CCE" w:rsidRDefault="0009316F" w:rsidP="00C439AF">
            <w:pPr>
              <w:suppressAutoHyphens w:val="0"/>
              <w:spacing w:before="40" w:after="40" w:line="600" w:lineRule="auto"/>
              <w:jc w:val="center"/>
              <w:rPr>
                <w:rFonts w:eastAsia="PMingLiU"/>
                <w:sz w:val="18"/>
              </w:rPr>
            </w:pPr>
            <w:r w:rsidRPr="00261CCE">
              <w:rPr>
                <w:sz w:val="18"/>
                <w:szCs w:val="18"/>
              </w:rPr>
              <w:t>56</w:t>
            </w:r>
          </w:p>
        </w:tc>
        <w:tc>
          <w:tcPr>
            <w:tcW w:w="992" w:type="dxa"/>
            <w:shd w:val="clear" w:color="auto" w:fill="auto"/>
            <w:vAlign w:val="bottom"/>
          </w:tcPr>
          <w:p w14:paraId="3A4FEE3D" w14:textId="6FA88756" w:rsidR="0009316F" w:rsidRPr="00261CCE" w:rsidRDefault="00854C84" w:rsidP="00C439AF">
            <w:pPr>
              <w:suppressAutoHyphens w:val="0"/>
              <w:spacing w:before="40" w:after="40" w:line="600" w:lineRule="auto"/>
              <w:jc w:val="center"/>
              <w:rPr>
                <w:rFonts w:eastAsia="PMingLiU"/>
                <w:sz w:val="18"/>
              </w:rPr>
            </w:pPr>
            <w:r>
              <w:rPr>
                <w:sz w:val="18"/>
                <w:szCs w:val="18"/>
              </w:rPr>
              <w:t>41</w:t>
            </w:r>
          </w:p>
        </w:tc>
      </w:tr>
      <w:tr w:rsidR="0009316F" w:rsidRPr="00261CCE" w14:paraId="6835E2F9" w14:textId="77777777" w:rsidTr="00C439AF">
        <w:trPr>
          <w:trHeight w:hRule="exact" w:val="52"/>
        </w:trPr>
        <w:tc>
          <w:tcPr>
            <w:tcW w:w="1276" w:type="dxa"/>
            <w:tcBorders>
              <w:bottom w:val="single" w:sz="12" w:space="0" w:color="auto"/>
            </w:tcBorders>
            <w:shd w:val="clear" w:color="auto" w:fill="auto"/>
          </w:tcPr>
          <w:p w14:paraId="13D9CE4E" w14:textId="77777777" w:rsidR="0009316F" w:rsidRPr="00261CCE" w:rsidRDefault="0009316F" w:rsidP="00C439AF">
            <w:pPr>
              <w:suppressAutoHyphens w:val="0"/>
              <w:spacing w:before="40" w:after="40" w:line="220" w:lineRule="exact"/>
              <w:rPr>
                <w:sz w:val="18"/>
                <w:szCs w:val="18"/>
              </w:rPr>
            </w:pPr>
          </w:p>
        </w:tc>
        <w:tc>
          <w:tcPr>
            <w:tcW w:w="992" w:type="dxa"/>
            <w:tcBorders>
              <w:bottom w:val="single" w:sz="12" w:space="0" w:color="auto"/>
            </w:tcBorders>
            <w:shd w:val="clear" w:color="auto" w:fill="auto"/>
            <w:vAlign w:val="bottom"/>
          </w:tcPr>
          <w:p w14:paraId="25CC34A5" w14:textId="77777777" w:rsidR="0009316F" w:rsidRPr="00261CCE" w:rsidRDefault="0009316F" w:rsidP="00C439AF">
            <w:pPr>
              <w:suppressAutoHyphens w:val="0"/>
              <w:spacing w:before="40" w:after="40" w:line="220" w:lineRule="exact"/>
              <w:jc w:val="right"/>
              <w:rPr>
                <w:sz w:val="18"/>
                <w:szCs w:val="18"/>
              </w:rPr>
            </w:pPr>
          </w:p>
        </w:tc>
        <w:tc>
          <w:tcPr>
            <w:tcW w:w="1134" w:type="dxa"/>
            <w:tcBorders>
              <w:bottom w:val="single" w:sz="12" w:space="0" w:color="auto"/>
            </w:tcBorders>
            <w:shd w:val="clear" w:color="auto" w:fill="auto"/>
            <w:vAlign w:val="bottom"/>
          </w:tcPr>
          <w:p w14:paraId="260C5B29" w14:textId="77777777" w:rsidR="0009316F" w:rsidRPr="00261CCE" w:rsidRDefault="0009316F" w:rsidP="00C439AF">
            <w:pPr>
              <w:suppressAutoHyphens w:val="0"/>
              <w:spacing w:before="40" w:after="40" w:line="220" w:lineRule="exact"/>
              <w:jc w:val="right"/>
              <w:rPr>
                <w:sz w:val="18"/>
                <w:szCs w:val="18"/>
              </w:rPr>
            </w:pPr>
          </w:p>
        </w:tc>
        <w:tc>
          <w:tcPr>
            <w:tcW w:w="851" w:type="dxa"/>
            <w:tcBorders>
              <w:bottom w:val="single" w:sz="12" w:space="0" w:color="auto"/>
            </w:tcBorders>
            <w:shd w:val="clear" w:color="auto" w:fill="auto"/>
            <w:vAlign w:val="bottom"/>
          </w:tcPr>
          <w:p w14:paraId="4311F6BB" w14:textId="77777777" w:rsidR="0009316F" w:rsidRPr="00261CCE" w:rsidRDefault="0009316F" w:rsidP="00C439AF">
            <w:pPr>
              <w:suppressAutoHyphens w:val="0"/>
              <w:spacing w:before="40" w:after="40" w:line="220" w:lineRule="exact"/>
              <w:jc w:val="right"/>
              <w:rPr>
                <w:sz w:val="18"/>
                <w:szCs w:val="18"/>
              </w:rPr>
            </w:pPr>
          </w:p>
        </w:tc>
        <w:tc>
          <w:tcPr>
            <w:tcW w:w="992" w:type="dxa"/>
            <w:tcBorders>
              <w:bottom w:val="single" w:sz="12" w:space="0" w:color="auto"/>
            </w:tcBorders>
            <w:shd w:val="clear" w:color="auto" w:fill="auto"/>
            <w:vAlign w:val="bottom"/>
          </w:tcPr>
          <w:p w14:paraId="23333EAD" w14:textId="77777777" w:rsidR="0009316F" w:rsidRPr="00261CCE" w:rsidRDefault="0009316F" w:rsidP="00C439AF">
            <w:pPr>
              <w:suppressAutoHyphens w:val="0"/>
              <w:spacing w:before="40" w:after="40" w:line="220" w:lineRule="exact"/>
              <w:jc w:val="right"/>
              <w:rPr>
                <w:sz w:val="18"/>
                <w:szCs w:val="18"/>
              </w:rPr>
            </w:pPr>
          </w:p>
        </w:tc>
        <w:tc>
          <w:tcPr>
            <w:tcW w:w="1134" w:type="dxa"/>
            <w:tcBorders>
              <w:bottom w:val="single" w:sz="12" w:space="0" w:color="auto"/>
            </w:tcBorders>
            <w:shd w:val="clear" w:color="auto" w:fill="auto"/>
            <w:vAlign w:val="bottom"/>
          </w:tcPr>
          <w:p w14:paraId="7FF8250C" w14:textId="77777777" w:rsidR="0009316F" w:rsidRPr="00261CCE" w:rsidRDefault="0009316F" w:rsidP="00C439AF">
            <w:pPr>
              <w:suppressAutoHyphens w:val="0"/>
              <w:spacing w:before="40" w:after="40" w:line="220" w:lineRule="exact"/>
              <w:jc w:val="right"/>
              <w:rPr>
                <w:sz w:val="18"/>
                <w:szCs w:val="18"/>
              </w:rPr>
            </w:pPr>
          </w:p>
        </w:tc>
        <w:tc>
          <w:tcPr>
            <w:tcW w:w="992" w:type="dxa"/>
            <w:tcBorders>
              <w:bottom w:val="single" w:sz="12" w:space="0" w:color="auto"/>
            </w:tcBorders>
            <w:shd w:val="clear" w:color="auto" w:fill="auto"/>
            <w:vAlign w:val="bottom"/>
          </w:tcPr>
          <w:p w14:paraId="6DB23205" w14:textId="77777777" w:rsidR="0009316F" w:rsidRPr="00261CCE" w:rsidRDefault="0009316F" w:rsidP="00C439AF">
            <w:pPr>
              <w:suppressAutoHyphens w:val="0"/>
              <w:spacing w:before="40" w:after="40" w:line="220" w:lineRule="exact"/>
              <w:jc w:val="right"/>
              <w:rPr>
                <w:sz w:val="18"/>
                <w:szCs w:val="18"/>
              </w:rPr>
            </w:pPr>
          </w:p>
        </w:tc>
      </w:tr>
    </w:tbl>
    <w:p w14:paraId="76515FB8" w14:textId="77777777" w:rsidR="0009316F" w:rsidRPr="00261CCE" w:rsidRDefault="0009316F" w:rsidP="0009316F">
      <w:pPr>
        <w:tabs>
          <w:tab w:val="left" w:pos="8363"/>
        </w:tabs>
        <w:spacing w:before="240" w:line="240" w:lineRule="auto"/>
        <w:ind w:left="1134" w:right="1276" w:firstLine="567"/>
        <w:textAlignment w:val="baseline"/>
        <w:rPr>
          <w:rFonts w:ascii="Segoe UI" w:hAnsi="Segoe UI" w:cs="Segoe UI"/>
          <w:sz w:val="18"/>
          <w:szCs w:val="18"/>
          <w:lang w:eastAsia="zh-CN"/>
        </w:rPr>
      </w:pPr>
      <w:r w:rsidRPr="00261CCE">
        <w:rPr>
          <w:i/>
          <w:iCs/>
          <w:sz w:val="18"/>
          <w:szCs w:val="18"/>
          <w:lang w:eastAsia="zh-CN"/>
        </w:rPr>
        <w:t>Source</w:t>
      </w:r>
      <w:r w:rsidRPr="00261CCE">
        <w:rPr>
          <w:sz w:val="18"/>
          <w:szCs w:val="18"/>
          <w:lang w:eastAsia="zh-CN"/>
        </w:rPr>
        <w:t xml:space="preserve">: For air transport of all inbound trips and domestic tourism of total trips – World Tourism Organization, Eurostat; For renewable energy share – </w:t>
      </w:r>
      <w:r w:rsidRPr="00261CCE">
        <w:rPr>
          <w:i/>
          <w:iCs/>
          <w:sz w:val="18"/>
          <w:szCs w:val="18"/>
          <w:lang w:eastAsia="zh-CN"/>
        </w:rPr>
        <w:t>2019 Energy Balances</w:t>
      </w:r>
      <w:r w:rsidRPr="00261CCE">
        <w:rPr>
          <w:sz w:val="18"/>
          <w:szCs w:val="18"/>
          <w:lang w:eastAsia="zh-CN"/>
        </w:rPr>
        <w:t>. </w:t>
      </w:r>
    </w:p>
    <w:p w14:paraId="2AD1F9F3" w14:textId="2F5CEA53" w:rsidR="0009316F" w:rsidRPr="00261CCE" w:rsidRDefault="0009316F" w:rsidP="0009316F">
      <w:pPr>
        <w:spacing w:after="120"/>
        <w:ind w:left="1134" w:right="1134" w:firstLine="567"/>
        <w:jc w:val="both"/>
      </w:pPr>
      <w:r w:rsidRPr="00261CCE">
        <w:rPr>
          <w:i/>
          <w:iCs/>
          <w:sz w:val="18"/>
          <w:szCs w:val="18"/>
        </w:rPr>
        <w:t>Note</w:t>
      </w:r>
      <w:r w:rsidRPr="00261CCE">
        <w:rPr>
          <w:sz w:val="18"/>
          <w:szCs w:val="18"/>
        </w:rPr>
        <w:t>: Trend is</w:t>
      </w:r>
      <w:r w:rsidRPr="00261CCE">
        <w:t xml:space="preserve"> </w:t>
      </w:r>
      <w:r w:rsidRPr="00261CCE">
        <w:rPr>
          <w:rFonts w:ascii="Wingdings" w:eastAsia="Wingdings" w:hAnsi="Wingdings" w:cs="Wingdings"/>
          <w:color w:val="00B050"/>
          <w:sz w:val="28"/>
          <w:szCs w:val="28"/>
        </w:rPr>
        <w:t>ä</w:t>
      </w:r>
      <w:r w:rsidRPr="00261CCE">
        <w:t xml:space="preserve"> </w:t>
      </w:r>
      <w:r w:rsidRPr="00261CCE">
        <w:rPr>
          <w:sz w:val="18"/>
          <w:szCs w:val="18"/>
        </w:rPr>
        <w:t>on average improving, or</w:t>
      </w:r>
      <w:r w:rsidRPr="00261CCE">
        <w:rPr>
          <w:color w:val="E36C0A" w:themeColor="accent6" w:themeShade="BF"/>
          <w:sz w:val="24"/>
          <w:szCs w:val="24"/>
        </w:rPr>
        <w:t xml:space="preserve"> </w:t>
      </w:r>
      <w:r w:rsidRPr="00261CCE">
        <w:rPr>
          <w:rFonts w:ascii="Wingdings" w:eastAsia="Wingdings" w:hAnsi="Wingdings" w:cs="Wingdings"/>
          <w:color w:val="FFC000"/>
          <w:sz w:val="28"/>
          <w:szCs w:val="28"/>
        </w:rPr>
        <w:t>à</w:t>
      </w:r>
      <w:r w:rsidRPr="00261CCE">
        <w:t xml:space="preserve"> </w:t>
      </w:r>
      <w:r w:rsidRPr="00261CCE">
        <w:rPr>
          <w:sz w:val="18"/>
          <w:szCs w:val="18"/>
        </w:rPr>
        <w:t xml:space="preserve">on average stable; limited data for domestic trips (all of the European Union, but only Norway and Switzerland in Western Europe, Tajikistan in Central Asia, Armenia, Azerbaijan and Georgia in Eastern Europe, and North Macedonia and Turkey in South-Eastern Europe) and inbound trips by air (only </w:t>
      </w:r>
      <w:r w:rsidR="00925FE5">
        <w:rPr>
          <w:sz w:val="18"/>
          <w:szCs w:val="18"/>
        </w:rPr>
        <w:t>13</w:t>
      </w:r>
      <w:r w:rsidR="00925FE5" w:rsidRPr="00261CCE">
        <w:rPr>
          <w:sz w:val="18"/>
          <w:szCs w:val="18"/>
        </w:rPr>
        <w:t xml:space="preserve"> </w:t>
      </w:r>
      <w:r w:rsidRPr="00261CCE">
        <w:rPr>
          <w:sz w:val="18"/>
          <w:szCs w:val="18"/>
        </w:rPr>
        <w:t>European Union member States, Iceland</w:t>
      </w:r>
      <w:r w:rsidR="008266C8">
        <w:rPr>
          <w:sz w:val="18"/>
          <w:szCs w:val="18"/>
        </w:rPr>
        <w:t>, Israel</w:t>
      </w:r>
      <w:r w:rsidRPr="00261CCE">
        <w:rPr>
          <w:sz w:val="18"/>
          <w:szCs w:val="18"/>
        </w:rPr>
        <w:t xml:space="preserve"> and the United Kingdom of Great Britain and Northern Ireland in Western Europe, Kyrgyzstan and Uzbekistan in Central Asia, not the Republic of Moldova or the Russian Federation in Eastern Europe, and only Albania, Bosnia and Herzegovina and Turkey in South-Eastern Europe).</w:t>
      </w:r>
    </w:p>
    <w:p w14:paraId="546EAC87"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18.</w:t>
      </w:r>
      <w:r w:rsidRPr="00261CCE">
        <w:rPr>
          <w:b/>
        </w:rPr>
        <w:tab/>
        <w:t>Environmental governance</w:t>
      </w:r>
    </w:p>
    <w:p w14:paraId="2C035F9C" w14:textId="77777777" w:rsidR="00B6794B" w:rsidRDefault="00AC01A4" w:rsidP="0009316F">
      <w:pPr>
        <w:spacing w:after="120"/>
        <w:ind w:left="1134" w:right="1134"/>
        <w:jc w:val="both"/>
      </w:pPr>
      <w:r>
        <w:t>41</w:t>
      </w:r>
      <w:r w:rsidR="0009316F" w:rsidRPr="00261CCE">
        <w:t>.</w:t>
      </w:r>
      <w:r w:rsidR="0009316F" w:rsidRPr="00261CCE">
        <w:tab/>
        <w:t xml:space="preserve">The environmental governance system in the pan-European region remains partly fragmented in terms of applied policies, institutions, the harmonization of legislation and the participation of the 54 countries in multilateral environmental agreements, which is incomplete. The assessment of state and trends and policy recommendations in the thematic chapters of this report indicates the need to strengthen the environmental governance system and existing policies in the region and to make adjustments to address substantive gaps. Gaps also remain in the implementation </w:t>
      </w:r>
      <w:r w:rsidR="0009316F">
        <w:t xml:space="preserve">of </w:t>
      </w:r>
      <w:r w:rsidR="0009316F" w:rsidRPr="00261CCE">
        <w:t>good environmental governance, including in relation to public participation, transparency, responsiveness, effectiveness and efficiency, with implications for the environment and health of the region (see table 18 below).</w:t>
      </w:r>
    </w:p>
    <w:p w14:paraId="34DD9B4C" w14:textId="4B6091C1" w:rsidR="0009316F" w:rsidRPr="00DF1C90" w:rsidRDefault="00DF1C90" w:rsidP="0009316F">
      <w:pPr>
        <w:spacing w:after="120"/>
        <w:ind w:left="1134" w:right="1134"/>
        <w:jc w:val="both"/>
      </w:pPr>
      <w:r w:rsidRPr="00DF1C90">
        <w:t>42.</w:t>
      </w:r>
      <w:r w:rsidRPr="00DF1C90">
        <w:tab/>
      </w:r>
      <w:r w:rsidR="00B6794B" w:rsidRPr="00DF1C90">
        <w:t>Education for sustainable development (ESD) equips people with knowledge and skills to give them opportunities to lead healthy and productive lifestyles in harmony with nature and with concern for social values, gender equity and cultural diversity. Such education also endows people with capacities to play an active role in environmental governance.</w:t>
      </w:r>
      <w:r w:rsidR="005230B7" w:rsidRPr="00DF1C90">
        <w:t xml:space="preserve"> </w:t>
      </w:r>
      <w:r w:rsidR="002522E7" w:rsidRPr="00DF1C90">
        <w:t xml:space="preserve">Countries </w:t>
      </w:r>
      <w:r w:rsidR="00F9469F" w:rsidRPr="00DF1C90">
        <w:t>described</w:t>
      </w:r>
      <w:r w:rsidR="002522E7" w:rsidRPr="00DF1C90">
        <w:t xml:space="preserve"> p</w:t>
      </w:r>
      <w:r w:rsidR="005230B7" w:rsidRPr="00DF1C90">
        <w:t xml:space="preserve">rogress </w:t>
      </w:r>
      <w:r w:rsidR="002522E7" w:rsidRPr="00DF1C90">
        <w:t>in ESD between rounds of reporting in 2014 and 2018</w:t>
      </w:r>
      <w:r w:rsidR="00DD18E0" w:rsidRPr="00DF1C90">
        <w:t xml:space="preserve"> in all subregions</w:t>
      </w:r>
      <w:r w:rsidR="002522E7" w:rsidRPr="00DF1C90">
        <w:t>.</w:t>
      </w:r>
      <w:r w:rsidR="00E3375A" w:rsidRPr="00DF1C90">
        <w:t xml:space="preserve"> </w:t>
      </w:r>
      <w:r w:rsidR="00585E5C" w:rsidRPr="00DF1C90">
        <w:t xml:space="preserve">Across countries reporting, 78 per cent </w:t>
      </w:r>
      <w:r w:rsidR="005832B3" w:rsidRPr="00DF1C90">
        <w:t xml:space="preserve">of the agreed criteria </w:t>
      </w:r>
      <w:r w:rsidR="00EE1044" w:rsidRPr="00DF1C90">
        <w:t xml:space="preserve">were </w:t>
      </w:r>
      <w:r w:rsidR="005832B3" w:rsidRPr="00DF1C90">
        <w:t xml:space="preserve">met </w:t>
      </w:r>
      <w:r w:rsidR="00EE1044" w:rsidRPr="00DF1C90">
        <w:t xml:space="preserve">in 2018 </w:t>
      </w:r>
      <w:r w:rsidR="005832B3" w:rsidRPr="00DF1C90">
        <w:t>for ensuring that policy, regulatory and operational frameworks support the promotion of ESD</w:t>
      </w:r>
      <w:r w:rsidR="00EE1044" w:rsidRPr="00DF1C90">
        <w:t>.</w:t>
      </w:r>
    </w:p>
    <w:p w14:paraId="349B8DCC"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lastRenderedPageBreak/>
        <w:tab/>
      </w:r>
      <w:r w:rsidRPr="00261CCE">
        <w:rPr>
          <w:b/>
        </w:rPr>
        <w:tab/>
        <w:t xml:space="preserve">Recommendations: </w:t>
      </w:r>
    </w:p>
    <w:p w14:paraId="534DC9CB" w14:textId="7A4C17A5" w:rsidR="00D92E47" w:rsidRDefault="00DF1C90" w:rsidP="00AC01A4">
      <w:pPr>
        <w:spacing w:after="120"/>
        <w:ind w:left="1134" w:right="1134"/>
        <w:jc w:val="both"/>
      </w:pPr>
      <w:r>
        <w:t>43</w:t>
      </w:r>
      <w:r w:rsidR="0009316F" w:rsidRPr="00261CCE">
        <w:t>.</w:t>
      </w:r>
      <w:r w:rsidR="0009316F" w:rsidRPr="00261CCE">
        <w:tab/>
        <w:t xml:space="preserve">Governments, the private sector, academia and citizens must work together to achieve the Sustainable Development Goals, including in a transboundary context. They should explore new partnerships on topics such as circular economy, sustainable infrastructure, resource efficiency and waste management. </w:t>
      </w:r>
      <w:r w:rsidR="00AC01A4">
        <w:t xml:space="preserve">Further, </w:t>
      </w:r>
      <w:r w:rsidR="0009316F" w:rsidRPr="00261CCE">
        <w:t xml:space="preserve">Governments </w:t>
      </w:r>
      <w:r w:rsidR="00D92E47">
        <w:t xml:space="preserve">in the pan-European region </w:t>
      </w:r>
      <w:r w:rsidR="0009316F" w:rsidRPr="00261CCE">
        <w:t>should</w:t>
      </w:r>
      <w:r w:rsidR="00D92E47">
        <w:t>:</w:t>
      </w:r>
    </w:p>
    <w:p w14:paraId="793BBA22" w14:textId="68110383" w:rsidR="00C94B28" w:rsidRDefault="00D92E47" w:rsidP="00D92E47">
      <w:pPr>
        <w:spacing w:after="120"/>
        <w:ind w:left="1134" w:right="1134" w:firstLine="567"/>
        <w:jc w:val="both"/>
      </w:pPr>
      <w:r>
        <w:t>(a)</w:t>
      </w:r>
      <w:r>
        <w:tab/>
      </w:r>
      <w:r w:rsidR="0009316F" w:rsidRPr="00261CCE">
        <w:t xml:space="preserve"> </w:t>
      </w:r>
      <w:r w:rsidR="00D5213E">
        <w:t>C</w:t>
      </w:r>
      <w:r w:rsidR="0009316F" w:rsidRPr="00261CCE">
        <w:t>onsider joining multilateral environmental agreements to which they are not yet party so as to enhance the coherency and harmonization of policies and legislation</w:t>
      </w:r>
      <w:r w:rsidR="00866878">
        <w:t>;</w:t>
      </w:r>
      <w:r w:rsidR="0009316F" w:rsidRPr="00261CCE">
        <w:t xml:space="preserve"> </w:t>
      </w:r>
    </w:p>
    <w:p w14:paraId="151FED20" w14:textId="298120B0" w:rsidR="00DD42A2" w:rsidRDefault="00C94B28" w:rsidP="004F7101">
      <w:pPr>
        <w:spacing w:after="120"/>
        <w:ind w:left="1134" w:right="1134" w:firstLine="567"/>
        <w:jc w:val="both"/>
      </w:pPr>
      <w:r>
        <w:t>(b)</w:t>
      </w:r>
      <w:r>
        <w:tab/>
      </w:r>
      <w:r w:rsidR="00D5213E">
        <w:t>U</w:t>
      </w:r>
      <w:r w:rsidR="0009316F" w:rsidRPr="00261CCE">
        <w:t>se the Pan-European Strategic Framework for Greening the Economy as a framework for commitments on circular economy, resource efficiency and sustainable infrastructure development, including through promoting nature-based solutions</w:t>
      </w:r>
      <w:r w:rsidR="00590BF2">
        <w:t xml:space="preserve"> and finance </w:t>
      </w:r>
      <w:r w:rsidR="0009316F" w:rsidRPr="00261CCE">
        <w:t>should be redirected to these areas in support of a just transition</w:t>
      </w:r>
      <w:r w:rsidR="004F7101">
        <w:t xml:space="preserve"> and the </w:t>
      </w:r>
      <w:r w:rsidR="0009316F" w:rsidRPr="00261CCE">
        <w:t>effectiveness of such investments needs to be monitored and evaluated</w:t>
      </w:r>
      <w:r w:rsidR="00866878">
        <w:t>;</w:t>
      </w:r>
    </w:p>
    <w:p w14:paraId="17BC3F73" w14:textId="5927FA5B" w:rsidR="006B2674" w:rsidRDefault="00DD42A2" w:rsidP="004F7101">
      <w:pPr>
        <w:spacing w:after="120"/>
        <w:ind w:left="1134" w:right="1134" w:firstLine="567"/>
        <w:jc w:val="both"/>
      </w:pPr>
      <w:r>
        <w:t>(c)</w:t>
      </w:r>
      <w:r>
        <w:tab/>
      </w:r>
      <w:r w:rsidR="00D5213E">
        <w:t>A</w:t>
      </w:r>
      <w:r>
        <w:t xml:space="preserve">ssure </w:t>
      </w:r>
      <w:r w:rsidRPr="00261CCE">
        <w:t>public participation in planning and implementation of actions, gender mainstream</w:t>
      </w:r>
      <w:r>
        <w:t>ing</w:t>
      </w:r>
      <w:r w:rsidRPr="00261CCE">
        <w:t xml:space="preserve"> and public access to reliable and timely information </w:t>
      </w:r>
      <w:r w:rsidR="006B2674">
        <w:t>in order to make</w:t>
      </w:r>
      <w:r w:rsidRPr="00261CCE" w:rsidDel="00DD42A2">
        <w:t xml:space="preserve"> </w:t>
      </w:r>
      <w:r>
        <w:t>s</w:t>
      </w:r>
      <w:r w:rsidR="0009316F" w:rsidRPr="00261CCE">
        <w:t>uccessful outcomes more likely</w:t>
      </w:r>
      <w:r w:rsidR="00866878">
        <w:t>;</w:t>
      </w:r>
    </w:p>
    <w:p w14:paraId="56DCB343" w14:textId="6EC900EB" w:rsidR="00CE0F91" w:rsidRDefault="00CE0F91" w:rsidP="00B22B69">
      <w:pPr>
        <w:spacing w:after="120"/>
        <w:ind w:left="1134" w:right="1134" w:firstLine="567"/>
        <w:jc w:val="both"/>
      </w:pPr>
      <w:r>
        <w:t>(d)</w:t>
      </w:r>
      <w:r>
        <w:tab/>
      </w:r>
      <w:r w:rsidR="00866878">
        <w:t>E</w:t>
      </w:r>
      <w:r>
        <w:t>nsure effective public access to information, participation in decision-making, protection of</w:t>
      </w:r>
      <w:r w:rsidR="00FF40CB">
        <w:t xml:space="preserve"> </w:t>
      </w:r>
      <w:r>
        <w:t>environmental defenders and access to justice in environmental matters</w:t>
      </w:r>
      <w:r w:rsidR="00B22B69">
        <w:t>,</w:t>
      </w:r>
      <w:r>
        <w:t xml:space="preserve"> as provided </w:t>
      </w:r>
      <w:r w:rsidR="00D574AA">
        <w:t xml:space="preserve">for example </w:t>
      </w:r>
      <w:r>
        <w:t>by the Aarhus</w:t>
      </w:r>
      <w:r w:rsidR="00FF40CB">
        <w:t xml:space="preserve"> </w:t>
      </w:r>
      <w:r>
        <w:t>Convention</w:t>
      </w:r>
      <w:r w:rsidR="00F9092D">
        <w:rPr>
          <w:rStyle w:val="FootnoteReference"/>
        </w:rPr>
        <w:footnoteReference w:id="5"/>
      </w:r>
      <w:r>
        <w:t xml:space="preserve"> and </w:t>
      </w:r>
      <w:r w:rsidR="00F9092D">
        <w:t>its</w:t>
      </w:r>
      <w:r>
        <w:t xml:space="preserve"> Protocol on </w:t>
      </w:r>
      <w:r w:rsidR="00C7649E">
        <w:t xml:space="preserve">Pollutant Release and Transfer </w:t>
      </w:r>
      <w:r w:rsidR="004B7227">
        <w:t>Registers</w:t>
      </w:r>
      <w:r w:rsidR="00B22B69">
        <w:t>;</w:t>
      </w:r>
    </w:p>
    <w:p w14:paraId="490621E9" w14:textId="6E12B445" w:rsidR="00BD147B" w:rsidRPr="00DF1C90" w:rsidRDefault="00BD147B" w:rsidP="005212B3">
      <w:pPr>
        <w:spacing w:after="120"/>
        <w:ind w:left="1134" w:right="1134" w:firstLine="567"/>
        <w:jc w:val="both"/>
      </w:pPr>
      <w:r w:rsidRPr="00DF1C90">
        <w:t>(e)</w:t>
      </w:r>
      <w:r w:rsidRPr="00DF1C90">
        <w:tab/>
      </w:r>
      <w:r w:rsidR="008612FB" w:rsidRPr="00DF1C90">
        <w:t>D</w:t>
      </w:r>
      <w:r w:rsidRPr="00DF1C90">
        <w:t>evelop and invest in capacit</w:t>
      </w:r>
      <w:r w:rsidR="001D19B8" w:rsidRPr="00DF1C90">
        <w:t>ies</w:t>
      </w:r>
      <w:r w:rsidRPr="00DF1C90">
        <w:t xml:space="preserve"> and education </w:t>
      </w:r>
      <w:r w:rsidR="008612FB" w:rsidRPr="00DF1C90">
        <w:t xml:space="preserve">for sustainable development </w:t>
      </w:r>
      <w:r w:rsidRPr="00DF1C90">
        <w:t>in responsible authorities, the private sector and civil society</w:t>
      </w:r>
      <w:r w:rsidR="008612FB" w:rsidRPr="00DF1C90">
        <w:t xml:space="preserve"> in order to ensure the transition to sustainable development;</w:t>
      </w:r>
    </w:p>
    <w:p w14:paraId="7C94156A" w14:textId="1BB17EFE" w:rsidR="004300A7" w:rsidRDefault="006B2674" w:rsidP="004F7101">
      <w:pPr>
        <w:spacing w:after="120"/>
        <w:ind w:left="1134" w:right="1134" w:firstLine="567"/>
        <w:jc w:val="both"/>
      </w:pPr>
      <w:r>
        <w:t>(</w:t>
      </w:r>
      <w:r w:rsidR="00BD147B">
        <w:t>f</w:t>
      </w:r>
      <w:r>
        <w:t>)</w:t>
      </w:r>
      <w:r>
        <w:tab/>
      </w:r>
      <w:r w:rsidR="00B22B69">
        <w:t>S</w:t>
      </w:r>
      <w:r w:rsidR="0009316F" w:rsidRPr="00261CCE">
        <w:t xml:space="preserve">eek to enhance science-policy linkages and the rapid deployment of innovative solutions, while investing in digitalization. </w:t>
      </w:r>
    </w:p>
    <w:p w14:paraId="4E9BA71F" w14:textId="1B7D5AB7" w:rsidR="0009316F" w:rsidRPr="00261CCE" w:rsidRDefault="0009316F" w:rsidP="00856086">
      <w:pPr>
        <w:spacing w:after="120"/>
        <w:ind w:left="1134" w:right="1134" w:firstLine="567"/>
        <w:jc w:val="both"/>
      </w:pPr>
      <w:r w:rsidRPr="00261CCE">
        <w:t>Other recommendations in the summary and the assessment provide further details on steps to be taken to improve governance.</w:t>
      </w:r>
    </w:p>
    <w:p w14:paraId="44672C33" w14:textId="77777777" w:rsidR="0009316F" w:rsidRPr="00261CCE" w:rsidRDefault="0009316F" w:rsidP="0009316F">
      <w:pPr>
        <w:keepNext/>
        <w:spacing w:before="240" w:after="120"/>
        <w:ind w:left="1134" w:right="1134"/>
        <w:rPr>
          <w:sz w:val="18"/>
          <w:szCs w:val="18"/>
        </w:rPr>
      </w:pPr>
      <w:r w:rsidRPr="00261CCE">
        <w:rPr>
          <w:lang w:eastAsia="zh-TW"/>
        </w:rPr>
        <w:t>Table 18</w:t>
      </w:r>
      <w:r w:rsidRPr="00261CCE">
        <w:rPr>
          <w:lang w:eastAsia="zh-TW"/>
        </w:rPr>
        <w:br/>
      </w:r>
      <w:r w:rsidRPr="00261CCE">
        <w:rPr>
          <w:b/>
          <w:bCs/>
          <w:lang w:eastAsia="zh-TW"/>
        </w:rPr>
        <w:t>Overview on status and trends for selected indicators on environmental governance</w:t>
      </w:r>
    </w:p>
    <w:tbl>
      <w:tblPr>
        <w:tblStyle w:val="TableGrid1"/>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914"/>
        <w:gridCol w:w="992"/>
        <w:gridCol w:w="851"/>
        <w:gridCol w:w="992"/>
        <w:gridCol w:w="992"/>
        <w:gridCol w:w="1134"/>
      </w:tblGrid>
      <w:tr w:rsidR="0009316F" w:rsidRPr="00261CCE" w14:paraId="74BE5116" w14:textId="77777777" w:rsidTr="00C439AF">
        <w:trPr>
          <w:tblHeader/>
        </w:trPr>
        <w:tc>
          <w:tcPr>
            <w:tcW w:w="1638" w:type="dxa"/>
            <w:tcBorders>
              <w:top w:val="single" w:sz="4" w:space="0" w:color="auto"/>
              <w:bottom w:val="single" w:sz="12" w:space="0" w:color="auto"/>
            </w:tcBorders>
            <w:shd w:val="clear" w:color="auto" w:fill="auto"/>
          </w:tcPr>
          <w:p w14:paraId="4517757F" w14:textId="77777777" w:rsidR="0009316F" w:rsidRPr="00261CCE" w:rsidRDefault="0009316F" w:rsidP="00C439AF">
            <w:pPr>
              <w:suppressAutoHyphens w:val="0"/>
              <w:spacing w:before="80" w:line="200" w:lineRule="exact"/>
              <w:rPr>
                <w:bCs/>
                <w:i/>
                <w:sz w:val="16"/>
                <w:szCs w:val="18"/>
              </w:rPr>
            </w:pPr>
            <w:r w:rsidRPr="00261CCE">
              <w:rPr>
                <w:i/>
                <w:iCs/>
                <w:sz w:val="18"/>
                <w:szCs w:val="18"/>
              </w:rPr>
              <w:t>Indicator</w:t>
            </w:r>
          </w:p>
        </w:tc>
        <w:tc>
          <w:tcPr>
            <w:tcW w:w="914" w:type="dxa"/>
            <w:tcBorders>
              <w:top w:val="single" w:sz="4" w:space="0" w:color="auto"/>
              <w:bottom w:val="single" w:sz="12" w:space="0" w:color="auto"/>
            </w:tcBorders>
            <w:shd w:val="clear" w:color="auto" w:fill="auto"/>
          </w:tcPr>
          <w:p w14:paraId="3003623A"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European Union</w:t>
            </w:r>
          </w:p>
        </w:tc>
        <w:tc>
          <w:tcPr>
            <w:tcW w:w="992" w:type="dxa"/>
            <w:tcBorders>
              <w:top w:val="single" w:sz="4" w:space="0" w:color="auto"/>
              <w:bottom w:val="single" w:sz="12" w:space="0" w:color="auto"/>
            </w:tcBorders>
            <w:shd w:val="clear" w:color="auto" w:fill="auto"/>
          </w:tcPr>
          <w:p w14:paraId="0CDC23CA"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Western Europe</w:t>
            </w:r>
          </w:p>
        </w:tc>
        <w:tc>
          <w:tcPr>
            <w:tcW w:w="851" w:type="dxa"/>
            <w:tcBorders>
              <w:top w:val="single" w:sz="4" w:space="0" w:color="auto"/>
              <w:bottom w:val="single" w:sz="12" w:space="0" w:color="auto"/>
            </w:tcBorders>
            <w:shd w:val="clear" w:color="auto" w:fill="auto"/>
          </w:tcPr>
          <w:p w14:paraId="7455B241"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Central</w:t>
            </w:r>
          </w:p>
          <w:p w14:paraId="16A45875" w14:textId="77777777" w:rsidR="0009316F" w:rsidRPr="00987FC5" w:rsidRDefault="0009316F" w:rsidP="00C439AF">
            <w:pPr>
              <w:suppressAutoHyphens w:val="0"/>
              <w:spacing w:line="200" w:lineRule="exact"/>
              <w:jc w:val="center"/>
              <w:rPr>
                <w:i/>
                <w:iCs/>
                <w:sz w:val="18"/>
                <w:szCs w:val="18"/>
              </w:rPr>
            </w:pPr>
            <w:r w:rsidRPr="00987FC5">
              <w:rPr>
                <w:i/>
                <w:iCs/>
                <w:sz w:val="18"/>
                <w:szCs w:val="18"/>
              </w:rPr>
              <w:t>Asia</w:t>
            </w:r>
          </w:p>
        </w:tc>
        <w:tc>
          <w:tcPr>
            <w:tcW w:w="992" w:type="dxa"/>
            <w:tcBorders>
              <w:top w:val="single" w:sz="4" w:space="0" w:color="auto"/>
              <w:bottom w:val="single" w:sz="12" w:space="0" w:color="auto"/>
            </w:tcBorders>
            <w:shd w:val="clear" w:color="auto" w:fill="auto"/>
          </w:tcPr>
          <w:p w14:paraId="39E24943"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Eastern Europe</w:t>
            </w:r>
          </w:p>
        </w:tc>
        <w:tc>
          <w:tcPr>
            <w:tcW w:w="992" w:type="dxa"/>
            <w:tcBorders>
              <w:top w:val="single" w:sz="4" w:space="0" w:color="auto"/>
              <w:bottom w:val="single" w:sz="12" w:space="0" w:color="auto"/>
            </w:tcBorders>
            <w:shd w:val="clear" w:color="auto" w:fill="auto"/>
          </w:tcPr>
          <w:p w14:paraId="39215121"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South-Eastern Europe</w:t>
            </w:r>
          </w:p>
        </w:tc>
        <w:tc>
          <w:tcPr>
            <w:tcW w:w="1134" w:type="dxa"/>
            <w:tcBorders>
              <w:top w:val="single" w:sz="4" w:space="0" w:color="auto"/>
              <w:bottom w:val="single" w:sz="12" w:space="0" w:color="auto"/>
            </w:tcBorders>
            <w:shd w:val="clear" w:color="auto" w:fill="auto"/>
          </w:tcPr>
          <w:p w14:paraId="4E3224E5" w14:textId="77777777" w:rsidR="0009316F" w:rsidRPr="00987FC5" w:rsidRDefault="0009316F" w:rsidP="00C439AF">
            <w:pPr>
              <w:suppressAutoHyphens w:val="0"/>
              <w:spacing w:before="80" w:line="200" w:lineRule="exact"/>
              <w:jc w:val="center"/>
              <w:rPr>
                <w:i/>
                <w:iCs/>
                <w:sz w:val="18"/>
                <w:szCs w:val="18"/>
              </w:rPr>
            </w:pPr>
            <w:r w:rsidRPr="00987FC5">
              <w:rPr>
                <w:i/>
                <w:iCs/>
                <w:sz w:val="18"/>
                <w:szCs w:val="18"/>
              </w:rPr>
              <w:t>Pan-European region</w:t>
            </w:r>
          </w:p>
        </w:tc>
      </w:tr>
      <w:tr w:rsidR="0009316F" w:rsidRPr="00261CCE" w14:paraId="3871ECA0" w14:textId="77777777" w:rsidTr="00C439AF">
        <w:trPr>
          <w:trHeight w:hRule="exact" w:val="82"/>
        </w:trPr>
        <w:tc>
          <w:tcPr>
            <w:tcW w:w="1638" w:type="dxa"/>
            <w:tcBorders>
              <w:top w:val="single" w:sz="12" w:space="0" w:color="auto"/>
            </w:tcBorders>
            <w:shd w:val="clear" w:color="auto" w:fill="auto"/>
          </w:tcPr>
          <w:p w14:paraId="4439A869" w14:textId="77777777" w:rsidR="0009316F" w:rsidRPr="00261CCE" w:rsidRDefault="0009316F" w:rsidP="00C439AF">
            <w:pPr>
              <w:suppressAutoHyphens w:val="0"/>
              <w:spacing w:before="40" w:after="40" w:line="220" w:lineRule="exact"/>
              <w:rPr>
                <w:sz w:val="18"/>
                <w:szCs w:val="18"/>
              </w:rPr>
            </w:pPr>
          </w:p>
        </w:tc>
        <w:tc>
          <w:tcPr>
            <w:tcW w:w="914" w:type="dxa"/>
            <w:tcBorders>
              <w:top w:val="single" w:sz="12" w:space="0" w:color="auto"/>
            </w:tcBorders>
            <w:shd w:val="clear" w:color="auto" w:fill="auto"/>
            <w:vAlign w:val="bottom"/>
          </w:tcPr>
          <w:p w14:paraId="72FEA1E1" w14:textId="77777777" w:rsidR="0009316F" w:rsidRPr="00261CCE" w:rsidRDefault="0009316F" w:rsidP="00C439AF">
            <w:pPr>
              <w:suppressAutoHyphens w:val="0"/>
              <w:spacing w:before="40" w:after="40" w:line="220" w:lineRule="exact"/>
              <w:jc w:val="right"/>
              <w:rPr>
                <w:sz w:val="18"/>
                <w:szCs w:val="18"/>
              </w:rPr>
            </w:pPr>
          </w:p>
        </w:tc>
        <w:tc>
          <w:tcPr>
            <w:tcW w:w="992" w:type="dxa"/>
            <w:tcBorders>
              <w:top w:val="single" w:sz="12" w:space="0" w:color="auto"/>
            </w:tcBorders>
            <w:shd w:val="clear" w:color="auto" w:fill="auto"/>
            <w:vAlign w:val="bottom"/>
          </w:tcPr>
          <w:p w14:paraId="2D95177F" w14:textId="77777777" w:rsidR="0009316F" w:rsidRPr="00261CCE" w:rsidRDefault="0009316F" w:rsidP="00C439AF">
            <w:pPr>
              <w:suppressAutoHyphens w:val="0"/>
              <w:spacing w:before="40" w:after="40" w:line="220" w:lineRule="exact"/>
              <w:jc w:val="right"/>
              <w:rPr>
                <w:sz w:val="18"/>
                <w:szCs w:val="18"/>
              </w:rPr>
            </w:pPr>
          </w:p>
        </w:tc>
        <w:tc>
          <w:tcPr>
            <w:tcW w:w="851" w:type="dxa"/>
            <w:tcBorders>
              <w:top w:val="single" w:sz="12" w:space="0" w:color="auto"/>
            </w:tcBorders>
            <w:shd w:val="clear" w:color="auto" w:fill="auto"/>
            <w:vAlign w:val="bottom"/>
          </w:tcPr>
          <w:p w14:paraId="4BB32632" w14:textId="77777777" w:rsidR="0009316F" w:rsidRPr="00261CCE" w:rsidRDefault="0009316F" w:rsidP="00C439AF">
            <w:pPr>
              <w:suppressAutoHyphens w:val="0"/>
              <w:spacing w:before="40" w:after="40" w:line="220" w:lineRule="exact"/>
              <w:jc w:val="right"/>
              <w:rPr>
                <w:sz w:val="18"/>
                <w:szCs w:val="18"/>
              </w:rPr>
            </w:pPr>
          </w:p>
        </w:tc>
        <w:tc>
          <w:tcPr>
            <w:tcW w:w="992" w:type="dxa"/>
            <w:tcBorders>
              <w:top w:val="single" w:sz="12" w:space="0" w:color="auto"/>
            </w:tcBorders>
            <w:shd w:val="clear" w:color="auto" w:fill="auto"/>
            <w:vAlign w:val="bottom"/>
          </w:tcPr>
          <w:p w14:paraId="32CD3BCF" w14:textId="77777777" w:rsidR="0009316F" w:rsidRPr="00261CCE" w:rsidRDefault="0009316F" w:rsidP="00C439AF">
            <w:pPr>
              <w:suppressAutoHyphens w:val="0"/>
              <w:spacing w:before="40" w:after="40" w:line="220" w:lineRule="exact"/>
              <w:jc w:val="right"/>
              <w:rPr>
                <w:sz w:val="18"/>
                <w:szCs w:val="18"/>
              </w:rPr>
            </w:pPr>
          </w:p>
        </w:tc>
        <w:tc>
          <w:tcPr>
            <w:tcW w:w="992" w:type="dxa"/>
            <w:tcBorders>
              <w:top w:val="single" w:sz="12" w:space="0" w:color="auto"/>
            </w:tcBorders>
            <w:shd w:val="clear" w:color="auto" w:fill="auto"/>
            <w:vAlign w:val="bottom"/>
          </w:tcPr>
          <w:p w14:paraId="067C4068" w14:textId="77777777" w:rsidR="0009316F" w:rsidRPr="00261CCE" w:rsidRDefault="0009316F" w:rsidP="00C439AF">
            <w:pPr>
              <w:suppressAutoHyphens w:val="0"/>
              <w:spacing w:before="40" w:after="40" w:line="220" w:lineRule="exact"/>
              <w:jc w:val="right"/>
              <w:rPr>
                <w:sz w:val="18"/>
                <w:szCs w:val="18"/>
              </w:rPr>
            </w:pPr>
          </w:p>
        </w:tc>
        <w:tc>
          <w:tcPr>
            <w:tcW w:w="1134" w:type="dxa"/>
            <w:tcBorders>
              <w:top w:val="single" w:sz="12" w:space="0" w:color="auto"/>
            </w:tcBorders>
            <w:shd w:val="clear" w:color="auto" w:fill="auto"/>
            <w:vAlign w:val="bottom"/>
          </w:tcPr>
          <w:p w14:paraId="67BF7ED7" w14:textId="77777777" w:rsidR="0009316F" w:rsidRPr="00261CCE" w:rsidRDefault="0009316F" w:rsidP="00C439AF">
            <w:pPr>
              <w:suppressAutoHyphens w:val="0"/>
              <w:spacing w:before="40" w:after="40" w:line="220" w:lineRule="exact"/>
              <w:jc w:val="right"/>
              <w:rPr>
                <w:sz w:val="18"/>
                <w:szCs w:val="18"/>
              </w:rPr>
            </w:pPr>
          </w:p>
        </w:tc>
      </w:tr>
      <w:tr w:rsidR="0009316F" w:rsidRPr="00261CCE" w14:paraId="21219176" w14:textId="77777777" w:rsidTr="00C439AF">
        <w:tc>
          <w:tcPr>
            <w:tcW w:w="1638" w:type="dxa"/>
            <w:shd w:val="clear" w:color="auto" w:fill="auto"/>
          </w:tcPr>
          <w:p w14:paraId="058F8CE5" w14:textId="77777777" w:rsidR="0009316F" w:rsidRPr="00261CCE" w:rsidRDefault="0009316F" w:rsidP="00C439AF">
            <w:pPr>
              <w:suppressAutoHyphens w:val="0"/>
              <w:spacing w:before="40" w:after="40" w:line="220" w:lineRule="exact"/>
              <w:rPr>
                <w:sz w:val="18"/>
                <w:szCs w:val="18"/>
              </w:rPr>
            </w:pPr>
            <w:r w:rsidRPr="00261CCE">
              <w:rPr>
                <w:sz w:val="18"/>
                <w:szCs w:val="18"/>
              </w:rPr>
              <w:t>Percentage of 12 MEAs to which countries are party</w:t>
            </w:r>
          </w:p>
        </w:tc>
        <w:tc>
          <w:tcPr>
            <w:tcW w:w="914" w:type="dxa"/>
            <w:shd w:val="clear" w:color="auto" w:fill="auto"/>
            <w:vAlign w:val="bottom"/>
          </w:tcPr>
          <w:p w14:paraId="6F1CEDB4"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93</w:t>
            </w:r>
          </w:p>
        </w:tc>
        <w:tc>
          <w:tcPr>
            <w:tcW w:w="992" w:type="dxa"/>
            <w:shd w:val="clear" w:color="auto" w:fill="auto"/>
            <w:vAlign w:val="bottom"/>
          </w:tcPr>
          <w:p w14:paraId="43D7FB4A"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47</w:t>
            </w:r>
          </w:p>
        </w:tc>
        <w:tc>
          <w:tcPr>
            <w:tcW w:w="851" w:type="dxa"/>
            <w:shd w:val="clear" w:color="auto" w:fill="auto"/>
            <w:vAlign w:val="bottom"/>
          </w:tcPr>
          <w:p w14:paraId="4FD02B1C"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40</w:t>
            </w:r>
          </w:p>
        </w:tc>
        <w:tc>
          <w:tcPr>
            <w:tcW w:w="992" w:type="dxa"/>
            <w:shd w:val="clear" w:color="auto" w:fill="auto"/>
            <w:vAlign w:val="bottom"/>
          </w:tcPr>
          <w:p w14:paraId="0012BA3A"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68</w:t>
            </w:r>
          </w:p>
        </w:tc>
        <w:tc>
          <w:tcPr>
            <w:tcW w:w="992" w:type="dxa"/>
            <w:shd w:val="clear" w:color="auto" w:fill="auto"/>
            <w:vAlign w:val="bottom"/>
          </w:tcPr>
          <w:p w14:paraId="697EE982"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81</w:t>
            </w:r>
          </w:p>
        </w:tc>
        <w:tc>
          <w:tcPr>
            <w:tcW w:w="1134" w:type="dxa"/>
            <w:shd w:val="clear" w:color="auto" w:fill="auto"/>
            <w:vAlign w:val="bottom"/>
          </w:tcPr>
          <w:p w14:paraId="44D10109" w14:textId="77777777" w:rsidR="0009316F" w:rsidRPr="00261CCE" w:rsidRDefault="0009316F" w:rsidP="00C439AF">
            <w:pPr>
              <w:suppressAutoHyphens w:val="0"/>
              <w:spacing w:before="40" w:after="40" w:line="480" w:lineRule="auto"/>
              <w:jc w:val="center"/>
              <w:rPr>
                <w:sz w:val="18"/>
                <w:szCs w:val="28"/>
              </w:rPr>
            </w:pPr>
            <w:r w:rsidRPr="00261CCE">
              <w:rPr>
                <w:sz w:val="18"/>
                <w:szCs w:val="18"/>
              </w:rPr>
              <w:t>76</w:t>
            </w:r>
          </w:p>
        </w:tc>
      </w:tr>
      <w:tr w:rsidR="0009316F" w:rsidRPr="00261CCE" w14:paraId="5743DD22" w14:textId="77777777" w:rsidTr="00C439AF">
        <w:trPr>
          <w:trHeight w:val="1669"/>
        </w:trPr>
        <w:tc>
          <w:tcPr>
            <w:tcW w:w="1638" w:type="dxa"/>
            <w:shd w:val="clear" w:color="auto" w:fill="auto"/>
          </w:tcPr>
          <w:p w14:paraId="1FD61185" w14:textId="77777777" w:rsidR="0009316F" w:rsidRPr="00261CCE" w:rsidRDefault="0009316F" w:rsidP="00C439AF">
            <w:pPr>
              <w:suppressAutoHyphens w:val="0"/>
              <w:spacing w:before="40" w:after="40" w:line="220" w:lineRule="exact"/>
              <w:rPr>
                <w:sz w:val="18"/>
                <w:szCs w:val="18"/>
              </w:rPr>
            </w:pPr>
            <w:r w:rsidRPr="00261CCE">
              <w:rPr>
                <w:sz w:val="18"/>
                <w:szCs w:val="18"/>
              </w:rPr>
              <w:t>Percentage of countries with legislation or regulations on mandatory corporate sustainability reporting</w:t>
            </w:r>
          </w:p>
        </w:tc>
        <w:tc>
          <w:tcPr>
            <w:tcW w:w="914" w:type="dxa"/>
            <w:shd w:val="clear" w:color="auto" w:fill="auto"/>
            <w:vAlign w:val="bottom"/>
          </w:tcPr>
          <w:p w14:paraId="726AD0E3"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100</w:t>
            </w:r>
          </w:p>
        </w:tc>
        <w:tc>
          <w:tcPr>
            <w:tcW w:w="992" w:type="dxa"/>
            <w:shd w:val="clear" w:color="auto" w:fill="auto"/>
            <w:vAlign w:val="bottom"/>
          </w:tcPr>
          <w:p w14:paraId="06DC8FCD"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56</w:t>
            </w:r>
          </w:p>
        </w:tc>
        <w:tc>
          <w:tcPr>
            <w:tcW w:w="851" w:type="dxa"/>
            <w:shd w:val="clear" w:color="auto" w:fill="auto"/>
            <w:vAlign w:val="bottom"/>
          </w:tcPr>
          <w:p w14:paraId="56855E59"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20</w:t>
            </w:r>
          </w:p>
        </w:tc>
        <w:tc>
          <w:tcPr>
            <w:tcW w:w="992" w:type="dxa"/>
            <w:shd w:val="clear" w:color="auto" w:fill="auto"/>
            <w:vAlign w:val="bottom"/>
          </w:tcPr>
          <w:p w14:paraId="558162FC"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29</w:t>
            </w:r>
          </w:p>
        </w:tc>
        <w:tc>
          <w:tcPr>
            <w:tcW w:w="992" w:type="dxa"/>
            <w:shd w:val="clear" w:color="auto" w:fill="auto"/>
            <w:vAlign w:val="bottom"/>
          </w:tcPr>
          <w:p w14:paraId="5FBF318A"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50</w:t>
            </w:r>
          </w:p>
        </w:tc>
        <w:tc>
          <w:tcPr>
            <w:tcW w:w="1134" w:type="dxa"/>
            <w:shd w:val="clear" w:color="auto" w:fill="auto"/>
            <w:vAlign w:val="bottom"/>
          </w:tcPr>
          <w:p w14:paraId="44DC6CB9" w14:textId="77777777" w:rsidR="0009316F" w:rsidRPr="00261CCE" w:rsidRDefault="0009316F" w:rsidP="00C439AF">
            <w:pPr>
              <w:suppressAutoHyphens w:val="0"/>
              <w:spacing w:before="240" w:after="40" w:line="720" w:lineRule="auto"/>
              <w:jc w:val="center"/>
              <w:rPr>
                <w:sz w:val="18"/>
                <w:szCs w:val="18"/>
              </w:rPr>
            </w:pPr>
            <w:r w:rsidRPr="00261CCE">
              <w:rPr>
                <w:sz w:val="18"/>
                <w:szCs w:val="18"/>
              </w:rPr>
              <w:t>70</w:t>
            </w:r>
          </w:p>
        </w:tc>
      </w:tr>
      <w:tr w:rsidR="0009316F" w:rsidRPr="00261CCE" w14:paraId="59C6DCF6" w14:textId="77777777" w:rsidTr="00C439AF">
        <w:trPr>
          <w:trHeight w:hRule="exact" w:val="52"/>
        </w:trPr>
        <w:tc>
          <w:tcPr>
            <w:tcW w:w="1638" w:type="dxa"/>
            <w:tcBorders>
              <w:bottom w:val="single" w:sz="12" w:space="0" w:color="auto"/>
            </w:tcBorders>
            <w:shd w:val="clear" w:color="auto" w:fill="auto"/>
          </w:tcPr>
          <w:p w14:paraId="618738B7" w14:textId="77777777" w:rsidR="0009316F" w:rsidRPr="00261CCE" w:rsidRDefault="0009316F" w:rsidP="00C439AF">
            <w:pPr>
              <w:suppressAutoHyphens w:val="0"/>
              <w:spacing w:before="40" w:after="40" w:line="220" w:lineRule="exact"/>
              <w:rPr>
                <w:sz w:val="18"/>
                <w:szCs w:val="18"/>
              </w:rPr>
            </w:pPr>
          </w:p>
        </w:tc>
        <w:tc>
          <w:tcPr>
            <w:tcW w:w="914" w:type="dxa"/>
            <w:tcBorders>
              <w:bottom w:val="single" w:sz="12" w:space="0" w:color="auto"/>
            </w:tcBorders>
            <w:shd w:val="clear" w:color="auto" w:fill="auto"/>
            <w:vAlign w:val="bottom"/>
          </w:tcPr>
          <w:p w14:paraId="1B97BCBE" w14:textId="77777777" w:rsidR="0009316F" w:rsidRPr="00261CCE" w:rsidRDefault="0009316F" w:rsidP="00C439AF">
            <w:pPr>
              <w:suppressAutoHyphens w:val="0"/>
              <w:spacing w:before="40" w:after="40" w:line="220" w:lineRule="exact"/>
              <w:jc w:val="right"/>
              <w:rPr>
                <w:sz w:val="18"/>
                <w:szCs w:val="18"/>
              </w:rPr>
            </w:pPr>
          </w:p>
        </w:tc>
        <w:tc>
          <w:tcPr>
            <w:tcW w:w="992" w:type="dxa"/>
            <w:tcBorders>
              <w:bottom w:val="single" w:sz="12" w:space="0" w:color="auto"/>
            </w:tcBorders>
            <w:shd w:val="clear" w:color="auto" w:fill="auto"/>
            <w:vAlign w:val="bottom"/>
          </w:tcPr>
          <w:p w14:paraId="27308CF5" w14:textId="77777777" w:rsidR="0009316F" w:rsidRPr="00261CCE" w:rsidRDefault="0009316F" w:rsidP="00C439AF">
            <w:pPr>
              <w:suppressAutoHyphens w:val="0"/>
              <w:spacing w:before="40" w:after="40" w:line="220" w:lineRule="exact"/>
              <w:jc w:val="right"/>
              <w:rPr>
                <w:sz w:val="18"/>
                <w:szCs w:val="18"/>
              </w:rPr>
            </w:pPr>
          </w:p>
        </w:tc>
        <w:tc>
          <w:tcPr>
            <w:tcW w:w="851" w:type="dxa"/>
            <w:tcBorders>
              <w:bottom w:val="single" w:sz="12" w:space="0" w:color="auto"/>
            </w:tcBorders>
            <w:shd w:val="clear" w:color="auto" w:fill="auto"/>
            <w:vAlign w:val="bottom"/>
          </w:tcPr>
          <w:p w14:paraId="0C9C54DF" w14:textId="77777777" w:rsidR="0009316F" w:rsidRPr="00261CCE" w:rsidRDefault="0009316F" w:rsidP="00C439AF">
            <w:pPr>
              <w:suppressAutoHyphens w:val="0"/>
              <w:spacing w:before="40" w:after="40" w:line="220" w:lineRule="exact"/>
              <w:jc w:val="right"/>
              <w:rPr>
                <w:sz w:val="18"/>
                <w:szCs w:val="18"/>
              </w:rPr>
            </w:pPr>
          </w:p>
        </w:tc>
        <w:tc>
          <w:tcPr>
            <w:tcW w:w="992" w:type="dxa"/>
            <w:tcBorders>
              <w:bottom w:val="single" w:sz="12" w:space="0" w:color="auto"/>
            </w:tcBorders>
            <w:shd w:val="clear" w:color="auto" w:fill="auto"/>
            <w:vAlign w:val="bottom"/>
          </w:tcPr>
          <w:p w14:paraId="64709586" w14:textId="77777777" w:rsidR="0009316F" w:rsidRPr="00261CCE" w:rsidRDefault="0009316F" w:rsidP="00C439AF">
            <w:pPr>
              <w:suppressAutoHyphens w:val="0"/>
              <w:spacing w:before="40" w:after="40" w:line="220" w:lineRule="exact"/>
              <w:jc w:val="right"/>
              <w:rPr>
                <w:sz w:val="18"/>
                <w:szCs w:val="18"/>
              </w:rPr>
            </w:pPr>
          </w:p>
        </w:tc>
        <w:tc>
          <w:tcPr>
            <w:tcW w:w="992" w:type="dxa"/>
            <w:tcBorders>
              <w:bottom w:val="single" w:sz="12" w:space="0" w:color="auto"/>
            </w:tcBorders>
            <w:shd w:val="clear" w:color="auto" w:fill="auto"/>
            <w:vAlign w:val="bottom"/>
          </w:tcPr>
          <w:p w14:paraId="4E251D74" w14:textId="77777777" w:rsidR="0009316F" w:rsidRPr="00261CCE" w:rsidRDefault="0009316F" w:rsidP="00C439AF">
            <w:pPr>
              <w:suppressAutoHyphens w:val="0"/>
              <w:spacing w:before="40" w:after="40" w:line="220" w:lineRule="exact"/>
              <w:jc w:val="right"/>
              <w:rPr>
                <w:sz w:val="18"/>
                <w:szCs w:val="18"/>
              </w:rPr>
            </w:pPr>
          </w:p>
        </w:tc>
        <w:tc>
          <w:tcPr>
            <w:tcW w:w="1134" w:type="dxa"/>
            <w:tcBorders>
              <w:bottom w:val="single" w:sz="12" w:space="0" w:color="auto"/>
            </w:tcBorders>
            <w:shd w:val="clear" w:color="auto" w:fill="auto"/>
            <w:vAlign w:val="bottom"/>
          </w:tcPr>
          <w:p w14:paraId="00E7DAF0" w14:textId="77777777" w:rsidR="0009316F" w:rsidRPr="00261CCE" w:rsidRDefault="0009316F" w:rsidP="00C439AF">
            <w:pPr>
              <w:suppressAutoHyphens w:val="0"/>
              <w:spacing w:before="40" w:after="40" w:line="220" w:lineRule="exact"/>
              <w:jc w:val="right"/>
              <w:rPr>
                <w:sz w:val="18"/>
                <w:szCs w:val="18"/>
              </w:rPr>
            </w:pPr>
          </w:p>
        </w:tc>
      </w:tr>
    </w:tbl>
    <w:p w14:paraId="3D17B6EA" w14:textId="77777777" w:rsidR="0009316F" w:rsidRPr="00261CCE" w:rsidRDefault="0009316F" w:rsidP="0009316F">
      <w:pPr>
        <w:tabs>
          <w:tab w:val="left" w:pos="2694"/>
        </w:tabs>
        <w:spacing w:before="120" w:line="240" w:lineRule="auto"/>
        <w:ind w:left="1123" w:right="850" w:firstLine="578"/>
        <w:textAlignment w:val="baseline"/>
        <w:rPr>
          <w:rFonts w:ascii="Segoe UI" w:hAnsi="Segoe UI" w:cs="Segoe UI"/>
          <w:sz w:val="18"/>
          <w:szCs w:val="18"/>
          <w:lang w:eastAsia="zh-CN"/>
        </w:rPr>
      </w:pPr>
      <w:r w:rsidRPr="00261CCE">
        <w:rPr>
          <w:i/>
          <w:iCs/>
          <w:sz w:val="18"/>
          <w:szCs w:val="18"/>
          <w:lang w:eastAsia="zh-CN"/>
        </w:rPr>
        <w:t>Sources</w:t>
      </w:r>
      <w:r w:rsidRPr="00261CCE">
        <w:rPr>
          <w:sz w:val="18"/>
          <w:szCs w:val="18"/>
          <w:lang w:eastAsia="zh-CN"/>
        </w:rPr>
        <w:t xml:space="preserve">: For parties to MEAs </w:t>
      </w:r>
      <w:r w:rsidRPr="00261CCE">
        <w:rPr>
          <w:sz w:val="18"/>
          <w:szCs w:val="18"/>
        </w:rPr>
        <w:t xml:space="preserve">– </w:t>
      </w:r>
      <w:r w:rsidRPr="00261CCE">
        <w:rPr>
          <w:sz w:val="18"/>
          <w:szCs w:val="18"/>
          <w:lang w:eastAsia="zh-CN"/>
        </w:rPr>
        <w:t xml:space="preserve">United Nations Treaty Collection and websites of treaties; For mandatory corporate sustainability reporting </w:t>
      </w:r>
      <w:r w:rsidRPr="00261CCE">
        <w:rPr>
          <w:sz w:val="18"/>
          <w:szCs w:val="18"/>
        </w:rPr>
        <w:t xml:space="preserve">– </w:t>
      </w:r>
      <w:r w:rsidRPr="00261CCE">
        <w:rPr>
          <w:sz w:val="18"/>
          <w:szCs w:val="18"/>
          <w:lang w:eastAsia="zh-CN"/>
        </w:rPr>
        <w:t>Database of mandatory and voluntary instruments that either require or encourage organizations to report sustainability-related information, 2020, Carrots and Sticks, available at www.carrotsandsticks.net/.  </w:t>
      </w:r>
    </w:p>
    <w:p w14:paraId="51D10360" w14:textId="77777777" w:rsidR="0009316F" w:rsidRDefault="0009316F" w:rsidP="0009316F">
      <w:pPr>
        <w:ind w:left="1134" w:right="1134" w:firstLine="567"/>
        <w:jc w:val="both"/>
        <w:rPr>
          <w:i/>
          <w:iCs/>
          <w:sz w:val="18"/>
          <w:szCs w:val="18"/>
        </w:rPr>
      </w:pPr>
      <w:r w:rsidRPr="00261CCE">
        <w:rPr>
          <w:i/>
          <w:iCs/>
          <w:sz w:val="18"/>
          <w:szCs w:val="18"/>
        </w:rPr>
        <w:t>Note</w:t>
      </w:r>
      <w:r w:rsidRPr="00261CCE">
        <w:rPr>
          <w:sz w:val="18"/>
          <w:szCs w:val="18"/>
        </w:rPr>
        <w:t xml:space="preserve">: The multilateral environmental agreements are eight ECE environmental treaties, plus three global chemicals conventions and the Convention on the Conservation of Migratory Species of </w:t>
      </w:r>
      <w:r w:rsidRPr="00261CCE">
        <w:rPr>
          <w:sz w:val="18"/>
          <w:szCs w:val="18"/>
        </w:rPr>
        <w:lastRenderedPageBreak/>
        <w:t>Wild Animals. There are no data for several countries in Central Asia, Eastern Europe and South-Eastern Europe.</w:t>
      </w:r>
      <w:r w:rsidRPr="00497BEE">
        <w:rPr>
          <w:i/>
          <w:iCs/>
          <w:sz w:val="18"/>
          <w:szCs w:val="18"/>
        </w:rPr>
        <w:t xml:space="preserve"> </w:t>
      </w:r>
    </w:p>
    <w:p w14:paraId="5A7B67F2" w14:textId="77777777" w:rsidR="0009316F" w:rsidRPr="00261CCE" w:rsidRDefault="0009316F" w:rsidP="0009316F">
      <w:pPr>
        <w:ind w:left="1134" w:right="1134" w:firstLine="567"/>
        <w:jc w:val="both"/>
        <w:rPr>
          <w:i/>
          <w:iCs/>
          <w:sz w:val="18"/>
          <w:szCs w:val="18"/>
        </w:rPr>
      </w:pPr>
      <w:r w:rsidRPr="00261CCE">
        <w:rPr>
          <w:i/>
          <w:iCs/>
          <w:sz w:val="18"/>
          <w:szCs w:val="18"/>
        </w:rPr>
        <w:t>Abbreviations</w:t>
      </w:r>
      <w:r w:rsidRPr="00261CCE">
        <w:rPr>
          <w:sz w:val="18"/>
          <w:szCs w:val="18"/>
        </w:rPr>
        <w:t>: MEA, multilateral environmental agreement.</w:t>
      </w:r>
    </w:p>
    <w:p w14:paraId="44441109" w14:textId="77777777" w:rsidR="0009316F" w:rsidRPr="00261CCE" w:rsidRDefault="0009316F" w:rsidP="0009316F">
      <w:pPr>
        <w:keepNext/>
        <w:keepLines/>
        <w:tabs>
          <w:tab w:val="right" w:pos="851"/>
        </w:tabs>
        <w:spacing w:before="240" w:after="120" w:line="240" w:lineRule="exact"/>
        <w:ind w:left="1134" w:right="1134" w:hanging="1134"/>
        <w:rPr>
          <w:b/>
        </w:rPr>
      </w:pPr>
      <w:r w:rsidRPr="00261CCE">
        <w:rPr>
          <w:b/>
        </w:rPr>
        <w:tab/>
        <w:t>19.</w:t>
      </w:r>
      <w:r w:rsidRPr="00261CCE">
        <w:rPr>
          <w:b/>
        </w:rPr>
        <w:tab/>
        <w:t xml:space="preserve">Monitoring and information management </w:t>
      </w:r>
    </w:p>
    <w:p w14:paraId="024E6CED" w14:textId="7C3284CD" w:rsidR="0009316F" w:rsidRPr="00261CCE" w:rsidRDefault="00DF1C90" w:rsidP="0009316F">
      <w:pPr>
        <w:spacing w:after="120"/>
        <w:ind w:left="1134" w:right="1134"/>
        <w:jc w:val="both"/>
      </w:pPr>
      <w:r>
        <w:t>44</w:t>
      </w:r>
      <w:r w:rsidR="0009316F" w:rsidRPr="00261CCE">
        <w:t>.</w:t>
      </w:r>
      <w:r w:rsidR="0009316F" w:rsidRPr="00261CCE">
        <w:tab/>
        <w:t xml:space="preserve">Availability and access to information and knowledge to support government decision-makers, </w:t>
      </w:r>
      <w:r w:rsidR="007B3B94">
        <w:t xml:space="preserve">the </w:t>
      </w:r>
      <w:r w:rsidR="00BD0797">
        <w:t xml:space="preserve">private sector, </w:t>
      </w:r>
      <w:r w:rsidR="0009316F" w:rsidRPr="00261CCE">
        <w:t xml:space="preserve">industry and the public taking impact-oriented choices is improving but continues to be challenging in some sectors more than in others. It constitutes a challenge for measuring progress towards policy targets in the pan-European region, including for emerging policy developments such as circular economy or sustainable infrastructure, as revealed during this assessment. This assessment reveals various data gaps across the region in almost all areas, with data available for some countries but not others, or no recent data available. Data for some indicators needed for this assessment are not routinely collected, in particular for emerging policies including the two conference themes. </w:t>
      </w:r>
    </w:p>
    <w:p w14:paraId="15B56DBB" w14:textId="1DD634FA" w:rsidR="0009316F" w:rsidRPr="00261CCE" w:rsidRDefault="00DF1C90" w:rsidP="0009316F">
      <w:pPr>
        <w:spacing w:after="120"/>
        <w:ind w:left="1134" w:right="1134"/>
        <w:jc w:val="both"/>
      </w:pPr>
      <w:r>
        <w:t>45</w:t>
      </w:r>
      <w:r w:rsidR="0009316F" w:rsidRPr="00261CCE">
        <w:t>.</w:t>
      </w:r>
      <w:r w:rsidR="0009316F" w:rsidRPr="00261CCE">
        <w:tab/>
        <w:t xml:space="preserve">While, according to the Final review report on the establishment of the Shared Environmental Information System (ECE/CEP/AC.10/2021/6), such national systems have been successfully established in all countries in Europe and Central Asia, the systems vary in form and regularity regarding their updates and content. Gaps remain that need to be addressed, including regarding compliance with all principles and pillars of the Shared Environmental Information System and the full production and sharing of all data flows associated with the ECE environmental indicators. Monitoring gaps, both in terms of data availability and quality, were identified during the assessment for the region. Examples include: </w:t>
      </w:r>
    </w:p>
    <w:p w14:paraId="6C3F6A29" w14:textId="77777777" w:rsidR="0009316F" w:rsidRPr="00261CCE" w:rsidRDefault="0009316F" w:rsidP="0009316F">
      <w:pPr>
        <w:spacing w:after="120"/>
        <w:ind w:left="1134" w:right="1134" w:firstLine="567"/>
        <w:jc w:val="both"/>
      </w:pPr>
      <w:r w:rsidRPr="00261CCE">
        <w:t>(a)</w:t>
      </w:r>
      <w:r w:rsidRPr="00261CCE">
        <w:tab/>
        <w:t>Air and climate change: Gaps remain for the measurement and analysis of fine particulate matter and the quality of data varies widely for emissions. Data sets on greenhouse gas emissions remain incomplete for some countries;</w:t>
      </w:r>
    </w:p>
    <w:p w14:paraId="7B5F9B7C" w14:textId="60E2E83B" w:rsidR="00363381" w:rsidRPr="00261CCE" w:rsidRDefault="00363381" w:rsidP="00A554C0">
      <w:pPr>
        <w:spacing w:after="120"/>
        <w:ind w:left="1134" w:right="1134" w:firstLine="567"/>
        <w:jc w:val="both"/>
      </w:pPr>
      <w:r>
        <w:t>(b)</w:t>
      </w:r>
      <w:r>
        <w:tab/>
        <w:t xml:space="preserve">Noise: </w:t>
      </w:r>
      <w:r w:rsidR="000B55C2">
        <w:t>The assessment does not address noise</w:t>
      </w:r>
      <w:r w:rsidR="00B431EA">
        <w:t xml:space="preserve"> </w:t>
      </w:r>
      <w:r w:rsidR="005936C7">
        <w:t xml:space="preserve">due to the lack of data across the </w:t>
      </w:r>
      <w:r w:rsidR="00430182">
        <w:t xml:space="preserve">pan-European </w:t>
      </w:r>
      <w:r w:rsidR="005936C7">
        <w:t xml:space="preserve">region. </w:t>
      </w:r>
      <w:r w:rsidR="00827688">
        <w:t>The World Health Organization (</w:t>
      </w:r>
      <w:r w:rsidR="00A554C0">
        <w:t>WHO</w:t>
      </w:r>
      <w:r w:rsidR="00827688">
        <w:t>)</w:t>
      </w:r>
      <w:r w:rsidR="00A554C0">
        <w:t xml:space="preserve"> has identified long-term noise exposure as an important public health issue and the second most significant environmental cause of ill health </w:t>
      </w:r>
      <w:r w:rsidR="00DB25C8">
        <w:t xml:space="preserve">after air pollution </w:t>
      </w:r>
      <w:r w:rsidR="00A554C0">
        <w:t xml:space="preserve">in </w:t>
      </w:r>
      <w:r w:rsidR="005936C7">
        <w:t>W</w:t>
      </w:r>
      <w:r w:rsidR="00A554C0">
        <w:t>estern Europe</w:t>
      </w:r>
      <w:r w:rsidR="005936C7">
        <w:t xml:space="preserve"> and the European Union, for example;</w:t>
      </w:r>
    </w:p>
    <w:p w14:paraId="57D8A5D2" w14:textId="7BF4118C" w:rsidR="0009316F" w:rsidRPr="00261CCE" w:rsidRDefault="0009316F" w:rsidP="0009316F">
      <w:pPr>
        <w:spacing w:after="120"/>
        <w:ind w:left="1134" w:right="1134" w:firstLine="567"/>
        <w:jc w:val="both"/>
      </w:pPr>
      <w:r w:rsidRPr="00BA1D9E">
        <w:t>(</w:t>
      </w:r>
      <w:r w:rsidR="00035A54" w:rsidRPr="00BA1D9E">
        <w:t>c</w:t>
      </w:r>
      <w:r w:rsidRPr="00BA1D9E">
        <w:t>)</w:t>
      </w:r>
      <w:r w:rsidRPr="00BA1D9E">
        <w:tab/>
        <w:t>Fresh water: The use of geographic information systems needs to be</w:t>
      </w:r>
      <w:r w:rsidRPr="00261CCE">
        <w:t xml:space="preserve"> strengthened, in particular at the transboundary level, and there is a need to enhance water statistics. Ecological water quality assessment and the identification of hydromorphological pressures require knowledge not yet available everywhere in the region. The monitoring of emerging contaminants requires more attention throughout the pan-European region. Monitoring and data are incomplete for production of certain indicators;</w:t>
      </w:r>
    </w:p>
    <w:p w14:paraId="2D5E5E1B" w14:textId="5D521A33" w:rsidR="0009316F" w:rsidRPr="00261CCE" w:rsidRDefault="0009316F" w:rsidP="0009316F">
      <w:pPr>
        <w:spacing w:after="120"/>
        <w:ind w:left="1134" w:right="1134" w:firstLine="567"/>
        <w:jc w:val="both"/>
        <w:rPr>
          <w:i/>
          <w:iCs/>
          <w:sz w:val="18"/>
          <w:szCs w:val="18"/>
        </w:rPr>
      </w:pPr>
      <w:r w:rsidRPr="00261CCE">
        <w:t>(</w:t>
      </w:r>
      <w:r w:rsidR="00035A54">
        <w:t>d</w:t>
      </w:r>
      <w:r w:rsidRPr="00261CCE">
        <w:t>)</w:t>
      </w:r>
      <w:r w:rsidRPr="00261CCE">
        <w:tab/>
        <w:t>Coastal waters, marine ecosystems and seas: Challenges remain regarding the spatial and temporal data coverage and data gaps remain, for example, for the amounts, composition and sources of beach and marine litter in parts of the region;</w:t>
      </w:r>
    </w:p>
    <w:p w14:paraId="184CEC1B" w14:textId="31C3F790" w:rsidR="0009316F" w:rsidRPr="00261CCE" w:rsidRDefault="0009316F" w:rsidP="0009316F">
      <w:pPr>
        <w:spacing w:after="120"/>
        <w:ind w:left="1134" w:right="1134" w:firstLine="567"/>
        <w:jc w:val="both"/>
      </w:pPr>
      <w:r w:rsidRPr="00261CCE">
        <w:t>(</w:t>
      </w:r>
      <w:r w:rsidR="00035A54">
        <w:t>e</w:t>
      </w:r>
      <w:r w:rsidRPr="00261CCE">
        <w:t>)</w:t>
      </w:r>
      <w:r w:rsidRPr="00261CCE">
        <w:tab/>
        <w:t>Biodiversity and ecosystems: Data gaps remain for the production of certain indicators, including the ECE indicators “Terrestrial protected areas” and “Land uptake”, in particular for countries outside the European Union. Comparability of data is another issue that was noted;</w:t>
      </w:r>
    </w:p>
    <w:p w14:paraId="5A0A876C" w14:textId="45FD0B68" w:rsidR="0009316F" w:rsidRPr="00261CCE" w:rsidRDefault="0009316F" w:rsidP="0009316F">
      <w:pPr>
        <w:spacing w:after="120"/>
        <w:ind w:left="1134" w:right="1134" w:firstLine="567"/>
        <w:jc w:val="both"/>
      </w:pPr>
      <w:r w:rsidRPr="00261CCE">
        <w:t>(</w:t>
      </w:r>
      <w:r w:rsidR="00035A54">
        <w:t>f</w:t>
      </w:r>
      <w:r w:rsidRPr="00261CCE">
        <w:t>)</w:t>
      </w:r>
      <w:r w:rsidRPr="00261CCE">
        <w:tab/>
        <w:t>Land and soil: Data gaps were identified for the indicator “Prevalence of stunting among children aged under 5 years, per cent”;</w:t>
      </w:r>
    </w:p>
    <w:p w14:paraId="60FA1C3D" w14:textId="17AB622F" w:rsidR="0009316F" w:rsidRPr="00261CCE" w:rsidRDefault="0009316F" w:rsidP="0009316F">
      <w:pPr>
        <w:spacing w:after="120"/>
        <w:ind w:left="1134" w:right="1134" w:firstLine="567"/>
        <w:jc w:val="both"/>
      </w:pPr>
      <w:r w:rsidRPr="00261CCE">
        <w:t>(</w:t>
      </w:r>
      <w:r w:rsidR="00035A54">
        <w:t>g</w:t>
      </w:r>
      <w:r w:rsidRPr="00261CCE">
        <w:t>)</w:t>
      </w:r>
      <w:r w:rsidRPr="00261CCE">
        <w:tab/>
        <w:t>Chemicals and waste: No set of impact-oriented chemical indicators is regularly monitored across the region. There is also a lack of information regarding the impact of chemicals on the efficiency and economic viability of circular economy schemes. Gaps remain regarding capacities and data availability for certain indicators including “Total waste generation per capita”, “E-waste generation per capita” and “Recycling rate of municipal solid waste”;</w:t>
      </w:r>
    </w:p>
    <w:p w14:paraId="761A407A" w14:textId="24E270E7" w:rsidR="0009316F" w:rsidRPr="00261CCE" w:rsidRDefault="0009316F" w:rsidP="0009316F">
      <w:pPr>
        <w:spacing w:after="120"/>
        <w:ind w:left="1134" w:right="1134" w:firstLine="567"/>
        <w:jc w:val="both"/>
      </w:pPr>
      <w:r w:rsidRPr="00261CCE">
        <w:t>(</w:t>
      </w:r>
      <w:r w:rsidR="00035A54">
        <w:t>h</w:t>
      </w:r>
      <w:r w:rsidRPr="00261CCE">
        <w:t>)</w:t>
      </w:r>
      <w:r w:rsidRPr="00261CCE">
        <w:tab/>
        <w:t>Environmental financing: There is a severe lack of quantitative data on environmental financing for countries of Central Asia and South-Eastern Europe and there is an urgent need to improve data-collection systems;</w:t>
      </w:r>
    </w:p>
    <w:p w14:paraId="68286CDF" w14:textId="1E1220DE" w:rsidR="0009316F" w:rsidRPr="00261CCE" w:rsidRDefault="0009316F" w:rsidP="0009316F">
      <w:pPr>
        <w:spacing w:after="120"/>
        <w:ind w:left="1134" w:right="1134" w:firstLine="567"/>
        <w:jc w:val="both"/>
      </w:pPr>
      <w:r w:rsidRPr="00261CCE">
        <w:lastRenderedPageBreak/>
        <w:t>(</w:t>
      </w:r>
      <w:r w:rsidR="00035A54">
        <w:t>i</w:t>
      </w:r>
      <w:r w:rsidRPr="00261CCE">
        <w:t>)</w:t>
      </w:r>
      <w:r w:rsidRPr="00261CCE">
        <w:tab/>
        <w:t>Sustainable infrastructure: Significant data gaps have been identified both in the social, environmental, institutional, economic and financial indicators proposed and when quantifying the contribution (positive or negative) of infrastructure development based on the indicators. A common definition of the term “sustainable infrastructure” is missing, with implications for quantifying progress in the region;</w:t>
      </w:r>
    </w:p>
    <w:p w14:paraId="71E59E38" w14:textId="35FE576C" w:rsidR="0009316F" w:rsidRPr="00261CCE" w:rsidRDefault="0009316F" w:rsidP="0009316F">
      <w:pPr>
        <w:spacing w:after="120"/>
        <w:ind w:left="1134" w:right="1134" w:firstLine="567"/>
        <w:jc w:val="both"/>
      </w:pPr>
      <w:r w:rsidRPr="00261CCE">
        <w:t>(</w:t>
      </w:r>
      <w:r w:rsidR="00035A54">
        <w:t>j</w:t>
      </w:r>
      <w:r w:rsidRPr="00261CCE">
        <w:t>)</w:t>
      </w:r>
      <w:r w:rsidRPr="00261CCE">
        <w:tab/>
        <w:t xml:space="preserve">Circular economy and sustainable tourism: </w:t>
      </w:r>
      <w:r w:rsidR="00A54BB3">
        <w:t>T</w:t>
      </w:r>
      <w:r w:rsidR="00A54BB3" w:rsidRPr="00A54BB3">
        <w:t xml:space="preserve">he impacts of tourism have </w:t>
      </w:r>
      <w:r w:rsidR="00A54BB3">
        <w:t xml:space="preserve">long </w:t>
      </w:r>
      <w:r w:rsidR="00A54BB3" w:rsidRPr="00A54BB3">
        <w:t>been measured from an economic angle and it is now pressing to redefine how success is measured</w:t>
      </w:r>
      <w:r w:rsidR="00FB0EA8">
        <w:t xml:space="preserve"> </w:t>
      </w:r>
      <w:r w:rsidR="00812BBA">
        <w:t xml:space="preserve">across </w:t>
      </w:r>
      <w:r w:rsidR="00A54BB3" w:rsidRPr="00A54BB3">
        <w:t>social and environmental dimensions</w:t>
      </w:r>
      <w:r w:rsidR="00834531">
        <w:t xml:space="preserve"> too</w:t>
      </w:r>
      <w:r w:rsidR="00564DDC">
        <w:t xml:space="preserve">, with circular economy </w:t>
      </w:r>
      <w:r w:rsidR="00A54BB3" w:rsidRPr="00A54BB3">
        <w:t>indicators playing a key role for the latter</w:t>
      </w:r>
      <w:r w:rsidRPr="00261CCE">
        <w:t xml:space="preserve">. There are currently no indicators across the region that give explicit information on tourism’s </w:t>
      </w:r>
      <w:r w:rsidR="0022624E" w:rsidRPr="0022624E">
        <w:t>uptake</w:t>
      </w:r>
      <w:r w:rsidR="0022624E">
        <w:t xml:space="preserve"> </w:t>
      </w:r>
      <w:r w:rsidR="0022624E" w:rsidRPr="0022624E">
        <w:t>of circular economy principles and practices</w:t>
      </w:r>
      <w:r w:rsidR="0022624E">
        <w:t xml:space="preserve"> </w:t>
      </w:r>
      <w:r w:rsidRPr="00261CCE">
        <w:t>and</w:t>
      </w:r>
      <w:r w:rsidR="000C515E">
        <w:t>,</w:t>
      </w:r>
      <w:r w:rsidRPr="00261CCE">
        <w:t xml:space="preserve"> for several general circularity aspects, classification definitions differ between States</w:t>
      </w:r>
      <w:r w:rsidR="00BA38CF">
        <w:t xml:space="preserve">, though </w:t>
      </w:r>
      <w:r w:rsidR="00BA38CF" w:rsidRPr="00BA38CF">
        <w:t>the UNWTO Statistical Framework for Measuring the Sustainability of Tourism</w:t>
      </w:r>
      <w:r w:rsidR="00BA38CF">
        <w:t xml:space="preserve"> should help</w:t>
      </w:r>
      <w:r w:rsidRPr="00261CCE">
        <w:t xml:space="preserve">. Even mainstream tourism statistics tend to suffer from </w:t>
      </w:r>
      <w:r w:rsidR="00397E5F">
        <w:t xml:space="preserve">a lack of availability of data and </w:t>
      </w:r>
      <w:r w:rsidR="00683FB7">
        <w:t xml:space="preserve">being </w:t>
      </w:r>
      <w:r w:rsidR="00397E5F">
        <w:t>highly context</w:t>
      </w:r>
      <w:r w:rsidR="00683FB7">
        <w:t xml:space="preserve"> sensitive</w:t>
      </w:r>
      <w:r w:rsidRPr="00261CCE">
        <w:t>, while detailed statistics needed for accurate circularity monitoring are absent;</w:t>
      </w:r>
    </w:p>
    <w:p w14:paraId="10F3CA2D" w14:textId="796C8B1E" w:rsidR="0009316F" w:rsidRPr="00261CCE" w:rsidRDefault="0009316F" w:rsidP="006C0977">
      <w:pPr>
        <w:spacing w:after="120"/>
        <w:ind w:left="1134" w:right="1134" w:firstLine="567"/>
        <w:jc w:val="both"/>
      </w:pPr>
      <w:r w:rsidRPr="00261CCE">
        <w:t>(</w:t>
      </w:r>
      <w:r w:rsidR="00035A54">
        <w:t>k</w:t>
      </w:r>
      <w:r w:rsidRPr="00261CCE">
        <w:t>)</w:t>
      </w:r>
      <w:r w:rsidRPr="00261CCE">
        <w:tab/>
        <w:t xml:space="preserve">While a Shared Environmental Information System has been established, national Systems vary in form and regularity regarding their updates and content. Gaps remain that need to be addressed, including regarding the full establishment of the system in line with all principles and pillars of the System. The gaps identified indicate that countries still need assistance to fully implement the System’s pillars and principles and for the full production and sharing of all data flows associated with the ECE environmental indicators </w:t>
      </w:r>
      <w:r w:rsidR="00D17D70">
        <w:t>and other indicator</w:t>
      </w:r>
      <w:r w:rsidR="00B11E42">
        <w:t xml:space="preserve"> framework</w:t>
      </w:r>
      <w:r w:rsidR="00D17D70">
        <w:t>s</w:t>
      </w:r>
      <w:r w:rsidR="009736DE">
        <w:t xml:space="preserve"> including the S</w:t>
      </w:r>
      <w:r w:rsidR="00327B81">
        <w:t xml:space="preserve">ustainable Development Goal </w:t>
      </w:r>
      <w:r w:rsidR="00F857C9">
        <w:t>i</w:t>
      </w:r>
      <w:r w:rsidR="00327B81">
        <w:t>ndicators</w:t>
      </w:r>
      <w:r w:rsidR="00D17D70" w:rsidRPr="00261CCE">
        <w:t xml:space="preserve"> </w:t>
      </w:r>
      <w:r w:rsidRPr="00261CCE">
        <w:t>(see table 19 below).</w:t>
      </w:r>
    </w:p>
    <w:p w14:paraId="739FCF53" w14:textId="77777777" w:rsidR="0009316F" w:rsidRPr="00261CCE" w:rsidRDefault="0009316F" w:rsidP="0009316F">
      <w:pPr>
        <w:pStyle w:val="H23G"/>
        <w:rPr>
          <w:b w:val="0"/>
          <w:lang w:eastAsia="zh-TW"/>
        </w:rPr>
      </w:pPr>
      <w:r w:rsidRPr="00261CCE">
        <w:tab/>
      </w:r>
      <w:r w:rsidRPr="00261CCE">
        <w:tab/>
        <w:t>Recommendations</w:t>
      </w:r>
      <w:r w:rsidRPr="00261CCE">
        <w:rPr>
          <w:lang w:eastAsia="zh-TW"/>
        </w:rPr>
        <w:t xml:space="preserve">: </w:t>
      </w:r>
    </w:p>
    <w:p w14:paraId="54E19F15" w14:textId="545EC68E" w:rsidR="0009316F" w:rsidRPr="00261CCE" w:rsidRDefault="00DF1C90" w:rsidP="0009316F">
      <w:pPr>
        <w:spacing w:after="120"/>
        <w:ind w:left="1134" w:right="1134"/>
        <w:jc w:val="both"/>
        <w:rPr>
          <w:lang w:eastAsia="zh-TW"/>
        </w:rPr>
      </w:pPr>
      <w:r>
        <w:t>46</w:t>
      </w:r>
      <w:r w:rsidR="0009316F" w:rsidRPr="00261CCE">
        <w:rPr>
          <w:lang w:eastAsia="zh-TW"/>
        </w:rPr>
        <w:t>.</w:t>
      </w:r>
      <w:r w:rsidR="0009316F" w:rsidRPr="00261CCE">
        <w:rPr>
          <w:lang w:eastAsia="zh-TW"/>
        </w:rPr>
        <w:tab/>
        <w:t>Governments in the pan-European region should:</w:t>
      </w:r>
      <w:r w:rsidR="0009316F" w:rsidRPr="00261CCE">
        <w:rPr>
          <w:iCs/>
          <w:lang w:eastAsia="zh-TW"/>
        </w:rPr>
        <w:t xml:space="preserve"> </w:t>
      </w:r>
    </w:p>
    <w:p w14:paraId="6EA0D340" w14:textId="77777777" w:rsidR="0009316F" w:rsidRPr="00261CCE" w:rsidRDefault="0009316F" w:rsidP="0009316F">
      <w:pPr>
        <w:spacing w:after="120"/>
        <w:ind w:left="1134" w:right="1134"/>
        <w:jc w:val="both"/>
      </w:pPr>
      <w:r w:rsidRPr="00261CCE">
        <w:rPr>
          <w:lang w:eastAsia="zh-TW"/>
        </w:rPr>
        <w:tab/>
      </w:r>
      <w:r w:rsidRPr="00261CCE">
        <w:rPr>
          <w:lang w:eastAsia="zh-TW"/>
        </w:rPr>
        <w:tab/>
        <w:t>(a)</w:t>
      </w:r>
      <w:r w:rsidRPr="00261CCE">
        <w:rPr>
          <w:lang w:eastAsia="zh-TW"/>
        </w:rPr>
        <w:tab/>
        <w:t>Bring policy and science together to develop and implement appropriate and standardized pan-European methods and systems for monitoring and information management, including through the application of new technologies, to fill data gaps for improved decision-making and ensure timely availability of information for the public;</w:t>
      </w:r>
      <w:r w:rsidRPr="00261CCE">
        <w:t xml:space="preserve"> </w:t>
      </w:r>
    </w:p>
    <w:p w14:paraId="2AD52A4C" w14:textId="2C01163B" w:rsidR="0009316F" w:rsidRPr="00261CCE" w:rsidRDefault="0009316F" w:rsidP="0009316F">
      <w:pPr>
        <w:spacing w:after="120"/>
        <w:ind w:left="1134" w:right="1134" w:firstLine="567"/>
        <w:jc w:val="both"/>
        <w:rPr>
          <w:lang w:eastAsia="zh-TW"/>
        </w:rPr>
      </w:pPr>
      <w:r w:rsidRPr="00261CCE">
        <w:rPr>
          <w:lang w:eastAsia="zh-TW"/>
        </w:rPr>
        <w:t>(b)</w:t>
      </w:r>
      <w:r w:rsidRPr="00261CCE">
        <w:rPr>
          <w:lang w:eastAsia="zh-TW"/>
        </w:rPr>
        <w:tab/>
        <w:t xml:space="preserve">Employ the ECE Revised Guidelines for the Application of Environmental Indicators (for completed parts see </w:t>
      </w:r>
      <w:r w:rsidRPr="00261CCE">
        <w:t>ECE/CEP–CES/GE.1/2021/4</w:t>
      </w:r>
      <w:r w:rsidRPr="00261CCE">
        <w:rPr>
          <w:lang w:eastAsia="zh-TW"/>
        </w:rPr>
        <w:t xml:space="preserve">), provide the ECE set of environmental indicators in accordance with the principles and pillars of the Shared Environmental Information System and adopt indicators to cover </w:t>
      </w:r>
      <w:r w:rsidR="002E77C5">
        <w:rPr>
          <w:lang w:eastAsia="zh-TW"/>
        </w:rPr>
        <w:t xml:space="preserve">noise and </w:t>
      </w:r>
      <w:r w:rsidRPr="00261CCE">
        <w:rPr>
          <w:lang w:eastAsia="zh-TW"/>
        </w:rPr>
        <w:t>emerging policymaking themes of importance;</w:t>
      </w:r>
    </w:p>
    <w:p w14:paraId="4EC47CC0" w14:textId="77777777" w:rsidR="0009316F" w:rsidRPr="00261CCE" w:rsidRDefault="0009316F" w:rsidP="0009316F">
      <w:pPr>
        <w:spacing w:after="120"/>
        <w:ind w:left="1134" w:right="1134"/>
        <w:jc w:val="both"/>
        <w:rPr>
          <w:lang w:eastAsia="zh-TW"/>
        </w:rPr>
      </w:pPr>
      <w:r w:rsidRPr="00261CCE">
        <w:rPr>
          <w:lang w:eastAsia="zh-TW"/>
        </w:rPr>
        <w:tab/>
      </w:r>
      <w:r w:rsidRPr="00261CCE">
        <w:rPr>
          <w:lang w:eastAsia="zh-TW"/>
        </w:rPr>
        <w:tab/>
        <w:t>(c)</w:t>
      </w:r>
      <w:r w:rsidRPr="00261CCE">
        <w:rPr>
          <w:lang w:eastAsia="zh-TW"/>
        </w:rPr>
        <w:tab/>
        <w:t xml:space="preserve">Promote the use of appropriate and standardized methods for monitoring air pollution emissions and the public availability of monitoring data in the pan-European region, while also strengthening cooperation and national investment to fill monitoring gaps in </w:t>
      </w:r>
      <w:r w:rsidRPr="00261CCE">
        <w:rPr>
          <w:iCs/>
          <w:lang w:eastAsia="zh-TW"/>
        </w:rPr>
        <w:t>countries with economies in transition</w:t>
      </w:r>
      <w:r w:rsidRPr="00261CCE">
        <w:rPr>
          <w:lang w:eastAsia="zh-TW"/>
        </w:rPr>
        <w:t xml:space="preserve">; </w:t>
      </w:r>
    </w:p>
    <w:p w14:paraId="62F2B51A" w14:textId="77777777" w:rsidR="0009316F" w:rsidRPr="00261CCE" w:rsidRDefault="0009316F" w:rsidP="0009316F">
      <w:pPr>
        <w:spacing w:after="120"/>
        <w:ind w:left="1134" w:right="1134"/>
        <w:jc w:val="both"/>
      </w:pPr>
      <w:r w:rsidRPr="00261CCE">
        <w:tab/>
      </w:r>
      <w:r w:rsidRPr="00261CCE">
        <w:tab/>
        <w:t>(d)</w:t>
      </w:r>
      <w:r w:rsidRPr="00261CCE">
        <w:tab/>
        <w:t>Invest in data collection and information processing, as knowledge is instrumental for decision-making and water policy design (for example, water accounts, ecosystem assessment and indicators). The continuous improvement of monitoring and communication technologies is a top priority in terms of a water information system for the pan-European region;</w:t>
      </w:r>
    </w:p>
    <w:p w14:paraId="141AA11B" w14:textId="77777777" w:rsidR="0009316F" w:rsidRPr="00261CCE" w:rsidRDefault="0009316F" w:rsidP="0009316F">
      <w:pPr>
        <w:spacing w:after="120"/>
        <w:ind w:left="1134" w:right="1134" w:firstLine="567"/>
        <w:jc w:val="both"/>
        <w:rPr>
          <w:lang w:eastAsia="zh-TW"/>
        </w:rPr>
      </w:pPr>
      <w:r w:rsidRPr="00261CCE">
        <w:t>(e)</w:t>
      </w:r>
      <w:r w:rsidRPr="00261CCE">
        <w:tab/>
        <w:t>Increase efforts to complement inventories of the number of items of beach and marine litter with information on composition and sources of litter to be able to design more effective measures. Joint efforts should be taken where subregional monitoring measures are deemed necessary;</w:t>
      </w:r>
    </w:p>
    <w:p w14:paraId="5CA3498C" w14:textId="77777777" w:rsidR="0009316F" w:rsidRPr="00261CCE" w:rsidRDefault="0009316F" w:rsidP="0009316F">
      <w:pPr>
        <w:spacing w:after="120"/>
        <w:ind w:left="1134" w:right="1134"/>
        <w:jc w:val="both"/>
      </w:pPr>
      <w:r w:rsidRPr="00261CCE">
        <w:tab/>
      </w:r>
      <w:r w:rsidRPr="00261CCE">
        <w:tab/>
        <w:t>(f)</w:t>
      </w:r>
      <w:r w:rsidRPr="00261CCE">
        <w:tab/>
        <w:t xml:space="preserve">Establish a region-wide chemicals and waste impact-oriented monitoring scheme, as a part of cooperation between science and policy, in order to build up a better picture of and address the adverse impacts of chemicals on human health and the environment; </w:t>
      </w:r>
    </w:p>
    <w:p w14:paraId="7F49574C" w14:textId="77777777" w:rsidR="0009316F" w:rsidRPr="00261CCE" w:rsidRDefault="0009316F" w:rsidP="0009316F">
      <w:pPr>
        <w:spacing w:after="120"/>
        <w:ind w:left="1134" w:right="1134" w:firstLine="567"/>
        <w:jc w:val="both"/>
      </w:pPr>
      <w:r w:rsidRPr="00261CCE">
        <w:t>(g)</w:t>
      </w:r>
      <w:r w:rsidRPr="00261CCE">
        <w:tab/>
        <w:t xml:space="preserve">Improve data-collection systems on environmental financing, for example, on environmental expenditures, throughout the region to clarify and report which entities spend </w:t>
      </w:r>
      <w:r w:rsidRPr="00261CCE">
        <w:lastRenderedPageBreak/>
        <w:t>money on the environment, how much, with what objectives and who finances these expenditures;</w:t>
      </w:r>
    </w:p>
    <w:p w14:paraId="3BA6FDD7" w14:textId="77777777" w:rsidR="0009316F" w:rsidRPr="00261CCE" w:rsidRDefault="0009316F" w:rsidP="0009316F">
      <w:pPr>
        <w:spacing w:after="120"/>
        <w:ind w:left="1134" w:right="1134" w:firstLine="567"/>
        <w:jc w:val="both"/>
      </w:pPr>
      <w:r w:rsidRPr="00261CCE">
        <w:t>(h)</w:t>
      </w:r>
      <w:r w:rsidRPr="00261CCE">
        <w:tab/>
        <w:t>Develop a common definition of the term “sustainable infrastructure” in the pan-European region. This would enable reporting on and quantifying of progress across countries and subregions (see also point 16 above);</w:t>
      </w:r>
    </w:p>
    <w:p w14:paraId="1064E512" w14:textId="0AE033E1" w:rsidR="0009316F" w:rsidRPr="00261CCE" w:rsidRDefault="0009316F" w:rsidP="0009316F">
      <w:pPr>
        <w:spacing w:after="120"/>
        <w:ind w:left="1134" w:right="1134" w:firstLine="567"/>
        <w:jc w:val="both"/>
      </w:pPr>
      <w:r w:rsidRPr="00261CCE">
        <w:t>(i)</w:t>
      </w:r>
      <w:r w:rsidRPr="00261CCE">
        <w:tab/>
        <w:t xml:space="preserve">Select some specific key-impact tourism indicators to be included in ECE statistical databases. Indicators for circular economy in tourism should be aligned with those being developed for the monitoring of sustainable development in tourism (particularly with those that are most promising) and be compatible with Sustainable Development Goals. Circular economy indicator development could follow the approach adopted by the initiative of </w:t>
      </w:r>
      <w:r w:rsidR="00CD157F">
        <w:t>UNWTO</w:t>
      </w:r>
      <w:r w:rsidRPr="00261CCE">
        <w:t xml:space="preserve"> towards a Statistical Framework for Measuring the Sustainability of Tourism</w:t>
      </w:r>
      <w:r w:rsidR="00D830A0">
        <w:t xml:space="preserve"> and data and statistics </w:t>
      </w:r>
      <w:r w:rsidR="00FA0062">
        <w:t>should be produced according to statistical standards by the various data producers involved</w:t>
      </w:r>
      <w:r w:rsidRPr="00261CCE">
        <w:t>;</w:t>
      </w:r>
      <w:r w:rsidR="002C32E4">
        <w:t xml:space="preserve"> </w:t>
      </w:r>
    </w:p>
    <w:p w14:paraId="778ED324" w14:textId="77777777" w:rsidR="00923444" w:rsidRDefault="0009316F" w:rsidP="00F83945">
      <w:pPr>
        <w:spacing w:after="120"/>
        <w:ind w:left="1134" w:right="1134" w:firstLine="567"/>
        <w:jc w:val="both"/>
      </w:pPr>
      <w:r w:rsidRPr="00261CCE">
        <w:t>(j)</w:t>
      </w:r>
      <w:r w:rsidRPr="00261CCE">
        <w:tab/>
        <w:t>Assist countries to fully implement the Shared Environmental Information System’s pillars and principles and the full production and sharing of all data flows associated with the ECE environmental indicators</w:t>
      </w:r>
      <w:r w:rsidR="00DE7A6B">
        <w:t xml:space="preserve"> and</w:t>
      </w:r>
      <w:r w:rsidR="00DE7A6B" w:rsidRPr="00DE7A6B">
        <w:t xml:space="preserve"> </w:t>
      </w:r>
      <w:r w:rsidR="00DE7A6B">
        <w:t>employ</w:t>
      </w:r>
      <w:r w:rsidR="00AA2639">
        <w:t>, as appropriate,</w:t>
      </w:r>
      <w:r w:rsidR="00DE7A6B">
        <w:t xml:space="preserve"> the updated </w:t>
      </w:r>
      <w:r w:rsidR="00A42F1D">
        <w:t>R</w:t>
      </w:r>
      <w:r w:rsidR="00DE7A6B">
        <w:t xml:space="preserve">ecommendations on the more effective use of electronic information tools developed under </w:t>
      </w:r>
      <w:r w:rsidR="00A42F1D">
        <w:t xml:space="preserve">the </w:t>
      </w:r>
      <w:r w:rsidR="00DE7A6B">
        <w:t>auspices of the Aarhus Convention</w:t>
      </w:r>
      <w:r w:rsidRPr="00261CCE">
        <w:t>;</w:t>
      </w:r>
      <w:r w:rsidR="00923444">
        <w:t xml:space="preserve"> </w:t>
      </w:r>
    </w:p>
    <w:p w14:paraId="09B48D5A" w14:textId="5F7A52FE" w:rsidR="0009316F" w:rsidRPr="00261CCE" w:rsidRDefault="00923444" w:rsidP="00F83945">
      <w:pPr>
        <w:spacing w:after="120"/>
        <w:ind w:left="1134" w:right="1134" w:firstLine="567"/>
        <w:jc w:val="both"/>
      </w:pPr>
      <w:r>
        <w:t>(k)</w:t>
      </w:r>
      <w:r>
        <w:tab/>
        <w:t>Enhance</w:t>
      </w:r>
      <w:r w:rsidRPr="00923444">
        <w:t xml:space="preserve"> synerg</w:t>
      </w:r>
      <w:r w:rsidR="00A27FB2">
        <w:t>ies</w:t>
      </w:r>
      <w:r w:rsidRPr="00923444">
        <w:t xml:space="preserve"> and interoperability between national and international systems in order to streamline environmental monitoring and reporting, </w:t>
      </w:r>
      <w:r w:rsidR="00A27FB2">
        <w:t>reduce reporting requirements</w:t>
      </w:r>
      <w:r w:rsidRPr="00923444">
        <w:t xml:space="preserve"> for countries</w:t>
      </w:r>
      <w:r w:rsidR="004A0797">
        <w:t xml:space="preserve"> and</w:t>
      </w:r>
      <w:r w:rsidRPr="00923444">
        <w:t xml:space="preserve"> improve </w:t>
      </w:r>
      <w:r w:rsidR="00DD7781">
        <w:t>read</w:t>
      </w:r>
      <w:r w:rsidR="00365B86">
        <w:t>ability</w:t>
      </w:r>
      <w:r w:rsidRPr="00923444">
        <w:t xml:space="preserve"> and efficiency, from indicators methodologies to data</w:t>
      </w:r>
      <w:r w:rsidR="005C46E9">
        <w:t xml:space="preserve"> </w:t>
      </w:r>
      <w:r w:rsidRPr="00923444">
        <w:t>flow reporting</w:t>
      </w:r>
      <w:r w:rsidR="005C46E9">
        <w:t>;</w:t>
      </w:r>
    </w:p>
    <w:p w14:paraId="6E9F76CE" w14:textId="72CED348" w:rsidR="0009316F" w:rsidRPr="00261CCE" w:rsidRDefault="0009316F" w:rsidP="0009316F">
      <w:pPr>
        <w:spacing w:after="120"/>
        <w:ind w:left="1134" w:right="1134" w:firstLine="567"/>
        <w:jc w:val="both"/>
        <w:rPr>
          <w:lang w:eastAsia="zh-TW"/>
        </w:rPr>
      </w:pPr>
      <w:r w:rsidRPr="00261CCE">
        <w:t>(</w:t>
      </w:r>
      <w:r w:rsidR="00923444">
        <w:t>l</w:t>
      </w:r>
      <w:r w:rsidRPr="00261CCE">
        <w:t>)</w:t>
      </w:r>
      <w:r w:rsidRPr="00261CCE">
        <w:tab/>
      </w:r>
      <w:r w:rsidRPr="00261CCE">
        <w:rPr>
          <w:lang w:eastAsia="zh-TW"/>
        </w:rPr>
        <w:t>Continue digitalization of environmental monitoring systems and use of new technologies for enhanced high-quality data production in support of regular assessments and policymaking</w:t>
      </w:r>
      <w:r w:rsidR="00094BF9">
        <w:rPr>
          <w:lang w:eastAsia="zh-TW"/>
        </w:rPr>
        <w:t>;</w:t>
      </w:r>
    </w:p>
    <w:p w14:paraId="3077CF7C" w14:textId="038C5869" w:rsidR="00446B83" w:rsidRPr="00306197" w:rsidRDefault="00306197" w:rsidP="0009316F">
      <w:pPr>
        <w:spacing w:after="120"/>
        <w:ind w:left="1134" w:right="1134" w:firstLine="567"/>
        <w:jc w:val="both"/>
        <w:rPr>
          <w:lang w:eastAsia="zh-TW"/>
        </w:rPr>
      </w:pPr>
      <w:r w:rsidRPr="00F83945">
        <w:rPr>
          <w:lang w:eastAsia="zh-TW"/>
        </w:rPr>
        <w:t>(</w:t>
      </w:r>
      <w:r w:rsidR="00923444">
        <w:rPr>
          <w:lang w:eastAsia="zh-TW"/>
        </w:rPr>
        <w:t>m</w:t>
      </w:r>
      <w:r w:rsidRPr="00F83945">
        <w:rPr>
          <w:lang w:eastAsia="zh-TW"/>
        </w:rPr>
        <w:t>)</w:t>
      </w:r>
      <w:r w:rsidRPr="00F83945">
        <w:rPr>
          <w:lang w:eastAsia="zh-TW"/>
        </w:rPr>
        <w:tab/>
      </w:r>
      <w:r w:rsidR="00800AC0">
        <w:rPr>
          <w:lang w:eastAsia="zh-TW"/>
        </w:rPr>
        <w:t>C</w:t>
      </w:r>
      <w:r w:rsidR="00800AC0" w:rsidRPr="00FD0AA7">
        <w:rPr>
          <w:lang w:eastAsia="zh-TW"/>
        </w:rPr>
        <w:t xml:space="preserve">onsider implementing </w:t>
      </w:r>
      <w:r w:rsidR="000E1743">
        <w:rPr>
          <w:lang w:eastAsia="zh-TW"/>
        </w:rPr>
        <w:t>p</w:t>
      </w:r>
      <w:r w:rsidR="000B074F" w:rsidRPr="000B074F">
        <w:rPr>
          <w:lang w:eastAsia="zh-TW"/>
        </w:rPr>
        <w:t xml:space="preserve">ollutant </w:t>
      </w:r>
      <w:r w:rsidR="000E1743">
        <w:rPr>
          <w:lang w:eastAsia="zh-TW"/>
        </w:rPr>
        <w:t>r</w:t>
      </w:r>
      <w:r w:rsidR="000B074F" w:rsidRPr="000B074F">
        <w:rPr>
          <w:lang w:eastAsia="zh-TW"/>
        </w:rPr>
        <w:t xml:space="preserve">elease and </w:t>
      </w:r>
      <w:r w:rsidR="000E1743">
        <w:rPr>
          <w:lang w:eastAsia="zh-TW"/>
        </w:rPr>
        <w:t>t</w:t>
      </w:r>
      <w:r w:rsidR="000B074F" w:rsidRPr="000B074F">
        <w:rPr>
          <w:lang w:eastAsia="zh-TW"/>
        </w:rPr>
        <w:t xml:space="preserve">ransfer </w:t>
      </w:r>
      <w:r w:rsidR="000E1743">
        <w:rPr>
          <w:lang w:eastAsia="zh-TW"/>
        </w:rPr>
        <w:t>r</w:t>
      </w:r>
      <w:r w:rsidR="000B074F" w:rsidRPr="000B074F">
        <w:rPr>
          <w:lang w:eastAsia="zh-TW"/>
        </w:rPr>
        <w:t>egister</w:t>
      </w:r>
      <w:r w:rsidR="003D4CEE">
        <w:rPr>
          <w:lang w:eastAsia="zh-TW"/>
        </w:rPr>
        <w:t xml:space="preserve">s </w:t>
      </w:r>
      <w:r w:rsidR="00800AC0" w:rsidRPr="00FD0AA7">
        <w:rPr>
          <w:lang w:eastAsia="zh-TW"/>
        </w:rPr>
        <w:t>and the Shared Environmental Information System in synergy</w:t>
      </w:r>
      <w:r w:rsidR="003D4CEE">
        <w:rPr>
          <w:lang w:eastAsia="zh-TW"/>
        </w:rPr>
        <w:t>.</w:t>
      </w:r>
      <w:r w:rsidRPr="00F83945">
        <w:rPr>
          <w:lang w:eastAsia="zh-TW"/>
        </w:rPr>
        <w:t xml:space="preserve"> </w:t>
      </w:r>
    </w:p>
    <w:p w14:paraId="769DB71E" w14:textId="77777777" w:rsidR="0009316F" w:rsidRPr="00261CCE" w:rsidRDefault="0009316F" w:rsidP="0009316F">
      <w:pPr>
        <w:keepNext/>
        <w:spacing w:before="240" w:after="120"/>
        <w:ind w:left="1134" w:right="1134"/>
        <w:rPr>
          <w:sz w:val="18"/>
          <w:szCs w:val="18"/>
        </w:rPr>
      </w:pPr>
      <w:bookmarkStart w:id="5" w:name="_Hlk96003931"/>
      <w:r w:rsidRPr="00261CCE">
        <w:rPr>
          <w:lang w:eastAsia="zh-TW"/>
        </w:rPr>
        <w:t>Table 19</w:t>
      </w:r>
      <w:r w:rsidRPr="00261CCE">
        <w:rPr>
          <w:lang w:eastAsia="zh-TW"/>
        </w:rPr>
        <w:br/>
      </w:r>
      <w:r w:rsidRPr="00261CCE">
        <w:rPr>
          <w:b/>
          <w:bCs/>
          <w:lang w:eastAsia="zh-TW"/>
        </w:rPr>
        <w:t>Overview on status and trends for the selected indicator on the Shared Environmental Information System</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890"/>
        <w:gridCol w:w="1053"/>
        <w:gridCol w:w="1053"/>
        <w:gridCol w:w="1053"/>
        <w:gridCol w:w="1053"/>
      </w:tblGrid>
      <w:tr w:rsidR="0009316F" w:rsidRPr="00261CCE" w14:paraId="1C8B2600" w14:textId="77777777" w:rsidTr="00C439AF">
        <w:tc>
          <w:tcPr>
            <w:tcW w:w="1276" w:type="dxa"/>
            <w:tcBorders>
              <w:top w:val="single" w:sz="12" w:space="0" w:color="auto"/>
              <w:bottom w:val="single" w:sz="12" w:space="0" w:color="auto"/>
            </w:tcBorders>
            <w:shd w:val="clear" w:color="auto" w:fill="auto"/>
          </w:tcPr>
          <w:p w14:paraId="1B86E486" w14:textId="77777777" w:rsidR="0009316F" w:rsidRPr="00261CCE" w:rsidRDefault="0009316F" w:rsidP="00C439AF">
            <w:pPr>
              <w:spacing w:before="80" w:line="200" w:lineRule="exact"/>
              <w:rPr>
                <w:rFonts w:eastAsia="PMingLiU"/>
                <w:i/>
                <w:sz w:val="16"/>
              </w:rPr>
            </w:pPr>
            <w:r w:rsidRPr="00261CCE">
              <w:rPr>
                <w:i/>
                <w:iCs/>
                <w:sz w:val="18"/>
                <w:szCs w:val="18"/>
              </w:rPr>
              <w:t>Indicator</w:t>
            </w:r>
          </w:p>
        </w:tc>
        <w:tc>
          <w:tcPr>
            <w:tcW w:w="992" w:type="dxa"/>
            <w:tcBorders>
              <w:top w:val="single" w:sz="12" w:space="0" w:color="auto"/>
              <w:bottom w:val="single" w:sz="12" w:space="0" w:color="auto"/>
            </w:tcBorders>
            <w:shd w:val="clear" w:color="auto" w:fill="auto"/>
          </w:tcPr>
          <w:p w14:paraId="20F9AE71" w14:textId="77777777" w:rsidR="0009316F" w:rsidRPr="00261CCE" w:rsidRDefault="0009316F" w:rsidP="00C439AF">
            <w:pPr>
              <w:spacing w:before="80" w:line="200" w:lineRule="exact"/>
              <w:jc w:val="center"/>
              <w:rPr>
                <w:rFonts w:eastAsia="PMingLiU"/>
                <w:i/>
                <w:sz w:val="16"/>
              </w:rPr>
            </w:pPr>
            <w:r w:rsidRPr="00261CCE">
              <w:rPr>
                <w:i/>
                <w:iCs/>
                <w:sz w:val="18"/>
                <w:szCs w:val="18"/>
              </w:rPr>
              <w:t>European Union</w:t>
            </w:r>
          </w:p>
        </w:tc>
        <w:tc>
          <w:tcPr>
            <w:tcW w:w="890" w:type="dxa"/>
            <w:tcBorders>
              <w:top w:val="single" w:sz="12" w:space="0" w:color="auto"/>
              <w:bottom w:val="single" w:sz="12" w:space="0" w:color="auto"/>
            </w:tcBorders>
            <w:shd w:val="clear" w:color="auto" w:fill="auto"/>
          </w:tcPr>
          <w:p w14:paraId="25A5DCA6" w14:textId="77777777" w:rsidR="0009316F" w:rsidRPr="00261CCE" w:rsidRDefault="0009316F" w:rsidP="00C439AF">
            <w:pPr>
              <w:spacing w:before="80" w:line="200" w:lineRule="exact"/>
              <w:jc w:val="center"/>
              <w:rPr>
                <w:rFonts w:eastAsia="PMingLiU"/>
                <w:i/>
                <w:sz w:val="16"/>
              </w:rPr>
            </w:pPr>
            <w:r w:rsidRPr="00261CCE">
              <w:rPr>
                <w:i/>
                <w:iCs/>
                <w:sz w:val="18"/>
                <w:szCs w:val="18"/>
              </w:rPr>
              <w:t>Western Europe</w:t>
            </w:r>
          </w:p>
        </w:tc>
        <w:tc>
          <w:tcPr>
            <w:tcW w:w="1053" w:type="dxa"/>
            <w:tcBorders>
              <w:top w:val="single" w:sz="12" w:space="0" w:color="auto"/>
              <w:bottom w:val="single" w:sz="12" w:space="0" w:color="auto"/>
            </w:tcBorders>
            <w:shd w:val="clear" w:color="auto" w:fill="auto"/>
          </w:tcPr>
          <w:p w14:paraId="670E9D9A" w14:textId="77777777" w:rsidR="0009316F" w:rsidRPr="00261CCE" w:rsidRDefault="0009316F" w:rsidP="00C439AF">
            <w:pPr>
              <w:spacing w:before="80" w:line="200" w:lineRule="exact"/>
              <w:jc w:val="center"/>
              <w:rPr>
                <w:i/>
                <w:iCs/>
                <w:sz w:val="18"/>
                <w:szCs w:val="18"/>
              </w:rPr>
            </w:pPr>
            <w:r w:rsidRPr="00261CCE">
              <w:rPr>
                <w:i/>
                <w:iCs/>
                <w:sz w:val="18"/>
                <w:szCs w:val="18"/>
              </w:rPr>
              <w:t>Central</w:t>
            </w:r>
          </w:p>
          <w:p w14:paraId="36C0F9DB" w14:textId="77777777" w:rsidR="0009316F" w:rsidRPr="00261CCE" w:rsidRDefault="0009316F" w:rsidP="00C439AF">
            <w:pPr>
              <w:spacing w:line="200" w:lineRule="exact"/>
              <w:jc w:val="center"/>
              <w:rPr>
                <w:rFonts w:eastAsia="PMingLiU"/>
                <w:i/>
                <w:sz w:val="16"/>
              </w:rPr>
            </w:pPr>
            <w:r w:rsidRPr="00261CCE">
              <w:rPr>
                <w:i/>
                <w:iCs/>
                <w:sz w:val="18"/>
                <w:szCs w:val="18"/>
              </w:rPr>
              <w:t>Asia</w:t>
            </w:r>
          </w:p>
        </w:tc>
        <w:tc>
          <w:tcPr>
            <w:tcW w:w="1053" w:type="dxa"/>
            <w:tcBorders>
              <w:top w:val="single" w:sz="12" w:space="0" w:color="auto"/>
              <w:bottom w:val="single" w:sz="12" w:space="0" w:color="auto"/>
            </w:tcBorders>
            <w:shd w:val="clear" w:color="auto" w:fill="auto"/>
          </w:tcPr>
          <w:p w14:paraId="243E2964" w14:textId="77777777" w:rsidR="0009316F" w:rsidRPr="00261CCE" w:rsidRDefault="0009316F" w:rsidP="00C439AF">
            <w:pPr>
              <w:spacing w:before="80" w:line="200" w:lineRule="exact"/>
              <w:jc w:val="center"/>
              <w:rPr>
                <w:rFonts w:eastAsia="PMingLiU"/>
                <w:i/>
                <w:sz w:val="16"/>
              </w:rPr>
            </w:pPr>
            <w:r w:rsidRPr="00261CCE">
              <w:rPr>
                <w:i/>
                <w:iCs/>
                <w:sz w:val="18"/>
                <w:szCs w:val="18"/>
              </w:rPr>
              <w:t>Eastern Europe</w:t>
            </w:r>
          </w:p>
        </w:tc>
        <w:tc>
          <w:tcPr>
            <w:tcW w:w="1053" w:type="dxa"/>
            <w:tcBorders>
              <w:top w:val="single" w:sz="12" w:space="0" w:color="auto"/>
              <w:bottom w:val="single" w:sz="12" w:space="0" w:color="auto"/>
            </w:tcBorders>
            <w:shd w:val="clear" w:color="auto" w:fill="auto"/>
          </w:tcPr>
          <w:p w14:paraId="7FC6AB34" w14:textId="77777777" w:rsidR="0009316F" w:rsidRPr="00261CCE" w:rsidRDefault="0009316F" w:rsidP="00C439AF">
            <w:pPr>
              <w:spacing w:before="80" w:line="200" w:lineRule="exact"/>
              <w:jc w:val="center"/>
              <w:rPr>
                <w:rFonts w:eastAsia="PMingLiU"/>
                <w:i/>
                <w:sz w:val="16"/>
              </w:rPr>
            </w:pPr>
            <w:r w:rsidRPr="00261CCE">
              <w:rPr>
                <w:i/>
                <w:iCs/>
                <w:sz w:val="18"/>
                <w:szCs w:val="18"/>
              </w:rPr>
              <w:t>South-Eastern Europe</w:t>
            </w:r>
          </w:p>
        </w:tc>
        <w:tc>
          <w:tcPr>
            <w:tcW w:w="1053" w:type="dxa"/>
            <w:tcBorders>
              <w:top w:val="single" w:sz="12" w:space="0" w:color="auto"/>
              <w:bottom w:val="single" w:sz="12" w:space="0" w:color="auto"/>
            </w:tcBorders>
            <w:shd w:val="clear" w:color="auto" w:fill="auto"/>
          </w:tcPr>
          <w:p w14:paraId="03A2EDD8" w14:textId="77777777" w:rsidR="0009316F" w:rsidRPr="00261CCE" w:rsidRDefault="0009316F" w:rsidP="00C439AF">
            <w:pPr>
              <w:spacing w:before="80" w:line="200" w:lineRule="exact"/>
              <w:jc w:val="center"/>
              <w:rPr>
                <w:rFonts w:eastAsia="PMingLiU"/>
                <w:i/>
                <w:sz w:val="16"/>
              </w:rPr>
            </w:pPr>
            <w:r w:rsidRPr="00261CCE">
              <w:rPr>
                <w:i/>
                <w:iCs/>
                <w:sz w:val="18"/>
                <w:szCs w:val="18"/>
              </w:rPr>
              <w:t>Pan-European region</w:t>
            </w:r>
          </w:p>
        </w:tc>
      </w:tr>
      <w:tr w:rsidR="0009316F" w:rsidRPr="00261CCE" w14:paraId="00727438" w14:textId="77777777" w:rsidTr="00C439AF">
        <w:trPr>
          <w:trHeight w:hRule="exact" w:val="82"/>
        </w:trPr>
        <w:tc>
          <w:tcPr>
            <w:tcW w:w="1276" w:type="dxa"/>
            <w:tcBorders>
              <w:top w:val="single" w:sz="12" w:space="0" w:color="auto"/>
            </w:tcBorders>
            <w:shd w:val="clear" w:color="auto" w:fill="auto"/>
          </w:tcPr>
          <w:p w14:paraId="213DA020" w14:textId="77777777" w:rsidR="0009316F" w:rsidRPr="00261CCE" w:rsidRDefault="0009316F" w:rsidP="00C439AF">
            <w:pPr>
              <w:spacing w:before="40" w:after="40" w:line="220" w:lineRule="exact"/>
              <w:rPr>
                <w:sz w:val="18"/>
                <w:szCs w:val="18"/>
              </w:rPr>
            </w:pPr>
          </w:p>
        </w:tc>
        <w:tc>
          <w:tcPr>
            <w:tcW w:w="992" w:type="dxa"/>
            <w:tcBorders>
              <w:top w:val="single" w:sz="12" w:space="0" w:color="auto"/>
            </w:tcBorders>
            <w:shd w:val="clear" w:color="auto" w:fill="auto"/>
            <w:vAlign w:val="center"/>
          </w:tcPr>
          <w:p w14:paraId="5434A219"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890" w:type="dxa"/>
            <w:tcBorders>
              <w:top w:val="single" w:sz="12" w:space="0" w:color="auto"/>
            </w:tcBorders>
            <w:shd w:val="clear" w:color="auto" w:fill="auto"/>
            <w:vAlign w:val="center"/>
          </w:tcPr>
          <w:p w14:paraId="023B74F3"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top w:val="single" w:sz="12" w:space="0" w:color="auto"/>
            </w:tcBorders>
            <w:shd w:val="clear" w:color="auto" w:fill="auto"/>
            <w:vAlign w:val="center"/>
          </w:tcPr>
          <w:p w14:paraId="3E0235EA"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top w:val="single" w:sz="12" w:space="0" w:color="auto"/>
            </w:tcBorders>
            <w:shd w:val="clear" w:color="auto" w:fill="auto"/>
            <w:vAlign w:val="center"/>
          </w:tcPr>
          <w:p w14:paraId="75DB2F38"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top w:val="single" w:sz="12" w:space="0" w:color="auto"/>
            </w:tcBorders>
            <w:shd w:val="clear" w:color="auto" w:fill="auto"/>
            <w:vAlign w:val="center"/>
          </w:tcPr>
          <w:p w14:paraId="74AF66AF"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top w:val="single" w:sz="12" w:space="0" w:color="auto"/>
            </w:tcBorders>
            <w:shd w:val="clear" w:color="auto" w:fill="auto"/>
            <w:vAlign w:val="center"/>
          </w:tcPr>
          <w:p w14:paraId="080344C8" w14:textId="77777777" w:rsidR="0009316F" w:rsidRPr="00261CCE" w:rsidRDefault="0009316F" w:rsidP="00C439AF">
            <w:pPr>
              <w:spacing w:before="40" w:after="40" w:line="220" w:lineRule="exact"/>
              <w:jc w:val="center"/>
              <w:rPr>
                <w:rFonts w:ascii="Wingdings" w:hAnsi="Wingdings" w:cs="Wingdings"/>
                <w:color w:val="FFC000"/>
                <w:sz w:val="28"/>
                <w:szCs w:val="28"/>
              </w:rPr>
            </w:pPr>
          </w:p>
        </w:tc>
      </w:tr>
      <w:tr w:rsidR="0009316F" w:rsidRPr="00261CCE" w14:paraId="11339FF6" w14:textId="77777777" w:rsidTr="00C439AF">
        <w:tc>
          <w:tcPr>
            <w:tcW w:w="1276" w:type="dxa"/>
            <w:shd w:val="clear" w:color="auto" w:fill="auto"/>
          </w:tcPr>
          <w:p w14:paraId="41E1275D" w14:textId="77777777" w:rsidR="0009316F" w:rsidRPr="00261CCE" w:rsidRDefault="0009316F" w:rsidP="00C439AF">
            <w:pPr>
              <w:spacing w:before="40" w:after="40" w:line="220" w:lineRule="exact"/>
              <w:rPr>
                <w:rFonts w:eastAsia="PMingLiU"/>
                <w:sz w:val="18"/>
              </w:rPr>
            </w:pPr>
            <w:r w:rsidRPr="00261CCE">
              <w:rPr>
                <w:sz w:val="18"/>
                <w:szCs w:val="18"/>
              </w:rPr>
              <w:t>Shared Environmental Information System established (2011–2021)</w:t>
            </w:r>
          </w:p>
        </w:tc>
        <w:tc>
          <w:tcPr>
            <w:tcW w:w="992" w:type="dxa"/>
            <w:shd w:val="clear" w:color="auto" w:fill="auto"/>
            <w:vAlign w:val="center"/>
          </w:tcPr>
          <w:p w14:paraId="75AFFC44"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c>
          <w:tcPr>
            <w:tcW w:w="890" w:type="dxa"/>
            <w:shd w:val="clear" w:color="auto" w:fill="auto"/>
            <w:vAlign w:val="center"/>
          </w:tcPr>
          <w:p w14:paraId="7B6DAE11"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c>
          <w:tcPr>
            <w:tcW w:w="1053" w:type="dxa"/>
            <w:shd w:val="clear" w:color="auto" w:fill="auto"/>
            <w:vAlign w:val="center"/>
          </w:tcPr>
          <w:p w14:paraId="39BBBBA3"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c>
          <w:tcPr>
            <w:tcW w:w="1053" w:type="dxa"/>
            <w:shd w:val="clear" w:color="auto" w:fill="auto"/>
            <w:vAlign w:val="center"/>
          </w:tcPr>
          <w:p w14:paraId="721A209F"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c>
          <w:tcPr>
            <w:tcW w:w="1053" w:type="dxa"/>
            <w:shd w:val="clear" w:color="auto" w:fill="auto"/>
            <w:vAlign w:val="center"/>
          </w:tcPr>
          <w:p w14:paraId="6F626DBE"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c>
          <w:tcPr>
            <w:tcW w:w="1053" w:type="dxa"/>
            <w:shd w:val="clear" w:color="auto" w:fill="auto"/>
            <w:vAlign w:val="center"/>
          </w:tcPr>
          <w:p w14:paraId="2E190723" w14:textId="77777777" w:rsidR="0009316F" w:rsidRPr="00261CCE" w:rsidRDefault="0009316F" w:rsidP="00C439AF">
            <w:pPr>
              <w:spacing w:before="40" w:after="40" w:line="220" w:lineRule="exact"/>
              <w:jc w:val="center"/>
              <w:rPr>
                <w:rFonts w:eastAsia="PMingLiU"/>
                <w:sz w:val="18"/>
              </w:rPr>
            </w:pPr>
            <w:r w:rsidRPr="00261CCE">
              <w:rPr>
                <w:rFonts w:ascii="Wingdings" w:eastAsia="Wingdings" w:hAnsi="Wingdings" w:cs="Wingdings"/>
                <w:color w:val="FFC000"/>
                <w:sz w:val="28"/>
                <w:szCs w:val="28"/>
              </w:rPr>
              <w:t>K</w:t>
            </w:r>
            <w:r w:rsidRPr="00261CCE">
              <w:rPr>
                <w:lang w:eastAsia="zh-TW"/>
              </w:rPr>
              <w:t xml:space="preserve"> </w:t>
            </w:r>
            <w:r w:rsidRPr="00261CCE">
              <w:rPr>
                <w:rFonts w:ascii="Wingdings" w:eastAsia="Wingdings" w:hAnsi="Wingdings" w:cs="Wingdings"/>
                <w:color w:val="00B050"/>
                <w:sz w:val="28"/>
                <w:szCs w:val="28"/>
              </w:rPr>
              <w:t>ä</w:t>
            </w:r>
          </w:p>
        </w:tc>
      </w:tr>
      <w:tr w:rsidR="0009316F" w:rsidRPr="00261CCE" w14:paraId="4E775A6F" w14:textId="77777777" w:rsidTr="00C439AF">
        <w:trPr>
          <w:trHeight w:hRule="exact" w:val="52"/>
        </w:trPr>
        <w:tc>
          <w:tcPr>
            <w:tcW w:w="1276" w:type="dxa"/>
            <w:tcBorders>
              <w:bottom w:val="single" w:sz="12" w:space="0" w:color="auto"/>
            </w:tcBorders>
            <w:shd w:val="clear" w:color="auto" w:fill="auto"/>
          </w:tcPr>
          <w:p w14:paraId="048C5678" w14:textId="77777777" w:rsidR="0009316F" w:rsidRPr="00261CCE" w:rsidRDefault="0009316F" w:rsidP="00C439AF">
            <w:pPr>
              <w:spacing w:before="40" w:after="40" w:line="220" w:lineRule="exact"/>
              <w:rPr>
                <w:sz w:val="18"/>
                <w:szCs w:val="18"/>
              </w:rPr>
            </w:pPr>
          </w:p>
        </w:tc>
        <w:tc>
          <w:tcPr>
            <w:tcW w:w="992" w:type="dxa"/>
            <w:tcBorders>
              <w:bottom w:val="single" w:sz="12" w:space="0" w:color="auto"/>
            </w:tcBorders>
            <w:shd w:val="clear" w:color="auto" w:fill="auto"/>
            <w:vAlign w:val="center"/>
          </w:tcPr>
          <w:p w14:paraId="16DDF29E"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890" w:type="dxa"/>
            <w:tcBorders>
              <w:bottom w:val="single" w:sz="12" w:space="0" w:color="auto"/>
            </w:tcBorders>
            <w:shd w:val="clear" w:color="auto" w:fill="auto"/>
            <w:vAlign w:val="center"/>
          </w:tcPr>
          <w:p w14:paraId="5BB153A4"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bottom w:val="single" w:sz="12" w:space="0" w:color="auto"/>
            </w:tcBorders>
            <w:shd w:val="clear" w:color="auto" w:fill="auto"/>
            <w:vAlign w:val="center"/>
          </w:tcPr>
          <w:p w14:paraId="3CE295EB"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bottom w:val="single" w:sz="12" w:space="0" w:color="auto"/>
            </w:tcBorders>
            <w:shd w:val="clear" w:color="auto" w:fill="auto"/>
            <w:vAlign w:val="center"/>
          </w:tcPr>
          <w:p w14:paraId="5B9E1BF4"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bottom w:val="single" w:sz="12" w:space="0" w:color="auto"/>
            </w:tcBorders>
            <w:shd w:val="clear" w:color="auto" w:fill="auto"/>
            <w:vAlign w:val="center"/>
          </w:tcPr>
          <w:p w14:paraId="5BA359B3" w14:textId="77777777" w:rsidR="0009316F" w:rsidRPr="00261CCE" w:rsidRDefault="0009316F" w:rsidP="00C439AF">
            <w:pPr>
              <w:spacing w:before="40" w:after="40" w:line="220" w:lineRule="exact"/>
              <w:jc w:val="center"/>
              <w:rPr>
                <w:rFonts w:ascii="Wingdings" w:hAnsi="Wingdings" w:cs="Wingdings"/>
                <w:color w:val="FFC000"/>
                <w:sz w:val="28"/>
                <w:szCs w:val="28"/>
              </w:rPr>
            </w:pPr>
          </w:p>
        </w:tc>
        <w:tc>
          <w:tcPr>
            <w:tcW w:w="1053" w:type="dxa"/>
            <w:tcBorders>
              <w:bottom w:val="single" w:sz="12" w:space="0" w:color="auto"/>
            </w:tcBorders>
            <w:shd w:val="clear" w:color="auto" w:fill="auto"/>
            <w:vAlign w:val="center"/>
          </w:tcPr>
          <w:p w14:paraId="24B4FDBF" w14:textId="77777777" w:rsidR="0009316F" w:rsidRPr="00261CCE" w:rsidRDefault="0009316F" w:rsidP="00C439AF">
            <w:pPr>
              <w:spacing w:before="40" w:after="40" w:line="220" w:lineRule="exact"/>
              <w:jc w:val="center"/>
              <w:rPr>
                <w:rFonts w:ascii="Wingdings" w:hAnsi="Wingdings" w:cs="Wingdings"/>
                <w:color w:val="FFC000"/>
                <w:sz w:val="28"/>
                <w:szCs w:val="28"/>
              </w:rPr>
            </w:pPr>
          </w:p>
        </w:tc>
      </w:tr>
    </w:tbl>
    <w:p w14:paraId="53D52A31" w14:textId="77777777" w:rsidR="0009316F" w:rsidRPr="00261CCE" w:rsidRDefault="0009316F" w:rsidP="0009316F">
      <w:pPr>
        <w:keepNext/>
        <w:keepLines/>
        <w:tabs>
          <w:tab w:val="right" w:pos="851"/>
        </w:tabs>
        <w:spacing w:before="120" w:after="120" w:line="240" w:lineRule="exact"/>
        <w:ind w:left="1134" w:right="1134" w:firstLine="567"/>
        <w:jc w:val="both"/>
        <w:rPr>
          <w:i/>
          <w:iCs/>
          <w:sz w:val="18"/>
          <w:szCs w:val="18"/>
        </w:rPr>
      </w:pPr>
      <w:r w:rsidRPr="00261CCE">
        <w:rPr>
          <w:i/>
          <w:iCs/>
          <w:sz w:val="18"/>
          <w:szCs w:val="18"/>
        </w:rPr>
        <w:t>Source</w:t>
      </w:r>
      <w:r w:rsidRPr="00261CCE">
        <w:rPr>
          <w:sz w:val="18"/>
          <w:szCs w:val="18"/>
        </w:rPr>
        <w:t>: United Nations Economic Commission for Europe, ECE/CEP/AC.10/2021/6, Final review report on the establishment of the Shared Environmental Information System</w:t>
      </w:r>
      <w:r w:rsidRPr="00261CCE">
        <w:rPr>
          <w:i/>
          <w:iCs/>
          <w:sz w:val="18"/>
          <w:szCs w:val="18"/>
        </w:rPr>
        <w:t>.</w:t>
      </w:r>
    </w:p>
    <w:p w14:paraId="33C079C9" w14:textId="77777777" w:rsidR="0009316F" w:rsidRPr="00261CCE" w:rsidRDefault="0009316F" w:rsidP="0009316F">
      <w:pPr>
        <w:keepNext/>
        <w:keepLines/>
        <w:tabs>
          <w:tab w:val="right" w:pos="851"/>
        </w:tabs>
        <w:spacing w:after="240" w:line="240" w:lineRule="auto"/>
        <w:ind w:left="1134" w:right="851" w:firstLine="567"/>
        <w:rPr>
          <w:sz w:val="18"/>
          <w:szCs w:val="18"/>
        </w:rPr>
      </w:pPr>
      <w:r w:rsidRPr="00261CCE">
        <w:rPr>
          <w:i/>
          <w:iCs/>
          <w:sz w:val="18"/>
          <w:szCs w:val="18"/>
        </w:rPr>
        <w:t>Note</w:t>
      </w:r>
      <w:r w:rsidRPr="00261CCE">
        <w:rPr>
          <w:sz w:val="18"/>
          <w:szCs w:val="18"/>
        </w:rPr>
        <w:t xml:space="preserve">: Trend is </w:t>
      </w:r>
      <w:r w:rsidRPr="00261CCE">
        <w:rPr>
          <w:rFonts w:ascii="Wingdings" w:eastAsia="Wingdings" w:hAnsi="Wingdings" w:cs="Wingdings"/>
          <w:color w:val="00B050"/>
          <w:sz w:val="28"/>
          <w:szCs w:val="28"/>
        </w:rPr>
        <w:t>ä</w:t>
      </w:r>
      <w:r w:rsidRPr="00261CCE">
        <w:t xml:space="preserve"> </w:t>
      </w:r>
      <w:r w:rsidRPr="00261CCE">
        <w:rPr>
          <w:sz w:val="18"/>
          <w:szCs w:val="18"/>
        </w:rPr>
        <w:t>on average improving; Shared Environmental Information System</w:t>
      </w:r>
      <w:r>
        <w:rPr>
          <w:sz w:val="18"/>
          <w:szCs w:val="18"/>
        </w:rPr>
        <w:t xml:space="preserve"> </w:t>
      </w:r>
      <w:r w:rsidRPr="00261CCE">
        <w:rPr>
          <w:sz w:val="18"/>
          <w:szCs w:val="18"/>
        </w:rPr>
        <w:t xml:space="preserve">established but with gaps in the alignment with the pillars and principles </w:t>
      </w:r>
      <w:r w:rsidRPr="00261CCE">
        <w:rPr>
          <w:rFonts w:ascii="Wingdings" w:eastAsia="Wingdings" w:hAnsi="Wingdings" w:cs="Wingdings"/>
          <w:color w:val="FFC000"/>
          <w:sz w:val="28"/>
          <w:szCs w:val="28"/>
        </w:rPr>
        <w:t>K</w:t>
      </w:r>
      <w:r w:rsidRPr="00261CCE">
        <w:rPr>
          <w:sz w:val="18"/>
          <w:szCs w:val="18"/>
        </w:rPr>
        <w:t>.</w:t>
      </w:r>
    </w:p>
    <w:bookmarkEnd w:id="1"/>
    <w:bookmarkEnd w:id="5"/>
    <w:p w14:paraId="4EE64009" w14:textId="0B6EBCB3" w:rsidR="0093577C" w:rsidRPr="00AF1758" w:rsidRDefault="0093577C" w:rsidP="00AF1758">
      <w:pPr>
        <w:rPr>
          <w:b/>
          <w:sz w:val="28"/>
          <w:lang w:eastAsia="zh-TW"/>
        </w:rPr>
      </w:pPr>
    </w:p>
    <w:sectPr w:rsidR="0093577C" w:rsidRPr="00AF1758" w:rsidSect="005513C3">
      <w:headerReference w:type="even" r:id="rId13"/>
      <w:headerReference w:type="default" r:id="rId14"/>
      <w:footerReference w:type="even" r:id="rId15"/>
      <w:footerReference w:type="default" r:id="rId16"/>
      <w:head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1510" w14:textId="77777777" w:rsidR="007B66F1" w:rsidRDefault="007B66F1"/>
  </w:endnote>
  <w:endnote w:type="continuationSeparator" w:id="0">
    <w:p w14:paraId="3B097DD4" w14:textId="77777777" w:rsidR="007B66F1" w:rsidRDefault="007B66F1"/>
  </w:endnote>
  <w:endnote w:type="continuationNotice" w:id="1">
    <w:p w14:paraId="3862676F" w14:textId="77777777" w:rsidR="007B66F1" w:rsidRDefault="007B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F5F9" w14:textId="4BC992A4" w:rsidR="00B43A57" w:rsidRDefault="00B43A5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0B10" w14:textId="64301B34" w:rsidR="00B43A57" w:rsidRDefault="00B43A57" w:rsidP="00B43A5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8D06" w14:textId="77777777" w:rsidR="007B66F1" w:rsidRPr="000B175B" w:rsidRDefault="007B66F1" w:rsidP="000B175B">
      <w:pPr>
        <w:tabs>
          <w:tab w:val="right" w:pos="2155"/>
        </w:tabs>
        <w:ind w:left="680"/>
        <w:rPr>
          <w:u w:val="single"/>
        </w:rPr>
      </w:pPr>
      <w:r>
        <w:rPr>
          <w:u w:val="single"/>
        </w:rPr>
        <w:tab/>
      </w:r>
    </w:p>
  </w:footnote>
  <w:footnote w:type="continuationSeparator" w:id="0">
    <w:p w14:paraId="39C9EBA5" w14:textId="77777777" w:rsidR="007B66F1" w:rsidRPr="00FC68B7" w:rsidRDefault="007B66F1" w:rsidP="00FC68B7">
      <w:pPr>
        <w:tabs>
          <w:tab w:val="left" w:pos="2155"/>
        </w:tabs>
        <w:ind w:left="680"/>
        <w:rPr>
          <w:u w:val="single"/>
        </w:rPr>
      </w:pPr>
      <w:r>
        <w:rPr>
          <w:u w:val="single"/>
        </w:rPr>
        <w:tab/>
      </w:r>
    </w:p>
  </w:footnote>
  <w:footnote w:type="continuationNotice" w:id="1">
    <w:p w14:paraId="534F8CF5" w14:textId="77777777" w:rsidR="007B66F1" w:rsidRDefault="007B66F1"/>
  </w:footnote>
  <w:footnote w:id="2">
    <w:p w14:paraId="7A0CE1A4" w14:textId="36057374" w:rsidR="0009316F" w:rsidRPr="000E3306" w:rsidRDefault="0009316F" w:rsidP="0009316F">
      <w:pPr>
        <w:pStyle w:val="FootnoteText"/>
      </w:pPr>
      <w:r>
        <w:tab/>
      </w:r>
      <w:r>
        <w:rPr>
          <w:rStyle w:val="FootnoteReference"/>
        </w:rPr>
        <w:footnoteRef/>
      </w:r>
      <w:r>
        <w:tab/>
        <w:t>Throughout the assessment, where feasible and relevant, the following subregions are referred to: (i) European Union, comprising 27 member States; (ii) Western Europe, comprising Andorra, Iceland, Israel, Liechtenstein, Monaco, Norway, San Marino, Switzerland and the United Kingdom of Great Britain and Northern Ireland; (iii) Central Asia, comprising Kazakhstan, Kyrgyzstan, Tajikistan, Turkmenistan and Uzbekistan; (iv) Eastern Europe, comprising Armenia, Azerbaijan, Belarus, Georgia, the Republic of Moldova, the Russian Federation and Ukraine; and (v) South-Eastern Europe, comprising Albania, Bosnia and Herzegovina, Montenegro, North Macedonia, Serbia and Turkey.</w:t>
      </w:r>
      <w:r w:rsidR="00475525">
        <w:t xml:space="preserve"> The assessment does not include Canada and the United States of America.</w:t>
      </w:r>
    </w:p>
    <w:p w14:paraId="5B3957AC" w14:textId="77777777" w:rsidR="0009316F" w:rsidRPr="00AF30A1" w:rsidRDefault="0009316F" w:rsidP="0009316F">
      <w:pPr>
        <w:pStyle w:val="FootnoteText"/>
        <w:widowControl w:val="0"/>
        <w:tabs>
          <w:tab w:val="clear" w:pos="1021"/>
          <w:tab w:val="right" w:pos="1020"/>
        </w:tabs>
      </w:pPr>
      <w:r>
        <w:t xml:space="preserve"> </w:t>
      </w:r>
    </w:p>
  </w:footnote>
  <w:footnote w:id="3">
    <w:p w14:paraId="41E54E81" w14:textId="4776981E" w:rsidR="0009316F" w:rsidRPr="00F9684B" w:rsidRDefault="0009316F" w:rsidP="0009316F">
      <w:pPr>
        <w:pStyle w:val="FootnoteText"/>
      </w:pPr>
      <w:r>
        <w:tab/>
      </w:r>
      <w:r>
        <w:rPr>
          <w:rStyle w:val="FootnoteReference"/>
        </w:rPr>
        <w:footnoteRef/>
      </w:r>
      <w:r>
        <w:tab/>
        <w:t>According to the</w:t>
      </w:r>
      <w:r w:rsidRPr="00AA52A6">
        <w:t xml:space="preserve"> Food and Agriculture Organization of the United Nations</w:t>
      </w:r>
      <w:r>
        <w:t>, c</w:t>
      </w:r>
      <w:r w:rsidRPr="001B346F">
        <w:t xml:space="preserve">onservation </w:t>
      </w:r>
      <w:r>
        <w:t>a</w:t>
      </w:r>
      <w:r w:rsidRPr="001B346F">
        <w:t>griculture is a farming system that promotes minimum soil disturbance (i.e. no tillage), maintenance of a permanent soil cover, and diversification of plant species. It enhances biodiversity and natural biological processes above and below the ground surface, which contribute to increased water and nutrient use efficiency and to improved and sustained crop production</w:t>
      </w:r>
      <w:r>
        <w:t>.</w:t>
      </w:r>
    </w:p>
  </w:footnote>
  <w:footnote w:id="4">
    <w:p w14:paraId="15018FB8" w14:textId="77777777" w:rsidR="0009316F" w:rsidRPr="00104DB9" w:rsidRDefault="0009316F" w:rsidP="0009316F">
      <w:pPr>
        <w:pStyle w:val="FootnoteText"/>
      </w:pPr>
      <w:r>
        <w:tab/>
      </w:r>
      <w:r>
        <w:rPr>
          <w:rStyle w:val="FootnoteReference"/>
        </w:rPr>
        <w:footnoteRef/>
      </w:r>
      <w:r>
        <w:tab/>
        <w:t xml:space="preserve">Local governments are determined by the reporting country for the corresponding Sustainable Development Goal indicator (11.b.2), considering subnational public administrations with responsibility to develop local disaster risk reduction strategies. </w:t>
      </w:r>
    </w:p>
  </w:footnote>
  <w:footnote w:id="5">
    <w:p w14:paraId="02F3F2E1" w14:textId="0AB45E98" w:rsidR="00F9092D" w:rsidRPr="00F9092D" w:rsidRDefault="00F9092D">
      <w:pPr>
        <w:pStyle w:val="FootnoteText"/>
      </w:pPr>
      <w:r>
        <w:tab/>
      </w:r>
      <w:r>
        <w:rPr>
          <w:rStyle w:val="FootnoteReference"/>
        </w:rPr>
        <w:footnoteRef/>
      </w:r>
      <w:r>
        <w:t xml:space="preserve"> </w:t>
      </w:r>
      <w:r>
        <w:tab/>
      </w:r>
      <w:r w:rsidRPr="00F9092D">
        <w:t>Convention on Access to Information, Public Participation in Decision-making and Access to Justice in Environmental Matters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4CA" w14:textId="44A1DC28" w:rsidR="00D8094A" w:rsidRPr="00041A7F" w:rsidRDefault="00844D13" w:rsidP="00041A7F">
    <w:pPr>
      <w:pStyle w:val="Header"/>
      <w:rPr>
        <w:b w:val="0"/>
        <w:bCs/>
      </w:rPr>
    </w:pPr>
    <w:r w:rsidRPr="00041A7F">
      <w:rPr>
        <w:b w:val="0"/>
        <w:bCs/>
      </w:rPr>
      <w:t>Information paper No.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BF67" w14:textId="1087B803" w:rsidR="00D1580F" w:rsidRPr="00041A7F" w:rsidRDefault="00D8094A" w:rsidP="00CF3CEF">
    <w:pPr>
      <w:pStyle w:val="Header"/>
      <w:jc w:val="right"/>
      <w:rPr>
        <w:b w:val="0"/>
        <w:bCs/>
      </w:rPr>
    </w:pPr>
    <w:r w:rsidRPr="00041A7F">
      <w:rPr>
        <w:b w:val="0"/>
        <w:bCs/>
      </w:rPr>
      <w:t>Information paper No.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4D85" w14:textId="243BB432" w:rsidR="00F11CB4" w:rsidRDefault="00F11CB4" w:rsidP="00041A7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D4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485B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A42C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4AD5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9262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848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DCE5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E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ED2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F469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AF3463"/>
    <w:multiLevelType w:val="hybridMultilevel"/>
    <w:tmpl w:val="06F43D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5A32CD"/>
    <w:multiLevelType w:val="multilevel"/>
    <w:tmpl w:val="1AB6090A"/>
    <w:styleLink w:val="Listaatual1"/>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B66FFE"/>
    <w:multiLevelType w:val="hybridMultilevel"/>
    <w:tmpl w:val="F6E4528E"/>
    <w:lvl w:ilvl="0" w:tplc="FFFFFFFF">
      <w:start w:val="1"/>
      <w:numFmt w:val="lowerLetter"/>
      <w:lvlText w:val="(%1)"/>
      <w:lvlJc w:val="left"/>
      <w:pPr>
        <w:ind w:left="2345" w:hanging="360"/>
      </w:pPr>
      <w:rPr>
        <w:rFonts w:hint="default"/>
        <w:vertAlign w:val="superscrip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5" w15:restartNumberingAfterBreak="0">
    <w:nsid w:val="126F519E"/>
    <w:multiLevelType w:val="hybridMultilevel"/>
    <w:tmpl w:val="E3C479E8"/>
    <w:lvl w:ilvl="0" w:tplc="57EEE0DC">
      <w:start w:val="21"/>
      <w:numFmt w:val="bullet"/>
      <w:lvlText w:val="-"/>
      <w:lvlJc w:val="left"/>
      <w:pPr>
        <w:ind w:left="1500" w:hanging="360"/>
      </w:pPr>
      <w:rPr>
        <w:rFonts w:ascii="Times New Roman" w:eastAsia="PMingLiU"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13FF415A"/>
    <w:multiLevelType w:val="hybridMultilevel"/>
    <w:tmpl w:val="F2F680D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C551BD1"/>
    <w:multiLevelType w:val="hybridMultilevel"/>
    <w:tmpl w:val="A2785FDC"/>
    <w:lvl w:ilvl="0" w:tplc="6204C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69098B"/>
    <w:multiLevelType w:val="hybridMultilevel"/>
    <w:tmpl w:val="8A183900"/>
    <w:lvl w:ilvl="0" w:tplc="C74AFE8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151252D"/>
    <w:multiLevelType w:val="hybridMultilevel"/>
    <w:tmpl w:val="D84A43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9738C"/>
    <w:multiLevelType w:val="hybridMultilevel"/>
    <w:tmpl w:val="F6E4528E"/>
    <w:lvl w:ilvl="0" w:tplc="ACC0AC2E">
      <w:start w:val="1"/>
      <w:numFmt w:val="lowerLetter"/>
      <w:lvlText w:val="(%1)"/>
      <w:lvlJc w:val="left"/>
      <w:pPr>
        <w:ind w:left="2345" w:hanging="360"/>
      </w:pPr>
      <w:rPr>
        <w:rFonts w:hint="default"/>
        <w:vertAlign w:val="superscript"/>
      </w:rPr>
    </w:lvl>
    <w:lvl w:ilvl="1" w:tplc="08160019" w:tentative="1">
      <w:start w:val="1"/>
      <w:numFmt w:val="lowerLetter"/>
      <w:lvlText w:val="%2."/>
      <w:lvlJc w:val="left"/>
      <w:pPr>
        <w:ind w:left="3065" w:hanging="360"/>
      </w:pPr>
    </w:lvl>
    <w:lvl w:ilvl="2" w:tplc="0816001B" w:tentative="1">
      <w:start w:val="1"/>
      <w:numFmt w:val="lowerRoman"/>
      <w:lvlText w:val="%3."/>
      <w:lvlJc w:val="right"/>
      <w:pPr>
        <w:ind w:left="3785" w:hanging="180"/>
      </w:pPr>
    </w:lvl>
    <w:lvl w:ilvl="3" w:tplc="0816000F" w:tentative="1">
      <w:start w:val="1"/>
      <w:numFmt w:val="decimal"/>
      <w:lvlText w:val="%4."/>
      <w:lvlJc w:val="left"/>
      <w:pPr>
        <w:ind w:left="4505" w:hanging="360"/>
      </w:pPr>
    </w:lvl>
    <w:lvl w:ilvl="4" w:tplc="08160019" w:tentative="1">
      <w:start w:val="1"/>
      <w:numFmt w:val="lowerLetter"/>
      <w:lvlText w:val="%5."/>
      <w:lvlJc w:val="left"/>
      <w:pPr>
        <w:ind w:left="5225" w:hanging="360"/>
      </w:pPr>
    </w:lvl>
    <w:lvl w:ilvl="5" w:tplc="0816001B" w:tentative="1">
      <w:start w:val="1"/>
      <w:numFmt w:val="lowerRoman"/>
      <w:lvlText w:val="%6."/>
      <w:lvlJc w:val="right"/>
      <w:pPr>
        <w:ind w:left="5945" w:hanging="180"/>
      </w:pPr>
    </w:lvl>
    <w:lvl w:ilvl="6" w:tplc="0816000F" w:tentative="1">
      <w:start w:val="1"/>
      <w:numFmt w:val="decimal"/>
      <w:lvlText w:val="%7."/>
      <w:lvlJc w:val="left"/>
      <w:pPr>
        <w:ind w:left="6665" w:hanging="360"/>
      </w:pPr>
    </w:lvl>
    <w:lvl w:ilvl="7" w:tplc="08160019" w:tentative="1">
      <w:start w:val="1"/>
      <w:numFmt w:val="lowerLetter"/>
      <w:lvlText w:val="%8."/>
      <w:lvlJc w:val="left"/>
      <w:pPr>
        <w:ind w:left="7385" w:hanging="360"/>
      </w:pPr>
    </w:lvl>
    <w:lvl w:ilvl="8" w:tplc="0816001B" w:tentative="1">
      <w:start w:val="1"/>
      <w:numFmt w:val="lowerRoman"/>
      <w:lvlText w:val="%9."/>
      <w:lvlJc w:val="right"/>
      <w:pPr>
        <w:ind w:left="8105" w:hanging="180"/>
      </w:p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B434CA"/>
    <w:multiLevelType w:val="hybridMultilevel"/>
    <w:tmpl w:val="4BB01CB6"/>
    <w:lvl w:ilvl="0" w:tplc="D78CBB56">
      <w:numFmt w:val="bullet"/>
      <w:lvlText w:val="•"/>
      <w:lvlJc w:val="left"/>
      <w:pPr>
        <w:ind w:left="930" w:hanging="57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9575A"/>
    <w:multiLevelType w:val="hybridMultilevel"/>
    <w:tmpl w:val="E5B0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CD4A4E"/>
    <w:multiLevelType w:val="hybridMultilevel"/>
    <w:tmpl w:val="C004E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767C79"/>
    <w:multiLevelType w:val="hybridMultilevel"/>
    <w:tmpl w:val="12084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A9276B"/>
    <w:multiLevelType w:val="hybridMultilevel"/>
    <w:tmpl w:val="A3B4DA2E"/>
    <w:lvl w:ilvl="0" w:tplc="DD103A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134579"/>
    <w:multiLevelType w:val="hybridMultilevel"/>
    <w:tmpl w:val="C408052C"/>
    <w:lvl w:ilvl="0" w:tplc="D2F6CEC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548367C8"/>
    <w:multiLevelType w:val="hybridMultilevel"/>
    <w:tmpl w:val="51602CB0"/>
    <w:lvl w:ilvl="0" w:tplc="BCAA75B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56554025"/>
    <w:multiLevelType w:val="hybridMultilevel"/>
    <w:tmpl w:val="E7646A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57411C01"/>
    <w:multiLevelType w:val="hybridMultilevel"/>
    <w:tmpl w:val="2FB0C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802321"/>
    <w:multiLevelType w:val="hybridMultilevel"/>
    <w:tmpl w:val="AE3A6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8D35D2"/>
    <w:multiLevelType w:val="hybridMultilevel"/>
    <w:tmpl w:val="C9A8BB46"/>
    <w:lvl w:ilvl="0" w:tplc="00BA3F9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800DA"/>
    <w:multiLevelType w:val="hybridMultilevel"/>
    <w:tmpl w:val="B5B8F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B174AF2"/>
    <w:multiLevelType w:val="hybridMultilevel"/>
    <w:tmpl w:val="CD3E65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529E6"/>
    <w:multiLevelType w:val="hybridMultilevel"/>
    <w:tmpl w:val="6BE21E0E"/>
    <w:lvl w:ilvl="0" w:tplc="0C50C8CC">
      <w:start w:val="1"/>
      <w:numFmt w:val="lowerLetter"/>
      <w:lvlText w:val="(%1)"/>
      <w:lvlJc w:val="left"/>
      <w:pPr>
        <w:ind w:left="1494" w:hanging="360"/>
      </w:pPr>
      <w:rPr>
        <w:rFonts w:hint="default"/>
        <w:b/>
        <w:bCs w:val="0"/>
      </w:rPr>
    </w:lvl>
    <w:lvl w:ilvl="1" w:tplc="6804EEA0">
      <w:start w:val="1"/>
      <w:numFmt w:val="lowerLetter"/>
      <w:lvlText w:val="(%2)"/>
      <w:lvlJc w:val="left"/>
      <w:pPr>
        <w:ind w:left="2524" w:hanging="67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15:restartNumberingAfterBreak="0">
    <w:nsid w:val="695826C3"/>
    <w:multiLevelType w:val="hybridMultilevel"/>
    <w:tmpl w:val="A146634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69691FA1"/>
    <w:multiLevelType w:val="hybridMultilevel"/>
    <w:tmpl w:val="A372F360"/>
    <w:lvl w:ilvl="0" w:tplc="AA48F556">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257CF6"/>
    <w:multiLevelType w:val="hybridMultilevel"/>
    <w:tmpl w:val="450A13DC"/>
    <w:lvl w:ilvl="0" w:tplc="D19602BC">
      <w:start w:val="1"/>
      <w:numFmt w:val="lowerLetter"/>
      <w:lvlText w:val="(%1)"/>
      <w:lvlJc w:val="left"/>
      <w:pPr>
        <w:ind w:left="720" w:hanging="360"/>
      </w:pPr>
      <w:rPr>
        <w:rFonts w:hint="default"/>
      </w:rPr>
    </w:lvl>
    <w:lvl w:ilvl="1" w:tplc="43C67548">
      <w:start w:val="4"/>
      <w:numFmt w:val="bullet"/>
      <w:lvlText w:val="-"/>
      <w:lvlJc w:val="left"/>
      <w:pPr>
        <w:ind w:left="1640" w:hanging="5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3F2A67"/>
    <w:multiLevelType w:val="hybridMultilevel"/>
    <w:tmpl w:val="FF70F23A"/>
    <w:lvl w:ilvl="0" w:tplc="1E3C3FC6">
      <w:start w:val="1"/>
      <w:numFmt w:val="lowerLetter"/>
      <w:lvlText w:val="%1)"/>
      <w:lvlJc w:val="left"/>
      <w:pPr>
        <w:ind w:left="1440" w:hanging="360"/>
      </w:pPr>
      <w:rPr>
        <w:rFonts w:asciiTheme="minorHAnsi" w:hAnsiTheme="minorHAnsi" w:cstheme="minorBidi" w:hint="default"/>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6" w15:restartNumberingAfterBreak="0">
    <w:nsid w:val="7CC84EFB"/>
    <w:multiLevelType w:val="hybridMultilevel"/>
    <w:tmpl w:val="8FE84068"/>
    <w:lvl w:ilvl="0" w:tplc="A2589D5E">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7" w15:restartNumberingAfterBreak="0">
    <w:nsid w:val="7D6F635F"/>
    <w:multiLevelType w:val="hybridMultilevel"/>
    <w:tmpl w:val="F766939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7FFE7A6C"/>
    <w:multiLevelType w:val="hybridMultilevel"/>
    <w:tmpl w:val="F6E4528E"/>
    <w:lvl w:ilvl="0" w:tplc="FFFFFFFF">
      <w:start w:val="1"/>
      <w:numFmt w:val="lowerLetter"/>
      <w:lvlText w:val="(%1)"/>
      <w:lvlJc w:val="left"/>
      <w:pPr>
        <w:ind w:left="2345" w:hanging="360"/>
      </w:pPr>
      <w:rPr>
        <w:rFonts w:hint="default"/>
        <w:vertAlign w:val="superscrip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num w:numId="1">
    <w:abstractNumId w:val="39"/>
  </w:num>
  <w:num w:numId="2">
    <w:abstractNumId w:val="44"/>
  </w:num>
  <w:num w:numId="3">
    <w:abstractNumId w:val="12"/>
  </w:num>
  <w:num w:numId="4">
    <w:abstractNumId w:val="38"/>
  </w:num>
  <w:num w:numId="5">
    <w:abstractNumId w:val="1"/>
  </w:num>
  <w:num w:numId="6">
    <w:abstractNumId w:val="0"/>
  </w:num>
  <w:num w:numId="7">
    <w:abstractNumId w:val="2"/>
  </w:num>
  <w:num w:numId="8">
    <w:abstractNumId w:val="3"/>
  </w:num>
  <w:num w:numId="9">
    <w:abstractNumId w:val="8"/>
  </w:num>
  <w:num w:numId="10">
    <w:abstractNumId w:val="9"/>
  </w:num>
  <w:num w:numId="11">
    <w:abstractNumId w:val="7"/>
  </w:num>
  <w:num w:numId="12">
    <w:abstractNumId w:val="6"/>
  </w:num>
  <w:num w:numId="13">
    <w:abstractNumId w:val="5"/>
  </w:num>
  <w:num w:numId="14">
    <w:abstractNumId w:val="4"/>
  </w:num>
  <w:num w:numId="15">
    <w:abstractNumId w:val="36"/>
  </w:num>
  <w:num w:numId="16">
    <w:abstractNumId w:val="27"/>
  </w:num>
  <w:num w:numId="17">
    <w:abstractNumId w:val="41"/>
  </w:num>
  <w:num w:numId="18">
    <w:abstractNumId w:val="47"/>
  </w:num>
  <w:num w:numId="19">
    <w:abstractNumId w:val="22"/>
  </w:num>
  <w:num w:numId="20">
    <w:abstractNumId w:val="45"/>
  </w:num>
  <w:num w:numId="21">
    <w:abstractNumId w:val="24"/>
  </w:num>
  <w:num w:numId="22">
    <w:abstractNumId w:val="48"/>
  </w:num>
  <w:num w:numId="23">
    <w:abstractNumId w:val="14"/>
  </w:num>
  <w:num w:numId="24">
    <w:abstractNumId w:val="13"/>
  </w:num>
  <w:num w:numId="25">
    <w:abstractNumId w:val="42"/>
  </w:num>
  <w:num w:numId="26">
    <w:abstractNumId w:val="23"/>
  </w:num>
  <w:num w:numId="27">
    <w:abstractNumId w:val="20"/>
  </w:num>
  <w:num w:numId="28">
    <w:abstractNumId w:val="10"/>
  </w:num>
  <w:num w:numId="29">
    <w:abstractNumId w:val="17"/>
  </w:num>
  <w:num w:numId="30">
    <w:abstractNumId w:val="25"/>
  </w:num>
  <w:num w:numId="31">
    <w:abstractNumId w:val="19"/>
  </w:num>
  <w:num w:numId="32">
    <w:abstractNumId w:val="26"/>
  </w:num>
  <w:num w:numId="33">
    <w:abstractNumId w:val="43"/>
  </w:num>
  <w:num w:numId="34">
    <w:abstractNumId w:val="28"/>
  </w:num>
  <w:num w:numId="35">
    <w:abstractNumId w:val="37"/>
  </w:num>
  <w:num w:numId="36">
    <w:abstractNumId w:val="35"/>
  </w:num>
  <w:num w:numId="37">
    <w:abstractNumId w:val="29"/>
  </w:num>
  <w:num w:numId="38">
    <w:abstractNumId w:val="34"/>
  </w:num>
  <w:num w:numId="39">
    <w:abstractNumId w:val="18"/>
  </w:num>
  <w:num w:numId="40">
    <w:abstractNumId w:val="12"/>
    <w:lvlOverride w:ilvl="0">
      <w:startOverride w:val="1"/>
    </w:lvlOverride>
  </w:num>
  <w:num w:numId="41">
    <w:abstractNumId w:val="33"/>
  </w:num>
  <w:num w:numId="42">
    <w:abstractNumId w:val="11"/>
  </w:num>
  <w:num w:numId="43">
    <w:abstractNumId w:val="30"/>
  </w:num>
  <w:num w:numId="44">
    <w:abstractNumId w:val="31"/>
  </w:num>
  <w:num w:numId="45">
    <w:abstractNumId w:val="21"/>
  </w:num>
  <w:num w:numId="46">
    <w:abstractNumId w:val="16"/>
  </w:num>
  <w:num w:numId="47">
    <w:abstractNumId w:val="40"/>
  </w:num>
  <w:num w:numId="48">
    <w:abstractNumId w:val="46"/>
  </w:num>
  <w:num w:numId="49">
    <w:abstractNumId w:val="32"/>
  </w:num>
  <w:num w:numId="5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l-N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de-CH" w:vendorID="64" w:dllVersion="0" w:nlCheck="1" w:checkStyle="0"/>
  <w:activeWritingStyle w:appName="MSWord" w:lang="zh-TW" w:vendorID="64" w:dllVersion="0" w:nlCheck="1" w:checkStyle="1"/>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6F"/>
    <w:rsid w:val="00000054"/>
    <w:rsid w:val="0000023A"/>
    <w:rsid w:val="00000395"/>
    <w:rsid w:val="00000C2B"/>
    <w:rsid w:val="00000C54"/>
    <w:rsid w:val="00000FF0"/>
    <w:rsid w:val="0000108F"/>
    <w:rsid w:val="000010E9"/>
    <w:rsid w:val="00001273"/>
    <w:rsid w:val="000014FD"/>
    <w:rsid w:val="0000157D"/>
    <w:rsid w:val="00001D58"/>
    <w:rsid w:val="00001DEE"/>
    <w:rsid w:val="00001F5E"/>
    <w:rsid w:val="0000210F"/>
    <w:rsid w:val="0000213A"/>
    <w:rsid w:val="000024E2"/>
    <w:rsid w:val="0000268C"/>
    <w:rsid w:val="00002911"/>
    <w:rsid w:val="00002A7D"/>
    <w:rsid w:val="000030D8"/>
    <w:rsid w:val="000031E1"/>
    <w:rsid w:val="0000325A"/>
    <w:rsid w:val="000033A9"/>
    <w:rsid w:val="000038A8"/>
    <w:rsid w:val="00003B32"/>
    <w:rsid w:val="00003BE2"/>
    <w:rsid w:val="00004044"/>
    <w:rsid w:val="000043AE"/>
    <w:rsid w:val="000047AE"/>
    <w:rsid w:val="00004B43"/>
    <w:rsid w:val="00004F7E"/>
    <w:rsid w:val="000054F2"/>
    <w:rsid w:val="00005580"/>
    <w:rsid w:val="00005586"/>
    <w:rsid w:val="000058AB"/>
    <w:rsid w:val="00005EBE"/>
    <w:rsid w:val="0000607F"/>
    <w:rsid w:val="0000619B"/>
    <w:rsid w:val="0000628C"/>
    <w:rsid w:val="000064C0"/>
    <w:rsid w:val="00006790"/>
    <w:rsid w:val="000068C5"/>
    <w:rsid w:val="00006944"/>
    <w:rsid w:val="00006A9C"/>
    <w:rsid w:val="00006BD9"/>
    <w:rsid w:val="00006CA3"/>
    <w:rsid w:val="00006E20"/>
    <w:rsid w:val="0000704B"/>
    <w:rsid w:val="000075ED"/>
    <w:rsid w:val="00007872"/>
    <w:rsid w:val="00007C57"/>
    <w:rsid w:val="00007F46"/>
    <w:rsid w:val="0001033A"/>
    <w:rsid w:val="00010592"/>
    <w:rsid w:val="0001077A"/>
    <w:rsid w:val="00010968"/>
    <w:rsid w:val="0001097B"/>
    <w:rsid w:val="00010B09"/>
    <w:rsid w:val="00010B5D"/>
    <w:rsid w:val="00010BF4"/>
    <w:rsid w:val="00010DB7"/>
    <w:rsid w:val="00010F28"/>
    <w:rsid w:val="00010F6C"/>
    <w:rsid w:val="00010F8C"/>
    <w:rsid w:val="00010FA3"/>
    <w:rsid w:val="00011154"/>
    <w:rsid w:val="00011367"/>
    <w:rsid w:val="0001187C"/>
    <w:rsid w:val="00011C2D"/>
    <w:rsid w:val="00011DAE"/>
    <w:rsid w:val="00011ECF"/>
    <w:rsid w:val="000120D5"/>
    <w:rsid w:val="000121D5"/>
    <w:rsid w:val="00012291"/>
    <w:rsid w:val="000122C8"/>
    <w:rsid w:val="00012829"/>
    <w:rsid w:val="00012AAA"/>
    <w:rsid w:val="00012B23"/>
    <w:rsid w:val="00012B5C"/>
    <w:rsid w:val="00012C23"/>
    <w:rsid w:val="00012C58"/>
    <w:rsid w:val="00012DCB"/>
    <w:rsid w:val="00012FCE"/>
    <w:rsid w:val="000131B8"/>
    <w:rsid w:val="00013373"/>
    <w:rsid w:val="000137EF"/>
    <w:rsid w:val="00013B61"/>
    <w:rsid w:val="00013DC6"/>
    <w:rsid w:val="00013E4F"/>
    <w:rsid w:val="0001404E"/>
    <w:rsid w:val="0001435A"/>
    <w:rsid w:val="0001455E"/>
    <w:rsid w:val="00014725"/>
    <w:rsid w:val="00014919"/>
    <w:rsid w:val="00014E57"/>
    <w:rsid w:val="00015203"/>
    <w:rsid w:val="000154BC"/>
    <w:rsid w:val="00015812"/>
    <w:rsid w:val="00015A47"/>
    <w:rsid w:val="00015B70"/>
    <w:rsid w:val="00016046"/>
    <w:rsid w:val="000164C6"/>
    <w:rsid w:val="0001652E"/>
    <w:rsid w:val="00016B31"/>
    <w:rsid w:val="00017051"/>
    <w:rsid w:val="000170C1"/>
    <w:rsid w:val="00017174"/>
    <w:rsid w:val="00017259"/>
    <w:rsid w:val="000176EB"/>
    <w:rsid w:val="00017D41"/>
    <w:rsid w:val="00017E8F"/>
    <w:rsid w:val="00020289"/>
    <w:rsid w:val="000208D9"/>
    <w:rsid w:val="00020A7D"/>
    <w:rsid w:val="0002135A"/>
    <w:rsid w:val="00021589"/>
    <w:rsid w:val="00021AB4"/>
    <w:rsid w:val="00021FAA"/>
    <w:rsid w:val="000221F6"/>
    <w:rsid w:val="0002277B"/>
    <w:rsid w:val="0002299A"/>
    <w:rsid w:val="00022AD0"/>
    <w:rsid w:val="0002329F"/>
    <w:rsid w:val="0002350F"/>
    <w:rsid w:val="00023571"/>
    <w:rsid w:val="0002394F"/>
    <w:rsid w:val="00023A06"/>
    <w:rsid w:val="00023C1D"/>
    <w:rsid w:val="0002414D"/>
    <w:rsid w:val="000245EF"/>
    <w:rsid w:val="0002460F"/>
    <w:rsid w:val="0002463B"/>
    <w:rsid w:val="0002468D"/>
    <w:rsid w:val="000248A7"/>
    <w:rsid w:val="00024931"/>
    <w:rsid w:val="00024D90"/>
    <w:rsid w:val="0002500A"/>
    <w:rsid w:val="00025199"/>
    <w:rsid w:val="000252D7"/>
    <w:rsid w:val="000254A8"/>
    <w:rsid w:val="000255C1"/>
    <w:rsid w:val="00025B6D"/>
    <w:rsid w:val="000260AC"/>
    <w:rsid w:val="000262AE"/>
    <w:rsid w:val="00026691"/>
    <w:rsid w:val="000275EB"/>
    <w:rsid w:val="00027624"/>
    <w:rsid w:val="00027F2D"/>
    <w:rsid w:val="00027F95"/>
    <w:rsid w:val="00030188"/>
    <w:rsid w:val="000302A0"/>
    <w:rsid w:val="000302F4"/>
    <w:rsid w:val="0003040B"/>
    <w:rsid w:val="00030D41"/>
    <w:rsid w:val="00030DBA"/>
    <w:rsid w:val="00031044"/>
    <w:rsid w:val="000310BD"/>
    <w:rsid w:val="000310DC"/>
    <w:rsid w:val="000311E9"/>
    <w:rsid w:val="0003122F"/>
    <w:rsid w:val="000314EC"/>
    <w:rsid w:val="0003181F"/>
    <w:rsid w:val="00031BBA"/>
    <w:rsid w:val="00031CC6"/>
    <w:rsid w:val="00031D5E"/>
    <w:rsid w:val="00032145"/>
    <w:rsid w:val="000321C2"/>
    <w:rsid w:val="000321FD"/>
    <w:rsid w:val="00032528"/>
    <w:rsid w:val="00032545"/>
    <w:rsid w:val="00032869"/>
    <w:rsid w:val="00032889"/>
    <w:rsid w:val="00032B77"/>
    <w:rsid w:val="00032C02"/>
    <w:rsid w:val="00032EDE"/>
    <w:rsid w:val="00032F5D"/>
    <w:rsid w:val="00032F9E"/>
    <w:rsid w:val="00032FE5"/>
    <w:rsid w:val="000332C3"/>
    <w:rsid w:val="000333C2"/>
    <w:rsid w:val="00033B5B"/>
    <w:rsid w:val="000341C7"/>
    <w:rsid w:val="00034201"/>
    <w:rsid w:val="000342C3"/>
    <w:rsid w:val="00034333"/>
    <w:rsid w:val="000344F2"/>
    <w:rsid w:val="0003496E"/>
    <w:rsid w:val="000349D5"/>
    <w:rsid w:val="00034C78"/>
    <w:rsid w:val="00034EA5"/>
    <w:rsid w:val="000353CB"/>
    <w:rsid w:val="000356E5"/>
    <w:rsid w:val="000359A7"/>
    <w:rsid w:val="00035A54"/>
    <w:rsid w:val="00035B97"/>
    <w:rsid w:val="00035FFD"/>
    <w:rsid w:val="00036B8D"/>
    <w:rsid w:val="00037160"/>
    <w:rsid w:val="00037478"/>
    <w:rsid w:val="0003751E"/>
    <w:rsid w:val="00037827"/>
    <w:rsid w:val="00037968"/>
    <w:rsid w:val="000379A2"/>
    <w:rsid w:val="00037A81"/>
    <w:rsid w:val="00040482"/>
    <w:rsid w:val="0004081A"/>
    <w:rsid w:val="00040E57"/>
    <w:rsid w:val="00040FBB"/>
    <w:rsid w:val="00041546"/>
    <w:rsid w:val="000416D2"/>
    <w:rsid w:val="00041891"/>
    <w:rsid w:val="00041A7F"/>
    <w:rsid w:val="00041DF7"/>
    <w:rsid w:val="00041E9A"/>
    <w:rsid w:val="00042378"/>
    <w:rsid w:val="000423BA"/>
    <w:rsid w:val="00042485"/>
    <w:rsid w:val="000426D9"/>
    <w:rsid w:val="00042C4E"/>
    <w:rsid w:val="00042C7E"/>
    <w:rsid w:val="00042CF1"/>
    <w:rsid w:val="00043011"/>
    <w:rsid w:val="000434E1"/>
    <w:rsid w:val="0004365D"/>
    <w:rsid w:val="00043714"/>
    <w:rsid w:val="0004397E"/>
    <w:rsid w:val="00043D4C"/>
    <w:rsid w:val="0004411E"/>
    <w:rsid w:val="000441FB"/>
    <w:rsid w:val="000443F6"/>
    <w:rsid w:val="00044508"/>
    <w:rsid w:val="00044610"/>
    <w:rsid w:val="000455AB"/>
    <w:rsid w:val="000459D8"/>
    <w:rsid w:val="00045BA3"/>
    <w:rsid w:val="00045E52"/>
    <w:rsid w:val="000460C0"/>
    <w:rsid w:val="000460CA"/>
    <w:rsid w:val="0004687A"/>
    <w:rsid w:val="00046BDC"/>
    <w:rsid w:val="00046D99"/>
    <w:rsid w:val="00046DB8"/>
    <w:rsid w:val="00046E87"/>
    <w:rsid w:val="000479B4"/>
    <w:rsid w:val="00047DFC"/>
    <w:rsid w:val="00047EED"/>
    <w:rsid w:val="000506C3"/>
    <w:rsid w:val="00050F6B"/>
    <w:rsid w:val="00050F97"/>
    <w:rsid w:val="000510E3"/>
    <w:rsid w:val="000512AF"/>
    <w:rsid w:val="000512FF"/>
    <w:rsid w:val="0005147A"/>
    <w:rsid w:val="00051746"/>
    <w:rsid w:val="000518C1"/>
    <w:rsid w:val="00051C89"/>
    <w:rsid w:val="00051F82"/>
    <w:rsid w:val="00051FE8"/>
    <w:rsid w:val="0005251E"/>
    <w:rsid w:val="000525A2"/>
    <w:rsid w:val="00052715"/>
    <w:rsid w:val="00052857"/>
    <w:rsid w:val="00052A1D"/>
    <w:rsid w:val="00052C0D"/>
    <w:rsid w:val="00052DDD"/>
    <w:rsid w:val="00053005"/>
    <w:rsid w:val="000531D5"/>
    <w:rsid w:val="0005367B"/>
    <w:rsid w:val="00053A33"/>
    <w:rsid w:val="00053BC1"/>
    <w:rsid w:val="00053D1E"/>
    <w:rsid w:val="00053D62"/>
    <w:rsid w:val="0005448B"/>
    <w:rsid w:val="000545BD"/>
    <w:rsid w:val="000548CF"/>
    <w:rsid w:val="00054FB8"/>
    <w:rsid w:val="0005501A"/>
    <w:rsid w:val="000550CF"/>
    <w:rsid w:val="000556C6"/>
    <w:rsid w:val="00056046"/>
    <w:rsid w:val="00056BB9"/>
    <w:rsid w:val="00056DA0"/>
    <w:rsid w:val="00056EBC"/>
    <w:rsid w:val="00056F72"/>
    <w:rsid w:val="0005707D"/>
    <w:rsid w:val="00057119"/>
    <w:rsid w:val="00057229"/>
    <w:rsid w:val="000575BB"/>
    <w:rsid w:val="00057763"/>
    <w:rsid w:val="0005778D"/>
    <w:rsid w:val="000579A1"/>
    <w:rsid w:val="00057A95"/>
    <w:rsid w:val="00057F88"/>
    <w:rsid w:val="0006011E"/>
    <w:rsid w:val="00060A15"/>
    <w:rsid w:val="00060CEA"/>
    <w:rsid w:val="00060D1F"/>
    <w:rsid w:val="00060DE5"/>
    <w:rsid w:val="00060FBB"/>
    <w:rsid w:val="000610D0"/>
    <w:rsid w:val="00061222"/>
    <w:rsid w:val="0006156C"/>
    <w:rsid w:val="00061B1A"/>
    <w:rsid w:val="00061D6D"/>
    <w:rsid w:val="00062105"/>
    <w:rsid w:val="00062687"/>
    <w:rsid w:val="00062849"/>
    <w:rsid w:val="000628F4"/>
    <w:rsid w:val="00062A44"/>
    <w:rsid w:val="00062B76"/>
    <w:rsid w:val="00062C08"/>
    <w:rsid w:val="00062F21"/>
    <w:rsid w:val="00062F49"/>
    <w:rsid w:val="0006307E"/>
    <w:rsid w:val="00063129"/>
    <w:rsid w:val="000632F2"/>
    <w:rsid w:val="0006333B"/>
    <w:rsid w:val="0006354B"/>
    <w:rsid w:val="000638E6"/>
    <w:rsid w:val="00063CE7"/>
    <w:rsid w:val="00063D95"/>
    <w:rsid w:val="00063DFF"/>
    <w:rsid w:val="000641B2"/>
    <w:rsid w:val="00064477"/>
    <w:rsid w:val="000644DF"/>
    <w:rsid w:val="000644FC"/>
    <w:rsid w:val="00064768"/>
    <w:rsid w:val="0006477B"/>
    <w:rsid w:val="000648F6"/>
    <w:rsid w:val="00064DA4"/>
    <w:rsid w:val="00064ED1"/>
    <w:rsid w:val="000650EE"/>
    <w:rsid w:val="00065111"/>
    <w:rsid w:val="00065746"/>
    <w:rsid w:val="00065751"/>
    <w:rsid w:val="00065E33"/>
    <w:rsid w:val="00065F00"/>
    <w:rsid w:val="000665F7"/>
    <w:rsid w:val="00066858"/>
    <w:rsid w:val="0006696B"/>
    <w:rsid w:val="00066DBD"/>
    <w:rsid w:val="00066DBF"/>
    <w:rsid w:val="0006731C"/>
    <w:rsid w:val="0006744C"/>
    <w:rsid w:val="000674C4"/>
    <w:rsid w:val="00067621"/>
    <w:rsid w:val="000678CD"/>
    <w:rsid w:val="00067923"/>
    <w:rsid w:val="00067A6E"/>
    <w:rsid w:val="00067AAF"/>
    <w:rsid w:val="00070777"/>
    <w:rsid w:val="00070C17"/>
    <w:rsid w:val="00070C99"/>
    <w:rsid w:val="00070D0B"/>
    <w:rsid w:val="00070E28"/>
    <w:rsid w:val="0007109C"/>
    <w:rsid w:val="000712C7"/>
    <w:rsid w:val="00071726"/>
    <w:rsid w:val="0007194B"/>
    <w:rsid w:val="00071AE9"/>
    <w:rsid w:val="00071B77"/>
    <w:rsid w:val="00071C2F"/>
    <w:rsid w:val="00072119"/>
    <w:rsid w:val="00072548"/>
    <w:rsid w:val="00072590"/>
    <w:rsid w:val="000728F5"/>
    <w:rsid w:val="00072C8C"/>
    <w:rsid w:val="00072F0A"/>
    <w:rsid w:val="00072F36"/>
    <w:rsid w:val="000730A0"/>
    <w:rsid w:val="000731FB"/>
    <w:rsid w:val="000735E9"/>
    <w:rsid w:val="00073913"/>
    <w:rsid w:val="00073BB8"/>
    <w:rsid w:val="000740FB"/>
    <w:rsid w:val="0007430F"/>
    <w:rsid w:val="00074B7B"/>
    <w:rsid w:val="00074FFF"/>
    <w:rsid w:val="00075725"/>
    <w:rsid w:val="00075739"/>
    <w:rsid w:val="000757DD"/>
    <w:rsid w:val="00075F62"/>
    <w:rsid w:val="0007611B"/>
    <w:rsid w:val="00076480"/>
    <w:rsid w:val="00076700"/>
    <w:rsid w:val="000767E1"/>
    <w:rsid w:val="000769A6"/>
    <w:rsid w:val="00076EEF"/>
    <w:rsid w:val="00076FD7"/>
    <w:rsid w:val="000774AE"/>
    <w:rsid w:val="00077D9A"/>
    <w:rsid w:val="00077F11"/>
    <w:rsid w:val="0008029E"/>
    <w:rsid w:val="00080360"/>
    <w:rsid w:val="00080621"/>
    <w:rsid w:val="00080655"/>
    <w:rsid w:val="00080A58"/>
    <w:rsid w:val="00081268"/>
    <w:rsid w:val="00081C6C"/>
    <w:rsid w:val="00081CE0"/>
    <w:rsid w:val="00081D33"/>
    <w:rsid w:val="000820EF"/>
    <w:rsid w:val="0008214F"/>
    <w:rsid w:val="000826D1"/>
    <w:rsid w:val="000827DE"/>
    <w:rsid w:val="000830B2"/>
    <w:rsid w:val="00083822"/>
    <w:rsid w:val="000839FF"/>
    <w:rsid w:val="00083B59"/>
    <w:rsid w:val="00083B82"/>
    <w:rsid w:val="00083FDC"/>
    <w:rsid w:val="0008408A"/>
    <w:rsid w:val="00084721"/>
    <w:rsid w:val="0008480E"/>
    <w:rsid w:val="00084D30"/>
    <w:rsid w:val="00084F2E"/>
    <w:rsid w:val="00085022"/>
    <w:rsid w:val="000850F2"/>
    <w:rsid w:val="000852FE"/>
    <w:rsid w:val="0008532F"/>
    <w:rsid w:val="000859F6"/>
    <w:rsid w:val="00085CA2"/>
    <w:rsid w:val="00085DB8"/>
    <w:rsid w:val="00085E3E"/>
    <w:rsid w:val="0008600D"/>
    <w:rsid w:val="00086395"/>
    <w:rsid w:val="000863A3"/>
    <w:rsid w:val="000865A4"/>
    <w:rsid w:val="000866E6"/>
    <w:rsid w:val="0008670E"/>
    <w:rsid w:val="000867A8"/>
    <w:rsid w:val="00086ADE"/>
    <w:rsid w:val="00086CDE"/>
    <w:rsid w:val="00086D3D"/>
    <w:rsid w:val="00086D9B"/>
    <w:rsid w:val="00086F8A"/>
    <w:rsid w:val="00086F90"/>
    <w:rsid w:val="00087508"/>
    <w:rsid w:val="00087543"/>
    <w:rsid w:val="00087600"/>
    <w:rsid w:val="000876A2"/>
    <w:rsid w:val="0008774F"/>
    <w:rsid w:val="00087AB0"/>
    <w:rsid w:val="00090280"/>
    <w:rsid w:val="00090320"/>
    <w:rsid w:val="000911F9"/>
    <w:rsid w:val="000917D3"/>
    <w:rsid w:val="00092145"/>
    <w:rsid w:val="000923AD"/>
    <w:rsid w:val="00092468"/>
    <w:rsid w:val="000928D9"/>
    <w:rsid w:val="00092B70"/>
    <w:rsid w:val="00092F50"/>
    <w:rsid w:val="0009314D"/>
    <w:rsid w:val="0009316F"/>
    <w:rsid w:val="000931C0"/>
    <w:rsid w:val="0009378A"/>
    <w:rsid w:val="00093D5C"/>
    <w:rsid w:val="00093F18"/>
    <w:rsid w:val="0009458E"/>
    <w:rsid w:val="00094BF9"/>
    <w:rsid w:val="00094DE7"/>
    <w:rsid w:val="00094E0D"/>
    <w:rsid w:val="00094FA7"/>
    <w:rsid w:val="000955C9"/>
    <w:rsid w:val="00095754"/>
    <w:rsid w:val="00095A8A"/>
    <w:rsid w:val="000963BB"/>
    <w:rsid w:val="000965F2"/>
    <w:rsid w:val="00096CC8"/>
    <w:rsid w:val="00096D3D"/>
    <w:rsid w:val="00096D71"/>
    <w:rsid w:val="00096EE3"/>
    <w:rsid w:val="0009701D"/>
    <w:rsid w:val="00097B33"/>
    <w:rsid w:val="00097CB2"/>
    <w:rsid w:val="00097EC8"/>
    <w:rsid w:val="000A0435"/>
    <w:rsid w:val="000A07FA"/>
    <w:rsid w:val="000A0867"/>
    <w:rsid w:val="000A087E"/>
    <w:rsid w:val="000A0D5F"/>
    <w:rsid w:val="000A1254"/>
    <w:rsid w:val="000A1651"/>
    <w:rsid w:val="000A1890"/>
    <w:rsid w:val="000A1A7B"/>
    <w:rsid w:val="000A232C"/>
    <w:rsid w:val="000A246C"/>
    <w:rsid w:val="000A266D"/>
    <w:rsid w:val="000A2ABC"/>
    <w:rsid w:val="000A2E09"/>
    <w:rsid w:val="000A2F65"/>
    <w:rsid w:val="000A2FBF"/>
    <w:rsid w:val="000A3445"/>
    <w:rsid w:val="000A352C"/>
    <w:rsid w:val="000A3599"/>
    <w:rsid w:val="000A3E75"/>
    <w:rsid w:val="000A3EBF"/>
    <w:rsid w:val="000A3EEE"/>
    <w:rsid w:val="000A47F2"/>
    <w:rsid w:val="000A4A41"/>
    <w:rsid w:val="000A4AE3"/>
    <w:rsid w:val="000A4B27"/>
    <w:rsid w:val="000A5319"/>
    <w:rsid w:val="000A59E6"/>
    <w:rsid w:val="000A5A0A"/>
    <w:rsid w:val="000A5B3D"/>
    <w:rsid w:val="000A5C5F"/>
    <w:rsid w:val="000A5E19"/>
    <w:rsid w:val="000A600C"/>
    <w:rsid w:val="000A6152"/>
    <w:rsid w:val="000A659E"/>
    <w:rsid w:val="000A6F25"/>
    <w:rsid w:val="000A6F85"/>
    <w:rsid w:val="000A7059"/>
    <w:rsid w:val="000A743E"/>
    <w:rsid w:val="000A7612"/>
    <w:rsid w:val="000A7ADC"/>
    <w:rsid w:val="000A7EED"/>
    <w:rsid w:val="000B069F"/>
    <w:rsid w:val="000B074F"/>
    <w:rsid w:val="000B0A89"/>
    <w:rsid w:val="000B10D4"/>
    <w:rsid w:val="000B139D"/>
    <w:rsid w:val="000B159F"/>
    <w:rsid w:val="000B175B"/>
    <w:rsid w:val="000B1A1B"/>
    <w:rsid w:val="000B1C92"/>
    <w:rsid w:val="000B1D23"/>
    <w:rsid w:val="000B1DD0"/>
    <w:rsid w:val="000B2264"/>
    <w:rsid w:val="000B233A"/>
    <w:rsid w:val="000B23FA"/>
    <w:rsid w:val="000B261E"/>
    <w:rsid w:val="000B2AAC"/>
    <w:rsid w:val="000B2E2D"/>
    <w:rsid w:val="000B3290"/>
    <w:rsid w:val="000B32CF"/>
    <w:rsid w:val="000B3338"/>
    <w:rsid w:val="000B3619"/>
    <w:rsid w:val="000B3A0F"/>
    <w:rsid w:val="000B3AA0"/>
    <w:rsid w:val="000B3AA2"/>
    <w:rsid w:val="000B3AEF"/>
    <w:rsid w:val="000B3C35"/>
    <w:rsid w:val="000B3D5C"/>
    <w:rsid w:val="000B3E93"/>
    <w:rsid w:val="000B41C3"/>
    <w:rsid w:val="000B42E9"/>
    <w:rsid w:val="000B481A"/>
    <w:rsid w:val="000B517D"/>
    <w:rsid w:val="000B55A6"/>
    <w:rsid w:val="000B55C2"/>
    <w:rsid w:val="000B585B"/>
    <w:rsid w:val="000B5864"/>
    <w:rsid w:val="000B5994"/>
    <w:rsid w:val="000B59CC"/>
    <w:rsid w:val="000B5A5D"/>
    <w:rsid w:val="000B5AA0"/>
    <w:rsid w:val="000B6324"/>
    <w:rsid w:val="000B69EB"/>
    <w:rsid w:val="000B6BF3"/>
    <w:rsid w:val="000B6E09"/>
    <w:rsid w:val="000B6F70"/>
    <w:rsid w:val="000B71FB"/>
    <w:rsid w:val="000B766B"/>
    <w:rsid w:val="000B7746"/>
    <w:rsid w:val="000B78B4"/>
    <w:rsid w:val="000B7B0B"/>
    <w:rsid w:val="000B7D30"/>
    <w:rsid w:val="000C0109"/>
    <w:rsid w:val="000C0142"/>
    <w:rsid w:val="000C03CA"/>
    <w:rsid w:val="000C0512"/>
    <w:rsid w:val="000C0CED"/>
    <w:rsid w:val="000C0D51"/>
    <w:rsid w:val="000C0F47"/>
    <w:rsid w:val="000C12B8"/>
    <w:rsid w:val="000C1310"/>
    <w:rsid w:val="000C14CF"/>
    <w:rsid w:val="000C171A"/>
    <w:rsid w:val="000C1934"/>
    <w:rsid w:val="000C1D08"/>
    <w:rsid w:val="000C1D9E"/>
    <w:rsid w:val="000C2340"/>
    <w:rsid w:val="000C2709"/>
    <w:rsid w:val="000C2718"/>
    <w:rsid w:val="000C2817"/>
    <w:rsid w:val="000C29D2"/>
    <w:rsid w:val="000C2CFB"/>
    <w:rsid w:val="000C2F39"/>
    <w:rsid w:val="000C311B"/>
    <w:rsid w:val="000C389D"/>
    <w:rsid w:val="000C4099"/>
    <w:rsid w:val="000C4111"/>
    <w:rsid w:val="000C44F1"/>
    <w:rsid w:val="000C45D8"/>
    <w:rsid w:val="000C487B"/>
    <w:rsid w:val="000C4977"/>
    <w:rsid w:val="000C4A4B"/>
    <w:rsid w:val="000C5110"/>
    <w:rsid w:val="000C515E"/>
    <w:rsid w:val="000C5904"/>
    <w:rsid w:val="000C59A2"/>
    <w:rsid w:val="000C5B61"/>
    <w:rsid w:val="000C5D3D"/>
    <w:rsid w:val="000C60E0"/>
    <w:rsid w:val="000C6B95"/>
    <w:rsid w:val="000C72CF"/>
    <w:rsid w:val="000C735B"/>
    <w:rsid w:val="000C75A1"/>
    <w:rsid w:val="000C7CF3"/>
    <w:rsid w:val="000C7D29"/>
    <w:rsid w:val="000D0269"/>
    <w:rsid w:val="000D02FD"/>
    <w:rsid w:val="000D057D"/>
    <w:rsid w:val="000D080E"/>
    <w:rsid w:val="000D0D4F"/>
    <w:rsid w:val="000D0DF7"/>
    <w:rsid w:val="000D0E25"/>
    <w:rsid w:val="000D1B49"/>
    <w:rsid w:val="000D1D9C"/>
    <w:rsid w:val="000D20CB"/>
    <w:rsid w:val="000D21C2"/>
    <w:rsid w:val="000D25E8"/>
    <w:rsid w:val="000D27DE"/>
    <w:rsid w:val="000D2919"/>
    <w:rsid w:val="000D2C40"/>
    <w:rsid w:val="000D2EB5"/>
    <w:rsid w:val="000D2F4D"/>
    <w:rsid w:val="000D3103"/>
    <w:rsid w:val="000D3220"/>
    <w:rsid w:val="000D38BC"/>
    <w:rsid w:val="000D3CD2"/>
    <w:rsid w:val="000D41A5"/>
    <w:rsid w:val="000D4396"/>
    <w:rsid w:val="000D441D"/>
    <w:rsid w:val="000D49D8"/>
    <w:rsid w:val="000D50BB"/>
    <w:rsid w:val="000D539C"/>
    <w:rsid w:val="000D56F3"/>
    <w:rsid w:val="000D5C07"/>
    <w:rsid w:val="000D611C"/>
    <w:rsid w:val="000D61B1"/>
    <w:rsid w:val="000D62D7"/>
    <w:rsid w:val="000D6486"/>
    <w:rsid w:val="000D6A96"/>
    <w:rsid w:val="000D746A"/>
    <w:rsid w:val="000D75B9"/>
    <w:rsid w:val="000D7801"/>
    <w:rsid w:val="000D7955"/>
    <w:rsid w:val="000D79ED"/>
    <w:rsid w:val="000D7FEC"/>
    <w:rsid w:val="000E000B"/>
    <w:rsid w:val="000E00F8"/>
    <w:rsid w:val="000E03D1"/>
    <w:rsid w:val="000E0415"/>
    <w:rsid w:val="000E0EC9"/>
    <w:rsid w:val="000E0FBF"/>
    <w:rsid w:val="000E100B"/>
    <w:rsid w:val="000E122A"/>
    <w:rsid w:val="000E1254"/>
    <w:rsid w:val="000E14AD"/>
    <w:rsid w:val="000E15F5"/>
    <w:rsid w:val="000E1619"/>
    <w:rsid w:val="000E1743"/>
    <w:rsid w:val="000E19A6"/>
    <w:rsid w:val="000E20CC"/>
    <w:rsid w:val="000E21EC"/>
    <w:rsid w:val="000E24FD"/>
    <w:rsid w:val="000E2933"/>
    <w:rsid w:val="000E2BA4"/>
    <w:rsid w:val="000E3246"/>
    <w:rsid w:val="000E35A7"/>
    <w:rsid w:val="000E368F"/>
    <w:rsid w:val="000E37EC"/>
    <w:rsid w:val="000E3826"/>
    <w:rsid w:val="000E388A"/>
    <w:rsid w:val="000E3976"/>
    <w:rsid w:val="000E39EC"/>
    <w:rsid w:val="000E413F"/>
    <w:rsid w:val="000E41B3"/>
    <w:rsid w:val="000E41CA"/>
    <w:rsid w:val="000E4271"/>
    <w:rsid w:val="000E437A"/>
    <w:rsid w:val="000E44AC"/>
    <w:rsid w:val="000E4690"/>
    <w:rsid w:val="000E4F31"/>
    <w:rsid w:val="000E5110"/>
    <w:rsid w:val="000E551E"/>
    <w:rsid w:val="000E5B9B"/>
    <w:rsid w:val="000E617B"/>
    <w:rsid w:val="000E6439"/>
    <w:rsid w:val="000E6534"/>
    <w:rsid w:val="000E6630"/>
    <w:rsid w:val="000E6A9B"/>
    <w:rsid w:val="000E7192"/>
    <w:rsid w:val="000E7560"/>
    <w:rsid w:val="000E760B"/>
    <w:rsid w:val="000E7688"/>
    <w:rsid w:val="000E77C7"/>
    <w:rsid w:val="000E78B1"/>
    <w:rsid w:val="000E7910"/>
    <w:rsid w:val="000E7A0D"/>
    <w:rsid w:val="000E7D70"/>
    <w:rsid w:val="000E7E75"/>
    <w:rsid w:val="000F0139"/>
    <w:rsid w:val="000F0233"/>
    <w:rsid w:val="000F0DD7"/>
    <w:rsid w:val="000F0ED5"/>
    <w:rsid w:val="000F0FF3"/>
    <w:rsid w:val="000F1D57"/>
    <w:rsid w:val="000F1E38"/>
    <w:rsid w:val="000F1FC4"/>
    <w:rsid w:val="000F213B"/>
    <w:rsid w:val="000F2186"/>
    <w:rsid w:val="000F2377"/>
    <w:rsid w:val="000F239D"/>
    <w:rsid w:val="000F23DE"/>
    <w:rsid w:val="000F26C9"/>
    <w:rsid w:val="000F2A52"/>
    <w:rsid w:val="000F2EB2"/>
    <w:rsid w:val="000F308A"/>
    <w:rsid w:val="000F319B"/>
    <w:rsid w:val="000F32A2"/>
    <w:rsid w:val="000F32CB"/>
    <w:rsid w:val="000F3948"/>
    <w:rsid w:val="000F3D19"/>
    <w:rsid w:val="000F3D89"/>
    <w:rsid w:val="000F3F4C"/>
    <w:rsid w:val="000F42B7"/>
    <w:rsid w:val="000F4554"/>
    <w:rsid w:val="000F4EBB"/>
    <w:rsid w:val="000F4F80"/>
    <w:rsid w:val="000F4FC1"/>
    <w:rsid w:val="000F53F5"/>
    <w:rsid w:val="000F55A4"/>
    <w:rsid w:val="000F5855"/>
    <w:rsid w:val="000F5AA2"/>
    <w:rsid w:val="000F5E70"/>
    <w:rsid w:val="000F5EEB"/>
    <w:rsid w:val="000F61D2"/>
    <w:rsid w:val="000F62BB"/>
    <w:rsid w:val="000F64AD"/>
    <w:rsid w:val="000F6590"/>
    <w:rsid w:val="000F67C5"/>
    <w:rsid w:val="000F6F1D"/>
    <w:rsid w:val="000F6F62"/>
    <w:rsid w:val="000F7234"/>
    <w:rsid w:val="000F7364"/>
    <w:rsid w:val="000F7398"/>
    <w:rsid w:val="000F7715"/>
    <w:rsid w:val="000F7A20"/>
    <w:rsid w:val="000F7D23"/>
    <w:rsid w:val="000F7E22"/>
    <w:rsid w:val="00100092"/>
    <w:rsid w:val="001002DE"/>
    <w:rsid w:val="0010043A"/>
    <w:rsid w:val="0010120D"/>
    <w:rsid w:val="00101449"/>
    <w:rsid w:val="00101689"/>
    <w:rsid w:val="001017AC"/>
    <w:rsid w:val="00101EFB"/>
    <w:rsid w:val="00102034"/>
    <w:rsid w:val="00102D97"/>
    <w:rsid w:val="00103180"/>
    <w:rsid w:val="0010321C"/>
    <w:rsid w:val="0010370A"/>
    <w:rsid w:val="00103886"/>
    <w:rsid w:val="00103B9F"/>
    <w:rsid w:val="00103BD3"/>
    <w:rsid w:val="00103BE1"/>
    <w:rsid w:val="00104030"/>
    <w:rsid w:val="0010428B"/>
    <w:rsid w:val="00104A40"/>
    <w:rsid w:val="00104CC2"/>
    <w:rsid w:val="00104DB9"/>
    <w:rsid w:val="00104F4E"/>
    <w:rsid w:val="00104F91"/>
    <w:rsid w:val="001050DC"/>
    <w:rsid w:val="001052B3"/>
    <w:rsid w:val="0010536A"/>
    <w:rsid w:val="0010588D"/>
    <w:rsid w:val="00105B4C"/>
    <w:rsid w:val="00105C49"/>
    <w:rsid w:val="00105C76"/>
    <w:rsid w:val="00105F3B"/>
    <w:rsid w:val="001061B1"/>
    <w:rsid w:val="0010623B"/>
    <w:rsid w:val="00106870"/>
    <w:rsid w:val="00106D7B"/>
    <w:rsid w:val="00106ED9"/>
    <w:rsid w:val="001078BB"/>
    <w:rsid w:val="00107F25"/>
    <w:rsid w:val="00110021"/>
    <w:rsid w:val="001103AF"/>
    <w:rsid w:val="00110798"/>
    <w:rsid w:val="00110988"/>
    <w:rsid w:val="00110A4E"/>
    <w:rsid w:val="00110A87"/>
    <w:rsid w:val="00110BAB"/>
    <w:rsid w:val="00110F12"/>
    <w:rsid w:val="001110DD"/>
    <w:rsid w:val="00111221"/>
    <w:rsid w:val="0011124E"/>
    <w:rsid w:val="0011134D"/>
    <w:rsid w:val="00111813"/>
    <w:rsid w:val="00111A64"/>
    <w:rsid w:val="00111B3B"/>
    <w:rsid w:val="00111DC2"/>
    <w:rsid w:val="00111E88"/>
    <w:rsid w:val="0011205E"/>
    <w:rsid w:val="0011206F"/>
    <w:rsid w:val="001123A3"/>
    <w:rsid w:val="00112C35"/>
    <w:rsid w:val="00113178"/>
    <w:rsid w:val="0011319D"/>
    <w:rsid w:val="0011340E"/>
    <w:rsid w:val="0011351C"/>
    <w:rsid w:val="00113A26"/>
    <w:rsid w:val="00113B4C"/>
    <w:rsid w:val="00113D72"/>
    <w:rsid w:val="00113E56"/>
    <w:rsid w:val="00114391"/>
    <w:rsid w:val="00114413"/>
    <w:rsid w:val="001144D3"/>
    <w:rsid w:val="001146E8"/>
    <w:rsid w:val="00114D2C"/>
    <w:rsid w:val="00114DC5"/>
    <w:rsid w:val="00114F54"/>
    <w:rsid w:val="001151A9"/>
    <w:rsid w:val="00115430"/>
    <w:rsid w:val="001154F0"/>
    <w:rsid w:val="00115933"/>
    <w:rsid w:val="001159D1"/>
    <w:rsid w:val="00115BD5"/>
    <w:rsid w:val="00115C3D"/>
    <w:rsid w:val="00115E06"/>
    <w:rsid w:val="00115EEB"/>
    <w:rsid w:val="00115F6A"/>
    <w:rsid w:val="00115FE4"/>
    <w:rsid w:val="001160E6"/>
    <w:rsid w:val="00116226"/>
    <w:rsid w:val="001163FB"/>
    <w:rsid w:val="00116454"/>
    <w:rsid w:val="00116ABF"/>
    <w:rsid w:val="00116C96"/>
    <w:rsid w:val="00116EE4"/>
    <w:rsid w:val="001173D1"/>
    <w:rsid w:val="00117537"/>
    <w:rsid w:val="0011784F"/>
    <w:rsid w:val="00117BF8"/>
    <w:rsid w:val="00117C1E"/>
    <w:rsid w:val="00117E67"/>
    <w:rsid w:val="00117FB4"/>
    <w:rsid w:val="001202F9"/>
    <w:rsid w:val="001203CA"/>
    <w:rsid w:val="001209B3"/>
    <w:rsid w:val="00120CC6"/>
    <w:rsid w:val="001214EE"/>
    <w:rsid w:val="001218D6"/>
    <w:rsid w:val="00121976"/>
    <w:rsid w:val="001219AF"/>
    <w:rsid w:val="00121D64"/>
    <w:rsid w:val="00121DF7"/>
    <w:rsid w:val="001222CF"/>
    <w:rsid w:val="001226AA"/>
    <w:rsid w:val="00122812"/>
    <w:rsid w:val="00122846"/>
    <w:rsid w:val="00122882"/>
    <w:rsid w:val="00122ACE"/>
    <w:rsid w:val="00122ADC"/>
    <w:rsid w:val="00122FA0"/>
    <w:rsid w:val="001236F8"/>
    <w:rsid w:val="00123BA6"/>
    <w:rsid w:val="00123C9E"/>
    <w:rsid w:val="00124101"/>
    <w:rsid w:val="00124D54"/>
    <w:rsid w:val="00124ECE"/>
    <w:rsid w:val="00125132"/>
    <w:rsid w:val="0012531B"/>
    <w:rsid w:val="001256DE"/>
    <w:rsid w:val="001259ED"/>
    <w:rsid w:val="00125AAA"/>
    <w:rsid w:val="00125C3A"/>
    <w:rsid w:val="00125C93"/>
    <w:rsid w:val="00125C9E"/>
    <w:rsid w:val="00125E0F"/>
    <w:rsid w:val="0012673E"/>
    <w:rsid w:val="001267C4"/>
    <w:rsid w:val="00126810"/>
    <w:rsid w:val="00126822"/>
    <w:rsid w:val="001268BA"/>
    <w:rsid w:val="00126BB8"/>
    <w:rsid w:val="00127039"/>
    <w:rsid w:val="00127197"/>
    <w:rsid w:val="0012739F"/>
    <w:rsid w:val="0012787D"/>
    <w:rsid w:val="00127B33"/>
    <w:rsid w:val="00127C5B"/>
    <w:rsid w:val="00127FAE"/>
    <w:rsid w:val="001301CB"/>
    <w:rsid w:val="001303FB"/>
    <w:rsid w:val="00130788"/>
    <w:rsid w:val="00130862"/>
    <w:rsid w:val="001308AB"/>
    <w:rsid w:val="00130A40"/>
    <w:rsid w:val="00130BC6"/>
    <w:rsid w:val="00130D02"/>
    <w:rsid w:val="00130D1F"/>
    <w:rsid w:val="00130E60"/>
    <w:rsid w:val="001311BA"/>
    <w:rsid w:val="001318FB"/>
    <w:rsid w:val="00131981"/>
    <w:rsid w:val="00132171"/>
    <w:rsid w:val="001321A7"/>
    <w:rsid w:val="00132372"/>
    <w:rsid w:val="0013246E"/>
    <w:rsid w:val="00132525"/>
    <w:rsid w:val="00132695"/>
    <w:rsid w:val="001327B4"/>
    <w:rsid w:val="00132B8D"/>
    <w:rsid w:val="00132C07"/>
    <w:rsid w:val="00132DB7"/>
    <w:rsid w:val="00132E1E"/>
    <w:rsid w:val="00132EB5"/>
    <w:rsid w:val="00133067"/>
    <w:rsid w:val="00133321"/>
    <w:rsid w:val="00134947"/>
    <w:rsid w:val="00134F67"/>
    <w:rsid w:val="001351E5"/>
    <w:rsid w:val="0013520B"/>
    <w:rsid w:val="00135210"/>
    <w:rsid w:val="001353A2"/>
    <w:rsid w:val="001356EB"/>
    <w:rsid w:val="0013585B"/>
    <w:rsid w:val="00135D89"/>
    <w:rsid w:val="00135EAE"/>
    <w:rsid w:val="00135EBD"/>
    <w:rsid w:val="0013603B"/>
    <w:rsid w:val="001360D6"/>
    <w:rsid w:val="00136445"/>
    <w:rsid w:val="00136966"/>
    <w:rsid w:val="00136BF0"/>
    <w:rsid w:val="00136D57"/>
    <w:rsid w:val="00136FDE"/>
    <w:rsid w:val="001370F8"/>
    <w:rsid w:val="00137174"/>
    <w:rsid w:val="001372FE"/>
    <w:rsid w:val="0013738C"/>
    <w:rsid w:val="00137B8B"/>
    <w:rsid w:val="001401F8"/>
    <w:rsid w:val="001407A7"/>
    <w:rsid w:val="001407BC"/>
    <w:rsid w:val="0014083C"/>
    <w:rsid w:val="00140B12"/>
    <w:rsid w:val="00140DF5"/>
    <w:rsid w:val="00140EC7"/>
    <w:rsid w:val="00141170"/>
    <w:rsid w:val="00141415"/>
    <w:rsid w:val="001415A7"/>
    <w:rsid w:val="001416D3"/>
    <w:rsid w:val="001417C8"/>
    <w:rsid w:val="00141CC9"/>
    <w:rsid w:val="00141EDA"/>
    <w:rsid w:val="00141F6F"/>
    <w:rsid w:val="00142060"/>
    <w:rsid w:val="001420E8"/>
    <w:rsid w:val="001421DC"/>
    <w:rsid w:val="0014225B"/>
    <w:rsid w:val="0014286B"/>
    <w:rsid w:val="001429EC"/>
    <w:rsid w:val="00142AB7"/>
    <w:rsid w:val="00142AEF"/>
    <w:rsid w:val="0014371B"/>
    <w:rsid w:val="0014389F"/>
    <w:rsid w:val="00143CD5"/>
    <w:rsid w:val="00143E3C"/>
    <w:rsid w:val="00143FFE"/>
    <w:rsid w:val="0014424F"/>
    <w:rsid w:val="001442FA"/>
    <w:rsid w:val="0014458A"/>
    <w:rsid w:val="00144622"/>
    <w:rsid w:val="0014471B"/>
    <w:rsid w:val="00144861"/>
    <w:rsid w:val="001448ED"/>
    <w:rsid w:val="00144985"/>
    <w:rsid w:val="00144A1F"/>
    <w:rsid w:val="00144E8B"/>
    <w:rsid w:val="00144F76"/>
    <w:rsid w:val="0014529C"/>
    <w:rsid w:val="00145AD0"/>
    <w:rsid w:val="00145CD0"/>
    <w:rsid w:val="00145DA1"/>
    <w:rsid w:val="001461AD"/>
    <w:rsid w:val="001462F2"/>
    <w:rsid w:val="00146354"/>
    <w:rsid w:val="00146383"/>
    <w:rsid w:val="0014647E"/>
    <w:rsid w:val="00146660"/>
    <w:rsid w:val="00146837"/>
    <w:rsid w:val="00146991"/>
    <w:rsid w:val="00146DD9"/>
    <w:rsid w:val="00146E4D"/>
    <w:rsid w:val="00146FD0"/>
    <w:rsid w:val="00147065"/>
    <w:rsid w:val="00147140"/>
    <w:rsid w:val="0014725D"/>
    <w:rsid w:val="001473EC"/>
    <w:rsid w:val="001475D3"/>
    <w:rsid w:val="0014771A"/>
    <w:rsid w:val="00147CC7"/>
    <w:rsid w:val="0015053D"/>
    <w:rsid w:val="00150965"/>
    <w:rsid w:val="00151080"/>
    <w:rsid w:val="0015110D"/>
    <w:rsid w:val="001511AD"/>
    <w:rsid w:val="001511E4"/>
    <w:rsid w:val="001513ED"/>
    <w:rsid w:val="00151476"/>
    <w:rsid w:val="001514B2"/>
    <w:rsid w:val="001519CB"/>
    <w:rsid w:val="00151C50"/>
    <w:rsid w:val="0015214C"/>
    <w:rsid w:val="0015227B"/>
    <w:rsid w:val="00152558"/>
    <w:rsid w:val="00152952"/>
    <w:rsid w:val="00152ABD"/>
    <w:rsid w:val="00152F57"/>
    <w:rsid w:val="00153087"/>
    <w:rsid w:val="00153457"/>
    <w:rsid w:val="001534F7"/>
    <w:rsid w:val="00153AEF"/>
    <w:rsid w:val="00153F4E"/>
    <w:rsid w:val="0015401F"/>
    <w:rsid w:val="00154330"/>
    <w:rsid w:val="00154617"/>
    <w:rsid w:val="001546B1"/>
    <w:rsid w:val="00154770"/>
    <w:rsid w:val="00154A56"/>
    <w:rsid w:val="00154B4A"/>
    <w:rsid w:val="00154D23"/>
    <w:rsid w:val="0015503E"/>
    <w:rsid w:val="001551F6"/>
    <w:rsid w:val="001553AB"/>
    <w:rsid w:val="0015553B"/>
    <w:rsid w:val="00155901"/>
    <w:rsid w:val="0015590A"/>
    <w:rsid w:val="00155D32"/>
    <w:rsid w:val="00155DEA"/>
    <w:rsid w:val="00155EC3"/>
    <w:rsid w:val="00155FA3"/>
    <w:rsid w:val="00155FEF"/>
    <w:rsid w:val="0015604D"/>
    <w:rsid w:val="00156273"/>
    <w:rsid w:val="001565F6"/>
    <w:rsid w:val="0015683B"/>
    <w:rsid w:val="001568D9"/>
    <w:rsid w:val="001569DF"/>
    <w:rsid w:val="00156A38"/>
    <w:rsid w:val="00156B99"/>
    <w:rsid w:val="0015709E"/>
    <w:rsid w:val="001570D9"/>
    <w:rsid w:val="0015740C"/>
    <w:rsid w:val="00157509"/>
    <w:rsid w:val="0015763A"/>
    <w:rsid w:val="00157FCC"/>
    <w:rsid w:val="00160137"/>
    <w:rsid w:val="001601A4"/>
    <w:rsid w:val="00160285"/>
    <w:rsid w:val="00160378"/>
    <w:rsid w:val="00160AAB"/>
    <w:rsid w:val="00160E2A"/>
    <w:rsid w:val="00161265"/>
    <w:rsid w:val="001616FB"/>
    <w:rsid w:val="0016179F"/>
    <w:rsid w:val="001617BA"/>
    <w:rsid w:val="00161819"/>
    <w:rsid w:val="00161894"/>
    <w:rsid w:val="00161DF5"/>
    <w:rsid w:val="00161FB1"/>
    <w:rsid w:val="00162425"/>
    <w:rsid w:val="0016278B"/>
    <w:rsid w:val="001629D4"/>
    <w:rsid w:val="00162B95"/>
    <w:rsid w:val="00162D4A"/>
    <w:rsid w:val="00162E85"/>
    <w:rsid w:val="0016308E"/>
    <w:rsid w:val="001632B7"/>
    <w:rsid w:val="001637C9"/>
    <w:rsid w:val="00163901"/>
    <w:rsid w:val="001639C4"/>
    <w:rsid w:val="00163AB0"/>
    <w:rsid w:val="00163C9A"/>
    <w:rsid w:val="00163F26"/>
    <w:rsid w:val="00164214"/>
    <w:rsid w:val="001643E3"/>
    <w:rsid w:val="00164462"/>
    <w:rsid w:val="0016451C"/>
    <w:rsid w:val="001645AC"/>
    <w:rsid w:val="00164686"/>
    <w:rsid w:val="001647A7"/>
    <w:rsid w:val="001647BE"/>
    <w:rsid w:val="00164AFC"/>
    <w:rsid w:val="00164B1C"/>
    <w:rsid w:val="001653A9"/>
    <w:rsid w:val="001656FA"/>
    <w:rsid w:val="00165B32"/>
    <w:rsid w:val="00165E94"/>
    <w:rsid w:val="00166080"/>
    <w:rsid w:val="00166124"/>
    <w:rsid w:val="001663BF"/>
    <w:rsid w:val="001663E9"/>
    <w:rsid w:val="001665A7"/>
    <w:rsid w:val="00166807"/>
    <w:rsid w:val="00166F3E"/>
    <w:rsid w:val="00167206"/>
    <w:rsid w:val="0016737D"/>
    <w:rsid w:val="0016742F"/>
    <w:rsid w:val="001678FE"/>
    <w:rsid w:val="001706C5"/>
    <w:rsid w:val="00170DD7"/>
    <w:rsid w:val="0017101C"/>
    <w:rsid w:val="001710D9"/>
    <w:rsid w:val="00171319"/>
    <w:rsid w:val="001713EA"/>
    <w:rsid w:val="00171466"/>
    <w:rsid w:val="00171648"/>
    <w:rsid w:val="001716C6"/>
    <w:rsid w:val="00171924"/>
    <w:rsid w:val="001725AE"/>
    <w:rsid w:val="0017281D"/>
    <w:rsid w:val="00172A09"/>
    <w:rsid w:val="00172AAA"/>
    <w:rsid w:val="00172FFF"/>
    <w:rsid w:val="00173238"/>
    <w:rsid w:val="001736F8"/>
    <w:rsid w:val="001740FA"/>
    <w:rsid w:val="0017420A"/>
    <w:rsid w:val="0017437F"/>
    <w:rsid w:val="00174417"/>
    <w:rsid w:val="00174758"/>
    <w:rsid w:val="00174812"/>
    <w:rsid w:val="001748F3"/>
    <w:rsid w:val="001749BA"/>
    <w:rsid w:val="00174C5C"/>
    <w:rsid w:val="00174DC0"/>
    <w:rsid w:val="00174FCF"/>
    <w:rsid w:val="001754AF"/>
    <w:rsid w:val="0017587B"/>
    <w:rsid w:val="00175A31"/>
    <w:rsid w:val="00175DAC"/>
    <w:rsid w:val="00175F36"/>
    <w:rsid w:val="00175FDD"/>
    <w:rsid w:val="00176A54"/>
    <w:rsid w:val="00176D78"/>
    <w:rsid w:val="0017777F"/>
    <w:rsid w:val="001779D0"/>
    <w:rsid w:val="00177AF2"/>
    <w:rsid w:val="001806C9"/>
    <w:rsid w:val="00180707"/>
    <w:rsid w:val="00180942"/>
    <w:rsid w:val="001809BD"/>
    <w:rsid w:val="00180D37"/>
    <w:rsid w:val="00180D43"/>
    <w:rsid w:val="00180D92"/>
    <w:rsid w:val="00180DDC"/>
    <w:rsid w:val="001810E9"/>
    <w:rsid w:val="001812CA"/>
    <w:rsid w:val="001813A5"/>
    <w:rsid w:val="00181648"/>
    <w:rsid w:val="00181813"/>
    <w:rsid w:val="001818FF"/>
    <w:rsid w:val="0018199F"/>
    <w:rsid w:val="00181A1E"/>
    <w:rsid w:val="00181F46"/>
    <w:rsid w:val="0018210E"/>
    <w:rsid w:val="0018219B"/>
    <w:rsid w:val="00182663"/>
    <w:rsid w:val="00182676"/>
    <w:rsid w:val="001829DD"/>
    <w:rsid w:val="00182AFA"/>
    <w:rsid w:val="00182FDA"/>
    <w:rsid w:val="0018309E"/>
    <w:rsid w:val="001830DA"/>
    <w:rsid w:val="001833DF"/>
    <w:rsid w:val="00183406"/>
    <w:rsid w:val="00183891"/>
    <w:rsid w:val="0018394A"/>
    <w:rsid w:val="001839F5"/>
    <w:rsid w:val="00183BB0"/>
    <w:rsid w:val="00184060"/>
    <w:rsid w:val="00184303"/>
    <w:rsid w:val="0018448C"/>
    <w:rsid w:val="00184676"/>
    <w:rsid w:val="0018469C"/>
    <w:rsid w:val="001849C5"/>
    <w:rsid w:val="00184DDA"/>
    <w:rsid w:val="00184F7B"/>
    <w:rsid w:val="00184FED"/>
    <w:rsid w:val="00185111"/>
    <w:rsid w:val="00185132"/>
    <w:rsid w:val="001851D5"/>
    <w:rsid w:val="0018523F"/>
    <w:rsid w:val="00185348"/>
    <w:rsid w:val="0018556C"/>
    <w:rsid w:val="00185C97"/>
    <w:rsid w:val="00185D3A"/>
    <w:rsid w:val="00185FBE"/>
    <w:rsid w:val="001861ED"/>
    <w:rsid w:val="00186A04"/>
    <w:rsid w:val="00186C79"/>
    <w:rsid w:val="00186C8C"/>
    <w:rsid w:val="001873CE"/>
    <w:rsid w:val="00190046"/>
    <w:rsid w:val="001900CD"/>
    <w:rsid w:val="001900F3"/>
    <w:rsid w:val="0019016B"/>
    <w:rsid w:val="00190512"/>
    <w:rsid w:val="00190559"/>
    <w:rsid w:val="00190714"/>
    <w:rsid w:val="0019079A"/>
    <w:rsid w:val="00190814"/>
    <w:rsid w:val="0019086E"/>
    <w:rsid w:val="0019087E"/>
    <w:rsid w:val="00190ADC"/>
    <w:rsid w:val="00190F37"/>
    <w:rsid w:val="001916B1"/>
    <w:rsid w:val="001917CD"/>
    <w:rsid w:val="00191A97"/>
    <w:rsid w:val="00191D4C"/>
    <w:rsid w:val="00191E2E"/>
    <w:rsid w:val="001923A3"/>
    <w:rsid w:val="0019255F"/>
    <w:rsid w:val="00192AE7"/>
    <w:rsid w:val="0019309F"/>
    <w:rsid w:val="001930F7"/>
    <w:rsid w:val="0019314A"/>
    <w:rsid w:val="001935A9"/>
    <w:rsid w:val="001936F2"/>
    <w:rsid w:val="001937D6"/>
    <w:rsid w:val="001944C1"/>
    <w:rsid w:val="001948E5"/>
    <w:rsid w:val="00194D34"/>
    <w:rsid w:val="00194F17"/>
    <w:rsid w:val="00194FC8"/>
    <w:rsid w:val="0019520A"/>
    <w:rsid w:val="00195466"/>
    <w:rsid w:val="0019594B"/>
    <w:rsid w:val="00195C11"/>
    <w:rsid w:val="0019601D"/>
    <w:rsid w:val="0019605F"/>
    <w:rsid w:val="00196200"/>
    <w:rsid w:val="0019626A"/>
    <w:rsid w:val="00196405"/>
    <w:rsid w:val="0019682F"/>
    <w:rsid w:val="00196A59"/>
    <w:rsid w:val="00196A92"/>
    <w:rsid w:val="00196CE2"/>
    <w:rsid w:val="00196F9A"/>
    <w:rsid w:val="0019755D"/>
    <w:rsid w:val="00197586"/>
    <w:rsid w:val="00197B26"/>
    <w:rsid w:val="00197E96"/>
    <w:rsid w:val="001A037C"/>
    <w:rsid w:val="001A0452"/>
    <w:rsid w:val="001A0709"/>
    <w:rsid w:val="001A0778"/>
    <w:rsid w:val="001A0B9B"/>
    <w:rsid w:val="001A0EE2"/>
    <w:rsid w:val="001A134F"/>
    <w:rsid w:val="001A185F"/>
    <w:rsid w:val="001A194A"/>
    <w:rsid w:val="001A1B1C"/>
    <w:rsid w:val="001A1B71"/>
    <w:rsid w:val="001A1D47"/>
    <w:rsid w:val="001A1DEE"/>
    <w:rsid w:val="001A2088"/>
    <w:rsid w:val="001A2137"/>
    <w:rsid w:val="001A21FC"/>
    <w:rsid w:val="001A2243"/>
    <w:rsid w:val="001A2395"/>
    <w:rsid w:val="001A261B"/>
    <w:rsid w:val="001A2CA2"/>
    <w:rsid w:val="001A2E3E"/>
    <w:rsid w:val="001A2F68"/>
    <w:rsid w:val="001A3003"/>
    <w:rsid w:val="001A33EE"/>
    <w:rsid w:val="001A36EF"/>
    <w:rsid w:val="001A3B6D"/>
    <w:rsid w:val="001A3CA2"/>
    <w:rsid w:val="001A4154"/>
    <w:rsid w:val="001A45FE"/>
    <w:rsid w:val="001A47B1"/>
    <w:rsid w:val="001A48B3"/>
    <w:rsid w:val="001A561F"/>
    <w:rsid w:val="001A5CF9"/>
    <w:rsid w:val="001A5D7C"/>
    <w:rsid w:val="001A63AF"/>
    <w:rsid w:val="001A6999"/>
    <w:rsid w:val="001A6D21"/>
    <w:rsid w:val="001A6E58"/>
    <w:rsid w:val="001A7192"/>
    <w:rsid w:val="001A71A1"/>
    <w:rsid w:val="001A7241"/>
    <w:rsid w:val="001A7377"/>
    <w:rsid w:val="001A7678"/>
    <w:rsid w:val="001A780D"/>
    <w:rsid w:val="001B00C0"/>
    <w:rsid w:val="001B065A"/>
    <w:rsid w:val="001B07D6"/>
    <w:rsid w:val="001B0ADD"/>
    <w:rsid w:val="001B0B01"/>
    <w:rsid w:val="001B0C3B"/>
    <w:rsid w:val="001B0E6A"/>
    <w:rsid w:val="001B1050"/>
    <w:rsid w:val="001B15F6"/>
    <w:rsid w:val="001B17D9"/>
    <w:rsid w:val="001B1BC8"/>
    <w:rsid w:val="001B1DB6"/>
    <w:rsid w:val="001B2024"/>
    <w:rsid w:val="001B21D6"/>
    <w:rsid w:val="001B21E3"/>
    <w:rsid w:val="001B252A"/>
    <w:rsid w:val="001B2749"/>
    <w:rsid w:val="001B2ABA"/>
    <w:rsid w:val="001B2E68"/>
    <w:rsid w:val="001B2ECC"/>
    <w:rsid w:val="001B31C6"/>
    <w:rsid w:val="001B346B"/>
    <w:rsid w:val="001B346F"/>
    <w:rsid w:val="001B34AD"/>
    <w:rsid w:val="001B3F89"/>
    <w:rsid w:val="001B4B04"/>
    <w:rsid w:val="001B4EB0"/>
    <w:rsid w:val="001B55DE"/>
    <w:rsid w:val="001B5875"/>
    <w:rsid w:val="001B598E"/>
    <w:rsid w:val="001B5FEC"/>
    <w:rsid w:val="001B6191"/>
    <w:rsid w:val="001B66BC"/>
    <w:rsid w:val="001B68BA"/>
    <w:rsid w:val="001B6D7A"/>
    <w:rsid w:val="001B6F18"/>
    <w:rsid w:val="001B7191"/>
    <w:rsid w:val="001B731D"/>
    <w:rsid w:val="001B7414"/>
    <w:rsid w:val="001B7766"/>
    <w:rsid w:val="001B79CC"/>
    <w:rsid w:val="001B79F3"/>
    <w:rsid w:val="001B7D0D"/>
    <w:rsid w:val="001B7D7F"/>
    <w:rsid w:val="001B7D84"/>
    <w:rsid w:val="001B7DDA"/>
    <w:rsid w:val="001B7F7D"/>
    <w:rsid w:val="001C029B"/>
    <w:rsid w:val="001C045F"/>
    <w:rsid w:val="001C05A1"/>
    <w:rsid w:val="001C0769"/>
    <w:rsid w:val="001C0B63"/>
    <w:rsid w:val="001C0DD9"/>
    <w:rsid w:val="001C0DF9"/>
    <w:rsid w:val="001C0E8F"/>
    <w:rsid w:val="001C0F3F"/>
    <w:rsid w:val="001C189D"/>
    <w:rsid w:val="001C19A5"/>
    <w:rsid w:val="001C1A26"/>
    <w:rsid w:val="001C1A43"/>
    <w:rsid w:val="001C1B82"/>
    <w:rsid w:val="001C1CD8"/>
    <w:rsid w:val="001C1DCB"/>
    <w:rsid w:val="001C22B5"/>
    <w:rsid w:val="001C22E9"/>
    <w:rsid w:val="001C2381"/>
    <w:rsid w:val="001C254A"/>
    <w:rsid w:val="001C283E"/>
    <w:rsid w:val="001C2A76"/>
    <w:rsid w:val="001C2C2C"/>
    <w:rsid w:val="001C2DB2"/>
    <w:rsid w:val="001C2E62"/>
    <w:rsid w:val="001C3166"/>
    <w:rsid w:val="001C32F1"/>
    <w:rsid w:val="001C333C"/>
    <w:rsid w:val="001C374E"/>
    <w:rsid w:val="001C3830"/>
    <w:rsid w:val="001C38E2"/>
    <w:rsid w:val="001C3959"/>
    <w:rsid w:val="001C3B13"/>
    <w:rsid w:val="001C3B52"/>
    <w:rsid w:val="001C3F47"/>
    <w:rsid w:val="001C41F7"/>
    <w:rsid w:val="001C4563"/>
    <w:rsid w:val="001C4590"/>
    <w:rsid w:val="001C4595"/>
    <w:rsid w:val="001C45AE"/>
    <w:rsid w:val="001C45D5"/>
    <w:rsid w:val="001C4B9C"/>
    <w:rsid w:val="001C4FC6"/>
    <w:rsid w:val="001C524D"/>
    <w:rsid w:val="001C534E"/>
    <w:rsid w:val="001C548E"/>
    <w:rsid w:val="001C5A18"/>
    <w:rsid w:val="001C5EC3"/>
    <w:rsid w:val="001C5F36"/>
    <w:rsid w:val="001C62C5"/>
    <w:rsid w:val="001C630E"/>
    <w:rsid w:val="001C6530"/>
    <w:rsid w:val="001C6663"/>
    <w:rsid w:val="001C66E1"/>
    <w:rsid w:val="001C6B19"/>
    <w:rsid w:val="001C6BEA"/>
    <w:rsid w:val="001C6FE4"/>
    <w:rsid w:val="001C7386"/>
    <w:rsid w:val="001C748D"/>
    <w:rsid w:val="001C766F"/>
    <w:rsid w:val="001C770C"/>
    <w:rsid w:val="001C7746"/>
    <w:rsid w:val="001C783C"/>
    <w:rsid w:val="001C7895"/>
    <w:rsid w:val="001C78FE"/>
    <w:rsid w:val="001C7B48"/>
    <w:rsid w:val="001C7E92"/>
    <w:rsid w:val="001D0820"/>
    <w:rsid w:val="001D094B"/>
    <w:rsid w:val="001D0A6D"/>
    <w:rsid w:val="001D0BEC"/>
    <w:rsid w:val="001D0BF5"/>
    <w:rsid w:val="001D0CF6"/>
    <w:rsid w:val="001D0E56"/>
    <w:rsid w:val="001D1172"/>
    <w:rsid w:val="001D129E"/>
    <w:rsid w:val="001D12A9"/>
    <w:rsid w:val="001D13B9"/>
    <w:rsid w:val="001D13D0"/>
    <w:rsid w:val="001D145A"/>
    <w:rsid w:val="001D15CA"/>
    <w:rsid w:val="001D19B8"/>
    <w:rsid w:val="001D1E67"/>
    <w:rsid w:val="001D26DF"/>
    <w:rsid w:val="001D2715"/>
    <w:rsid w:val="001D2767"/>
    <w:rsid w:val="001D281F"/>
    <w:rsid w:val="001D32FD"/>
    <w:rsid w:val="001D33A3"/>
    <w:rsid w:val="001D3938"/>
    <w:rsid w:val="001D3A5B"/>
    <w:rsid w:val="001D3DB7"/>
    <w:rsid w:val="001D3E76"/>
    <w:rsid w:val="001D3FB4"/>
    <w:rsid w:val="001D437C"/>
    <w:rsid w:val="001D44A8"/>
    <w:rsid w:val="001D488D"/>
    <w:rsid w:val="001D4B08"/>
    <w:rsid w:val="001D4DED"/>
    <w:rsid w:val="001D4DEE"/>
    <w:rsid w:val="001D4E69"/>
    <w:rsid w:val="001D55F4"/>
    <w:rsid w:val="001D598E"/>
    <w:rsid w:val="001D5AE8"/>
    <w:rsid w:val="001D5C8D"/>
    <w:rsid w:val="001D5CB3"/>
    <w:rsid w:val="001D5E8A"/>
    <w:rsid w:val="001D5ECD"/>
    <w:rsid w:val="001D5F41"/>
    <w:rsid w:val="001D6429"/>
    <w:rsid w:val="001D65A9"/>
    <w:rsid w:val="001D6626"/>
    <w:rsid w:val="001D6868"/>
    <w:rsid w:val="001D68D5"/>
    <w:rsid w:val="001D6BB1"/>
    <w:rsid w:val="001D70E6"/>
    <w:rsid w:val="001D71CA"/>
    <w:rsid w:val="001D7365"/>
    <w:rsid w:val="001D754E"/>
    <w:rsid w:val="001D75C8"/>
    <w:rsid w:val="001D7A2D"/>
    <w:rsid w:val="001D7E0F"/>
    <w:rsid w:val="001E09B3"/>
    <w:rsid w:val="001E0CAB"/>
    <w:rsid w:val="001E1207"/>
    <w:rsid w:val="001E15D4"/>
    <w:rsid w:val="001E18A2"/>
    <w:rsid w:val="001E1D54"/>
    <w:rsid w:val="001E1FE5"/>
    <w:rsid w:val="001E22B9"/>
    <w:rsid w:val="001E23D6"/>
    <w:rsid w:val="001E2471"/>
    <w:rsid w:val="001E2787"/>
    <w:rsid w:val="001E2CD7"/>
    <w:rsid w:val="001E2F04"/>
    <w:rsid w:val="001E2F59"/>
    <w:rsid w:val="001E30A6"/>
    <w:rsid w:val="001E3272"/>
    <w:rsid w:val="001E347C"/>
    <w:rsid w:val="001E387C"/>
    <w:rsid w:val="001E3A0C"/>
    <w:rsid w:val="001E3BF3"/>
    <w:rsid w:val="001E3EA3"/>
    <w:rsid w:val="001E4424"/>
    <w:rsid w:val="001E457F"/>
    <w:rsid w:val="001E45F4"/>
    <w:rsid w:val="001E4802"/>
    <w:rsid w:val="001E4913"/>
    <w:rsid w:val="001E4920"/>
    <w:rsid w:val="001E4CC0"/>
    <w:rsid w:val="001E4F67"/>
    <w:rsid w:val="001E51EF"/>
    <w:rsid w:val="001E5377"/>
    <w:rsid w:val="001E5841"/>
    <w:rsid w:val="001E6057"/>
    <w:rsid w:val="001E624E"/>
    <w:rsid w:val="001E6583"/>
    <w:rsid w:val="001E6D54"/>
    <w:rsid w:val="001E6DFC"/>
    <w:rsid w:val="001E6FCE"/>
    <w:rsid w:val="001E73F5"/>
    <w:rsid w:val="001E74E4"/>
    <w:rsid w:val="001E76CB"/>
    <w:rsid w:val="001E791E"/>
    <w:rsid w:val="001E7B2B"/>
    <w:rsid w:val="001E7F0B"/>
    <w:rsid w:val="001F01FA"/>
    <w:rsid w:val="001F046F"/>
    <w:rsid w:val="001F08B2"/>
    <w:rsid w:val="001F0A8F"/>
    <w:rsid w:val="001F0CCC"/>
    <w:rsid w:val="001F0F56"/>
    <w:rsid w:val="001F10CD"/>
    <w:rsid w:val="001F1124"/>
    <w:rsid w:val="001F1599"/>
    <w:rsid w:val="001F19C4"/>
    <w:rsid w:val="001F1A89"/>
    <w:rsid w:val="001F1AF2"/>
    <w:rsid w:val="001F1D29"/>
    <w:rsid w:val="001F25A4"/>
    <w:rsid w:val="001F27A2"/>
    <w:rsid w:val="001F2881"/>
    <w:rsid w:val="001F28CB"/>
    <w:rsid w:val="001F2EAC"/>
    <w:rsid w:val="001F2F15"/>
    <w:rsid w:val="001F3148"/>
    <w:rsid w:val="001F337E"/>
    <w:rsid w:val="001F3473"/>
    <w:rsid w:val="001F34F0"/>
    <w:rsid w:val="001F3689"/>
    <w:rsid w:val="001F3695"/>
    <w:rsid w:val="001F398F"/>
    <w:rsid w:val="001F3C53"/>
    <w:rsid w:val="001F3CDC"/>
    <w:rsid w:val="001F4013"/>
    <w:rsid w:val="001F4091"/>
    <w:rsid w:val="001F45C5"/>
    <w:rsid w:val="001F4818"/>
    <w:rsid w:val="001F49C6"/>
    <w:rsid w:val="001F4D64"/>
    <w:rsid w:val="001F4DDB"/>
    <w:rsid w:val="001F59E6"/>
    <w:rsid w:val="001F5CFB"/>
    <w:rsid w:val="001F5D0B"/>
    <w:rsid w:val="001F636A"/>
    <w:rsid w:val="001F657E"/>
    <w:rsid w:val="001F68C7"/>
    <w:rsid w:val="001F6D6C"/>
    <w:rsid w:val="001F6EB6"/>
    <w:rsid w:val="001F6F10"/>
    <w:rsid w:val="001F71B5"/>
    <w:rsid w:val="001F7248"/>
    <w:rsid w:val="001F72F5"/>
    <w:rsid w:val="001F73F8"/>
    <w:rsid w:val="001F7640"/>
    <w:rsid w:val="001F77DD"/>
    <w:rsid w:val="001F781F"/>
    <w:rsid w:val="001F7978"/>
    <w:rsid w:val="001F799C"/>
    <w:rsid w:val="00200174"/>
    <w:rsid w:val="0020033C"/>
    <w:rsid w:val="0020040A"/>
    <w:rsid w:val="0020097B"/>
    <w:rsid w:val="00201009"/>
    <w:rsid w:val="00201055"/>
    <w:rsid w:val="00201545"/>
    <w:rsid w:val="002017F9"/>
    <w:rsid w:val="002018B1"/>
    <w:rsid w:val="00201D03"/>
    <w:rsid w:val="0020241D"/>
    <w:rsid w:val="00202467"/>
    <w:rsid w:val="002025A1"/>
    <w:rsid w:val="0020270B"/>
    <w:rsid w:val="00202C7B"/>
    <w:rsid w:val="0020317C"/>
    <w:rsid w:val="0020327A"/>
    <w:rsid w:val="00203909"/>
    <w:rsid w:val="0020397D"/>
    <w:rsid w:val="002039FC"/>
    <w:rsid w:val="00203A2B"/>
    <w:rsid w:val="0020411B"/>
    <w:rsid w:val="002041D9"/>
    <w:rsid w:val="002043F0"/>
    <w:rsid w:val="0020463E"/>
    <w:rsid w:val="00204B69"/>
    <w:rsid w:val="00204C86"/>
    <w:rsid w:val="0020520B"/>
    <w:rsid w:val="002054E2"/>
    <w:rsid w:val="00205693"/>
    <w:rsid w:val="002057DE"/>
    <w:rsid w:val="0020584C"/>
    <w:rsid w:val="00205F5F"/>
    <w:rsid w:val="00206410"/>
    <w:rsid w:val="002064A8"/>
    <w:rsid w:val="00206667"/>
    <w:rsid w:val="0020678B"/>
    <w:rsid w:val="00206AEE"/>
    <w:rsid w:val="00206B48"/>
    <w:rsid w:val="00206BEB"/>
    <w:rsid w:val="0020710E"/>
    <w:rsid w:val="002073D9"/>
    <w:rsid w:val="00207514"/>
    <w:rsid w:val="00207650"/>
    <w:rsid w:val="00207654"/>
    <w:rsid w:val="00207730"/>
    <w:rsid w:val="00207AB6"/>
    <w:rsid w:val="00207E18"/>
    <w:rsid w:val="00207F6F"/>
    <w:rsid w:val="00207FFD"/>
    <w:rsid w:val="00210066"/>
    <w:rsid w:val="00210335"/>
    <w:rsid w:val="00210636"/>
    <w:rsid w:val="00210872"/>
    <w:rsid w:val="0021098B"/>
    <w:rsid w:val="00210A3C"/>
    <w:rsid w:val="00211099"/>
    <w:rsid w:val="00211431"/>
    <w:rsid w:val="00211779"/>
    <w:rsid w:val="00211944"/>
    <w:rsid w:val="0021195A"/>
    <w:rsid w:val="00211BE8"/>
    <w:rsid w:val="00211DA1"/>
    <w:rsid w:val="00211E0B"/>
    <w:rsid w:val="002121D8"/>
    <w:rsid w:val="00212291"/>
    <w:rsid w:val="0021247B"/>
    <w:rsid w:val="002124B8"/>
    <w:rsid w:val="00212548"/>
    <w:rsid w:val="00212824"/>
    <w:rsid w:val="002129D6"/>
    <w:rsid w:val="00212DD1"/>
    <w:rsid w:val="00212E22"/>
    <w:rsid w:val="00212FEE"/>
    <w:rsid w:val="0021323E"/>
    <w:rsid w:val="0021349E"/>
    <w:rsid w:val="002134DE"/>
    <w:rsid w:val="00213EA3"/>
    <w:rsid w:val="00213EFD"/>
    <w:rsid w:val="00213F0C"/>
    <w:rsid w:val="002140A5"/>
    <w:rsid w:val="00214169"/>
    <w:rsid w:val="002143E6"/>
    <w:rsid w:val="0021537E"/>
    <w:rsid w:val="00215540"/>
    <w:rsid w:val="00215A43"/>
    <w:rsid w:val="00215C0A"/>
    <w:rsid w:val="00215CFF"/>
    <w:rsid w:val="00216050"/>
    <w:rsid w:val="00216123"/>
    <w:rsid w:val="002165A6"/>
    <w:rsid w:val="00216730"/>
    <w:rsid w:val="0021683C"/>
    <w:rsid w:val="00216B74"/>
    <w:rsid w:val="00217280"/>
    <w:rsid w:val="00217433"/>
    <w:rsid w:val="002174B0"/>
    <w:rsid w:val="002174EA"/>
    <w:rsid w:val="0021751C"/>
    <w:rsid w:val="00217649"/>
    <w:rsid w:val="00217715"/>
    <w:rsid w:val="00217993"/>
    <w:rsid w:val="00217AA2"/>
    <w:rsid w:val="00217DA9"/>
    <w:rsid w:val="00220421"/>
    <w:rsid w:val="00220544"/>
    <w:rsid w:val="0022097B"/>
    <w:rsid w:val="00220BF4"/>
    <w:rsid w:val="00221151"/>
    <w:rsid w:val="002211ED"/>
    <w:rsid w:val="0022123A"/>
    <w:rsid w:val="00221614"/>
    <w:rsid w:val="0022179F"/>
    <w:rsid w:val="00221C22"/>
    <w:rsid w:val="00222381"/>
    <w:rsid w:val="0022253F"/>
    <w:rsid w:val="00222B33"/>
    <w:rsid w:val="00223102"/>
    <w:rsid w:val="0022319E"/>
    <w:rsid w:val="0022392E"/>
    <w:rsid w:val="00223DFA"/>
    <w:rsid w:val="00223EBD"/>
    <w:rsid w:val="00223ECC"/>
    <w:rsid w:val="002241FF"/>
    <w:rsid w:val="002242CD"/>
    <w:rsid w:val="00224325"/>
    <w:rsid w:val="002244E0"/>
    <w:rsid w:val="0022466F"/>
    <w:rsid w:val="002246C2"/>
    <w:rsid w:val="00224FAD"/>
    <w:rsid w:val="00225101"/>
    <w:rsid w:val="002252B9"/>
    <w:rsid w:val="00225441"/>
    <w:rsid w:val="00225476"/>
    <w:rsid w:val="0022582A"/>
    <w:rsid w:val="002258A3"/>
    <w:rsid w:val="002261F8"/>
    <w:rsid w:val="0022624E"/>
    <w:rsid w:val="00226260"/>
    <w:rsid w:val="002267CF"/>
    <w:rsid w:val="00226995"/>
    <w:rsid w:val="00226A85"/>
    <w:rsid w:val="00226D32"/>
    <w:rsid w:val="002271EC"/>
    <w:rsid w:val="00227432"/>
    <w:rsid w:val="00227469"/>
    <w:rsid w:val="002274D9"/>
    <w:rsid w:val="00227848"/>
    <w:rsid w:val="00227863"/>
    <w:rsid w:val="002278E7"/>
    <w:rsid w:val="00227989"/>
    <w:rsid w:val="00227A51"/>
    <w:rsid w:val="00227BBD"/>
    <w:rsid w:val="00227D88"/>
    <w:rsid w:val="00227E01"/>
    <w:rsid w:val="00227FF0"/>
    <w:rsid w:val="00230019"/>
    <w:rsid w:val="0023003F"/>
    <w:rsid w:val="0023027F"/>
    <w:rsid w:val="0023028E"/>
    <w:rsid w:val="00230544"/>
    <w:rsid w:val="0023066F"/>
    <w:rsid w:val="00230B82"/>
    <w:rsid w:val="00231A3A"/>
    <w:rsid w:val="00231C5D"/>
    <w:rsid w:val="00231CA1"/>
    <w:rsid w:val="00231DA3"/>
    <w:rsid w:val="00231EAB"/>
    <w:rsid w:val="0023202C"/>
    <w:rsid w:val="00232232"/>
    <w:rsid w:val="0023236E"/>
    <w:rsid w:val="00232575"/>
    <w:rsid w:val="002326C3"/>
    <w:rsid w:val="002328F1"/>
    <w:rsid w:val="002328F9"/>
    <w:rsid w:val="00232992"/>
    <w:rsid w:val="00232BF4"/>
    <w:rsid w:val="0023321B"/>
    <w:rsid w:val="002334E7"/>
    <w:rsid w:val="00233646"/>
    <w:rsid w:val="00233E72"/>
    <w:rsid w:val="0023402F"/>
    <w:rsid w:val="002345CB"/>
    <w:rsid w:val="00234973"/>
    <w:rsid w:val="00234E5C"/>
    <w:rsid w:val="00235233"/>
    <w:rsid w:val="00235685"/>
    <w:rsid w:val="00235740"/>
    <w:rsid w:val="0023595C"/>
    <w:rsid w:val="00235B27"/>
    <w:rsid w:val="00235BF3"/>
    <w:rsid w:val="002364FD"/>
    <w:rsid w:val="00236894"/>
    <w:rsid w:val="002369B4"/>
    <w:rsid w:val="002369D4"/>
    <w:rsid w:val="00236B89"/>
    <w:rsid w:val="00236DE2"/>
    <w:rsid w:val="00236EFE"/>
    <w:rsid w:val="0023708D"/>
    <w:rsid w:val="002370AE"/>
    <w:rsid w:val="00237270"/>
    <w:rsid w:val="00237529"/>
    <w:rsid w:val="0023795C"/>
    <w:rsid w:val="00237AB7"/>
    <w:rsid w:val="00237C0B"/>
    <w:rsid w:val="00237C69"/>
    <w:rsid w:val="00237D60"/>
    <w:rsid w:val="00237F44"/>
    <w:rsid w:val="002400D2"/>
    <w:rsid w:val="00240156"/>
    <w:rsid w:val="00240267"/>
    <w:rsid w:val="002402E7"/>
    <w:rsid w:val="00240353"/>
    <w:rsid w:val="002405E2"/>
    <w:rsid w:val="00240939"/>
    <w:rsid w:val="00240AC8"/>
    <w:rsid w:val="00240B9D"/>
    <w:rsid w:val="00240C9D"/>
    <w:rsid w:val="0024132C"/>
    <w:rsid w:val="0024168A"/>
    <w:rsid w:val="00241D94"/>
    <w:rsid w:val="00241F44"/>
    <w:rsid w:val="0024245E"/>
    <w:rsid w:val="00242DCF"/>
    <w:rsid w:val="00242EDE"/>
    <w:rsid w:val="0024309C"/>
    <w:rsid w:val="00243275"/>
    <w:rsid w:val="002436D8"/>
    <w:rsid w:val="00243EA1"/>
    <w:rsid w:val="00243FB0"/>
    <w:rsid w:val="00244061"/>
    <w:rsid w:val="0024441B"/>
    <w:rsid w:val="002444C6"/>
    <w:rsid w:val="0024463A"/>
    <w:rsid w:val="00244753"/>
    <w:rsid w:val="00244A38"/>
    <w:rsid w:val="00245572"/>
    <w:rsid w:val="00245840"/>
    <w:rsid w:val="00245D3E"/>
    <w:rsid w:val="00246025"/>
    <w:rsid w:val="002460D2"/>
    <w:rsid w:val="00246193"/>
    <w:rsid w:val="0024660F"/>
    <w:rsid w:val="002469E9"/>
    <w:rsid w:val="00246AF3"/>
    <w:rsid w:val="00246DFA"/>
    <w:rsid w:val="0024708B"/>
    <w:rsid w:val="00247258"/>
    <w:rsid w:val="002473A9"/>
    <w:rsid w:val="002476E5"/>
    <w:rsid w:val="002476FE"/>
    <w:rsid w:val="00247C0B"/>
    <w:rsid w:val="002508AD"/>
    <w:rsid w:val="00250D14"/>
    <w:rsid w:val="00250F16"/>
    <w:rsid w:val="002511C3"/>
    <w:rsid w:val="00251202"/>
    <w:rsid w:val="00251894"/>
    <w:rsid w:val="00251BB1"/>
    <w:rsid w:val="002520DB"/>
    <w:rsid w:val="002522E7"/>
    <w:rsid w:val="002523C4"/>
    <w:rsid w:val="00252679"/>
    <w:rsid w:val="002526FA"/>
    <w:rsid w:val="00252CB4"/>
    <w:rsid w:val="00252CE4"/>
    <w:rsid w:val="002530B8"/>
    <w:rsid w:val="002531A7"/>
    <w:rsid w:val="00253529"/>
    <w:rsid w:val="00253724"/>
    <w:rsid w:val="00253D32"/>
    <w:rsid w:val="00253DE3"/>
    <w:rsid w:val="00253ECD"/>
    <w:rsid w:val="00254264"/>
    <w:rsid w:val="0025432B"/>
    <w:rsid w:val="002543C6"/>
    <w:rsid w:val="002543F1"/>
    <w:rsid w:val="0025443C"/>
    <w:rsid w:val="002545D4"/>
    <w:rsid w:val="002546DF"/>
    <w:rsid w:val="00254DE1"/>
    <w:rsid w:val="00254F02"/>
    <w:rsid w:val="00254F15"/>
    <w:rsid w:val="00254FFE"/>
    <w:rsid w:val="0025568B"/>
    <w:rsid w:val="002557FB"/>
    <w:rsid w:val="00255BB8"/>
    <w:rsid w:val="00255BF2"/>
    <w:rsid w:val="00255D01"/>
    <w:rsid w:val="00255D73"/>
    <w:rsid w:val="00255E73"/>
    <w:rsid w:val="0025646A"/>
    <w:rsid w:val="002565A0"/>
    <w:rsid w:val="002565FA"/>
    <w:rsid w:val="00256721"/>
    <w:rsid w:val="00256871"/>
    <w:rsid w:val="002570EF"/>
    <w:rsid w:val="00257CAC"/>
    <w:rsid w:val="00257CC9"/>
    <w:rsid w:val="002602B5"/>
    <w:rsid w:val="002605A6"/>
    <w:rsid w:val="00260680"/>
    <w:rsid w:val="00260B77"/>
    <w:rsid w:val="00260C37"/>
    <w:rsid w:val="00260DE8"/>
    <w:rsid w:val="002610FC"/>
    <w:rsid w:val="002613E4"/>
    <w:rsid w:val="002615AE"/>
    <w:rsid w:val="00261889"/>
    <w:rsid w:val="00261B6A"/>
    <w:rsid w:val="00261C56"/>
    <w:rsid w:val="00261D20"/>
    <w:rsid w:val="00261F10"/>
    <w:rsid w:val="0026218D"/>
    <w:rsid w:val="00262296"/>
    <w:rsid w:val="002622CD"/>
    <w:rsid w:val="002626A1"/>
    <w:rsid w:val="002628AD"/>
    <w:rsid w:val="0026296E"/>
    <w:rsid w:val="00262AAE"/>
    <w:rsid w:val="00262B2C"/>
    <w:rsid w:val="00262BB0"/>
    <w:rsid w:val="00262CB4"/>
    <w:rsid w:val="00262F04"/>
    <w:rsid w:val="00263451"/>
    <w:rsid w:val="00263802"/>
    <w:rsid w:val="00263B67"/>
    <w:rsid w:val="00263BA1"/>
    <w:rsid w:val="00263CB0"/>
    <w:rsid w:val="0026437A"/>
    <w:rsid w:val="00264413"/>
    <w:rsid w:val="00264551"/>
    <w:rsid w:val="002646FB"/>
    <w:rsid w:val="00264736"/>
    <w:rsid w:val="00264794"/>
    <w:rsid w:val="00264AD9"/>
    <w:rsid w:val="00264CE3"/>
    <w:rsid w:val="00264E3E"/>
    <w:rsid w:val="00265250"/>
    <w:rsid w:val="00265479"/>
    <w:rsid w:val="002655C0"/>
    <w:rsid w:val="00265B08"/>
    <w:rsid w:val="00265B78"/>
    <w:rsid w:val="00265B9C"/>
    <w:rsid w:val="00266185"/>
    <w:rsid w:val="002665D1"/>
    <w:rsid w:val="002667E6"/>
    <w:rsid w:val="00266818"/>
    <w:rsid w:val="00266CB1"/>
    <w:rsid w:val="00267327"/>
    <w:rsid w:val="002675FB"/>
    <w:rsid w:val="0026767E"/>
    <w:rsid w:val="00267BF1"/>
    <w:rsid w:val="00267F7D"/>
    <w:rsid w:val="00270181"/>
    <w:rsid w:val="002705BC"/>
    <w:rsid w:val="002708B4"/>
    <w:rsid w:val="00270AA8"/>
    <w:rsid w:val="00270C31"/>
    <w:rsid w:val="00270E09"/>
    <w:rsid w:val="00270E99"/>
    <w:rsid w:val="00270EE9"/>
    <w:rsid w:val="0027115B"/>
    <w:rsid w:val="00271283"/>
    <w:rsid w:val="002714E9"/>
    <w:rsid w:val="002714F9"/>
    <w:rsid w:val="0027161F"/>
    <w:rsid w:val="00271F4F"/>
    <w:rsid w:val="002720C8"/>
    <w:rsid w:val="0027221E"/>
    <w:rsid w:val="0027237A"/>
    <w:rsid w:val="00272662"/>
    <w:rsid w:val="00272D74"/>
    <w:rsid w:val="00272EDA"/>
    <w:rsid w:val="0027342E"/>
    <w:rsid w:val="00273CF9"/>
    <w:rsid w:val="00273D84"/>
    <w:rsid w:val="00274269"/>
    <w:rsid w:val="00274579"/>
    <w:rsid w:val="002745C6"/>
    <w:rsid w:val="002747FB"/>
    <w:rsid w:val="00274874"/>
    <w:rsid w:val="002748E3"/>
    <w:rsid w:val="00274909"/>
    <w:rsid w:val="00274BDB"/>
    <w:rsid w:val="00274DAE"/>
    <w:rsid w:val="00275170"/>
    <w:rsid w:val="002752E8"/>
    <w:rsid w:val="00275599"/>
    <w:rsid w:val="00275822"/>
    <w:rsid w:val="0027610B"/>
    <w:rsid w:val="00276BD5"/>
    <w:rsid w:val="00276D94"/>
    <w:rsid w:val="00276F35"/>
    <w:rsid w:val="002770DB"/>
    <w:rsid w:val="00277367"/>
    <w:rsid w:val="002774F7"/>
    <w:rsid w:val="002778FE"/>
    <w:rsid w:val="00277B2A"/>
    <w:rsid w:val="00277C81"/>
    <w:rsid w:val="00277CA4"/>
    <w:rsid w:val="00277E09"/>
    <w:rsid w:val="00277E27"/>
    <w:rsid w:val="00277E3E"/>
    <w:rsid w:val="002802D7"/>
    <w:rsid w:val="002802E6"/>
    <w:rsid w:val="002809E3"/>
    <w:rsid w:val="00280FD4"/>
    <w:rsid w:val="00280FEF"/>
    <w:rsid w:val="00281555"/>
    <w:rsid w:val="002817BB"/>
    <w:rsid w:val="002817F8"/>
    <w:rsid w:val="00281826"/>
    <w:rsid w:val="00281953"/>
    <w:rsid w:val="00281B7D"/>
    <w:rsid w:val="00282038"/>
    <w:rsid w:val="00282564"/>
    <w:rsid w:val="00282628"/>
    <w:rsid w:val="00282C2D"/>
    <w:rsid w:val="00282DF9"/>
    <w:rsid w:val="00282F1F"/>
    <w:rsid w:val="00283575"/>
    <w:rsid w:val="00283716"/>
    <w:rsid w:val="00283A6B"/>
    <w:rsid w:val="00283D99"/>
    <w:rsid w:val="00283E42"/>
    <w:rsid w:val="002842D0"/>
    <w:rsid w:val="002842E5"/>
    <w:rsid w:val="002844B8"/>
    <w:rsid w:val="00284680"/>
    <w:rsid w:val="00284833"/>
    <w:rsid w:val="00284B4D"/>
    <w:rsid w:val="00284CE9"/>
    <w:rsid w:val="00284D55"/>
    <w:rsid w:val="002851B8"/>
    <w:rsid w:val="00285542"/>
    <w:rsid w:val="002857F0"/>
    <w:rsid w:val="0028580F"/>
    <w:rsid w:val="00286196"/>
    <w:rsid w:val="002866E9"/>
    <w:rsid w:val="00286773"/>
    <w:rsid w:val="00286AAC"/>
    <w:rsid w:val="00286DA3"/>
    <w:rsid w:val="002871BD"/>
    <w:rsid w:val="002873C1"/>
    <w:rsid w:val="0028743D"/>
    <w:rsid w:val="002875CE"/>
    <w:rsid w:val="0028762A"/>
    <w:rsid w:val="00287D0A"/>
    <w:rsid w:val="0029068C"/>
    <w:rsid w:val="002909A9"/>
    <w:rsid w:val="00290B2E"/>
    <w:rsid w:val="00290D65"/>
    <w:rsid w:val="00290E1C"/>
    <w:rsid w:val="00291234"/>
    <w:rsid w:val="002916E0"/>
    <w:rsid w:val="0029171A"/>
    <w:rsid w:val="002918DC"/>
    <w:rsid w:val="00291A1C"/>
    <w:rsid w:val="00291BC6"/>
    <w:rsid w:val="00291F23"/>
    <w:rsid w:val="002926C7"/>
    <w:rsid w:val="002927DF"/>
    <w:rsid w:val="0029295E"/>
    <w:rsid w:val="002929F9"/>
    <w:rsid w:val="00292A5F"/>
    <w:rsid w:val="00292EDD"/>
    <w:rsid w:val="00292F00"/>
    <w:rsid w:val="00292FF6"/>
    <w:rsid w:val="002934B3"/>
    <w:rsid w:val="002938BF"/>
    <w:rsid w:val="00293A30"/>
    <w:rsid w:val="00294020"/>
    <w:rsid w:val="00294132"/>
    <w:rsid w:val="002942AE"/>
    <w:rsid w:val="0029430A"/>
    <w:rsid w:val="002946A5"/>
    <w:rsid w:val="002946DE"/>
    <w:rsid w:val="00294C8B"/>
    <w:rsid w:val="00294DB5"/>
    <w:rsid w:val="00294F30"/>
    <w:rsid w:val="00295292"/>
    <w:rsid w:val="0029537E"/>
    <w:rsid w:val="002955D5"/>
    <w:rsid w:val="00295687"/>
    <w:rsid w:val="002956DC"/>
    <w:rsid w:val="0029578E"/>
    <w:rsid w:val="00295F36"/>
    <w:rsid w:val="00295F4C"/>
    <w:rsid w:val="00295FD1"/>
    <w:rsid w:val="00296185"/>
    <w:rsid w:val="0029657D"/>
    <w:rsid w:val="002968C8"/>
    <w:rsid w:val="00296966"/>
    <w:rsid w:val="002969D1"/>
    <w:rsid w:val="00296BEB"/>
    <w:rsid w:val="002970A9"/>
    <w:rsid w:val="002972EC"/>
    <w:rsid w:val="00297445"/>
    <w:rsid w:val="002974E9"/>
    <w:rsid w:val="0029766B"/>
    <w:rsid w:val="00297AB0"/>
    <w:rsid w:val="00297CA1"/>
    <w:rsid w:val="00297E0D"/>
    <w:rsid w:val="00297E4F"/>
    <w:rsid w:val="00297F1D"/>
    <w:rsid w:val="002A00A2"/>
    <w:rsid w:val="002A06F2"/>
    <w:rsid w:val="002A0705"/>
    <w:rsid w:val="002A0EC1"/>
    <w:rsid w:val="002A1445"/>
    <w:rsid w:val="002A1460"/>
    <w:rsid w:val="002A1736"/>
    <w:rsid w:val="002A197E"/>
    <w:rsid w:val="002A1BE3"/>
    <w:rsid w:val="002A1DC0"/>
    <w:rsid w:val="002A22AA"/>
    <w:rsid w:val="002A28B6"/>
    <w:rsid w:val="002A29DF"/>
    <w:rsid w:val="002A2E8C"/>
    <w:rsid w:val="002A2FF4"/>
    <w:rsid w:val="002A3053"/>
    <w:rsid w:val="002A3346"/>
    <w:rsid w:val="002A3A3E"/>
    <w:rsid w:val="002A4030"/>
    <w:rsid w:val="002A48FA"/>
    <w:rsid w:val="002A4944"/>
    <w:rsid w:val="002A4C76"/>
    <w:rsid w:val="002A4CF0"/>
    <w:rsid w:val="002A5130"/>
    <w:rsid w:val="002A537B"/>
    <w:rsid w:val="002A53DA"/>
    <w:rsid w:val="002A54EB"/>
    <w:rsid w:val="002A57F0"/>
    <w:rsid w:val="002A57FB"/>
    <w:rsid w:val="002A5B2D"/>
    <w:rsid w:val="002A6580"/>
    <w:rsid w:val="002A684B"/>
    <w:rsid w:val="002A692A"/>
    <w:rsid w:val="002A71B5"/>
    <w:rsid w:val="002A72FA"/>
    <w:rsid w:val="002A7376"/>
    <w:rsid w:val="002A751B"/>
    <w:rsid w:val="002A75A5"/>
    <w:rsid w:val="002A76B6"/>
    <w:rsid w:val="002A77D4"/>
    <w:rsid w:val="002A7A5E"/>
    <w:rsid w:val="002A7C5F"/>
    <w:rsid w:val="002A7F94"/>
    <w:rsid w:val="002B04C8"/>
    <w:rsid w:val="002B05E4"/>
    <w:rsid w:val="002B09BD"/>
    <w:rsid w:val="002B0B94"/>
    <w:rsid w:val="002B0E61"/>
    <w:rsid w:val="002B101A"/>
    <w:rsid w:val="002B109A"/>
    <w:rsid w:val="002B10FA"/>
    <w:rsid w:val="002B1309"/>
    <w:rsid w:val="002B1314"/>
    <w:rsid w:val="002B16C7"/>
    <w:rsid w:val="002B179F"/>
    <w:rsid w:val="002B18C8"/>
    <w:rsid w:val="002B1F96"/>
    <w:rsid w:val="002B1FA6"/>
    <w:rsid w:val="002B2068"/>
    <w:rsid w:val="002B2309"/>
    <w:rsid w:val="002B236B"/>
    <w:rsid w:val="002B2547"/>
    <w:rsid w:val="002B2D31"/>
    <w:rsid w:val="002B3057"/>
    <w:rsid w:val="002B3390"/>
    <w:rsid w:val="002B3488"/>
    <w:rsid w:val="002B3603"/>
    <w:rsid w:val="002B37C8"/>
    <w:rsid w:val="002B3ED0"/>
    <w:rsid w:val="002B3F3E"/>
    <w:rsid w:val="002B3FDD"/>
    <w:rsid w:val="002B4092"/>
    <w:rsid w:val="002B40C2"/>
    <w:rsid w:val="002B438C"/>
    <w:rsid w:val="002B4704"/>
    <w:rsid w:val="002B4B8D"/>
    <w:rsid w:val="002B51FC"/>
    <w:rsid w:val="002B5A02"/>
    <w:rsid w:val="002B5B08"/>
    <w:rsid w:val="002B5ED1"/>
    <w:rsid w:val="002B6261"/>
    <w:rsid w:val="002B6653"/>
    <w:rsid w:val="002B6784"/>
    <w:rsid w:val="002B6ADC"/>
    <w:rsid w:val="002B6CBA"/>
    <w:rsid w:val="002B70BA"/>
    <w:rsid w:val="002B732F"/>
    <w:rsid w:val="002B7AE3"/>
    <w:rsid w:val="002B7F66"/>
    <w:rsid w:val="002C0246"/>
    <w:rsid w:val="002C03F2"/>
    <w:rsid w:val="002C085C"/>
    <w:rsid w:val="002C0B85"/>
    <w:rsid w:val="002C0FA3"/>
    <w:rsid w:val="002C0FF2"/>
    <w:rsid w:val="002C1004"/>
    <w:rsid w:val="002C11D6"/>
    <w:rsid w:val="002C157F"/>
    <w:rsid w:val="002C199E"/>
    <w:rsid w:val="002C26A1"/>
    <w:rsid w:val="002C2B50"/>
    <w:rsid w:val="002C2C76"/>
    <w:rsid w:val="002C2CD2"/>
    <w:rsid w:val="002C2F78"/>
    <w:rsid w:val="002C32E4"/>
    <w:rsid w:val="002C3577"/>
    <w:rsid w:val="002C3780"/>
    <w:rsid w:val="002C38F5"/>
    <w:rsid w:val="002C3B90"/>
    <w:rsid w:val="002C42DB"/>
    <w:rsid w:val="002C484D"/>
    <w:rsid w:val="002C49A4"/>
    <w:rsid w:val="002C49C4"/>
    <w:rsid w:val="002C4A70"/>
    <w:rsid w:val="002C4ABE"/>
    <w:rsid w:val="002C4D8F"/>
    <w:rsid w:val="002C4E3D"/>
    <w:rsid w:val="002C4EB5"/>
    <w:rsid w:val="002C52D4"/>
    <w:rsid w:val="002C546B"/>
    <w:rsid w:val="002C548F"/>
    <w:rsid w:val="002C56DD"/>
    <w:rsid w:val="002C5C4F"/>
    <w:rsid w:val="002C5CA3"/>
    <w:rsid w:val="002C5DC7"/>
    <w:rsid w:val="002C648E"/>
    <w:rsid w:val="002C6904"/>
    <w:rsid w:val="002C6CA9"/>
    <w:rsid w:val="002C6D45"/>
    <w:rsid w:val="002C6D60"/>
    <w:rsid w:val="002C7066"/>
    <w:rsid w:val="002C73F1"/>
    <w:rsid w:val="002C76D9"/>
    <w:rsid w:val="002C7B99"/>
    <w:rsid w:val="002C7E5C"/>
    <w:rsid w:val="002C7F1D"/>
    <w:rsid w:val="002D004D"/>
    <w:rsid w:val="002D013D"/>
    <w:rsid w:val="002D02BF"/>
    <w:rsid w:val="002D0AC0"/>
    <w:rsid w:val="002D0B6D"/>
    <w:rsid w:val="002D0C32"/>
    <w:rsid w:val="002D10ED"/>
    <w:rsid w:val="002D11A7"/>
    <w:rsid w:val="002D15F1"/>
    <w:rsid w:val="002D1CBA"/>
    <w:rsid w:val="002D1F64"/>
    <w:rsid w:val="002D1FA7"/>
    <w:rsid w:val="002D1FD5"/>
    <w:rsid w:val="002D24D1"/>
    <w:rsid w:val="002D251C"/>
    <w:rsid w:val="002D2522"/>
    <w:rsid w:val="002D2730"/>
    <w:rsid w:val="002D2BE1"/>
    <w:rsid w:val="002D3158"/>
    <w:rsid w:val="002D32C7"/>
    <w:rsid w:val="002D33F6"/>
    <w:rsid w:val="002D34F5"/>
    <w:rsid w:val="002D3507"/>
    <w:rsid w:val="002D355E"/>
    <w:rsid w:val="002D3728"/>
    <w:rsid w:val="002D3730"/>
    <w:rsid w:val="002D38E2"/>
    <w:rsid w:val="002D39DE"/>
    <w:rsid w:val="002D3A6F"/>
    <w:rsid w:val="002D3AB3"/>
    <w:rsid w:val="002D3CAC"/>
    <w:rsid w:val="002D3EC1"/>
    <w:rsid w:val="002D446D"/>
    <w:rsid w:val="002D4CA5"/>
    <w:rsid w:val="002D5443"/>
    <w:rsid w:val="002D55B1"/>
    <w:rsid w:val="002D56A3"/>
    <w:rsid w:val="002D5805"/>
    <w:rsid w:val="002D5814"/>
    <w:rsid w:val="002D5CA3"/>
    <w:rsid w:val="002D6182"/>
    <w:rsid w:val="002D6E53"/>
    <w:rsid w:val="002D6FB2"/>
    <w:rsid w:val="002D707E"/>
    <w:rsid w:val="002D72EC"/>
    <w:rsid w:val="002D7370"/>
    <w:rsid w:val="002D7485"/>
    <w:rsid w:val="002D7756"/>
    <w:rsid w:val="002D7A0E"/>
    <w:rsid w:val="002D7BBB"/>
    <w:rsid w:val="002D7CC8"/>
    <w:rsid w:val="002E0442"/>
    <w:rsid w:val="002E0593"/>
    <w:rsid w:val="002E066D"/>
    <w:rsid w:val="002E0765"/>
    <w:rsid w:val="002E078C"/>
    <w:rsid w:val="002E089B"/>
    <w:rsid w:val="002E0E03"/>
    <w:rsid w:val="002E1031"/>
    <w:rsid w:val="002E11A1"/>
    <w:rsid w:val="002E142F"/>
    <w:rsid w:val="002E1458"/>
    <w:rsid w:val="002E1959"/>
    <w:rsid w:val="002E1ED6"/>
    <w:rsid w:val="002E29E4"/>
    <w:rsid w:val="002E31D3"/>
    <w:rsid w:val="002E3432"/>
    <w:rsid w:val="002E34FA"/>
    <w:rsid w:val="002E36F5"/>
    <w:rsid w:val="002E3A1E"/>
    <w:rsid w:val="002E3D80"/>
    <w:rsid w:val="002E4151"/>
    <w:rsid w:val="002E4A68"/>
    <w:rsid w:val="002E4B50"/>
    <w:rsid w:val="002E4C7A"/>
    <w:rsid w:val="002E4DD5"/>
    <w:rsid w:val="002E4DD7"/>
    <w:rsid w:val="002E50F8"/>
    <w:rsid w:val="002E5209"/>
    <w:rsid w:val="002E5A89"/>
    <w:rsid w:val="002E5AF5"/>
    <w:rsid w:val="002E5B8F"/>
    <w:rsid w:val="002E5D65"/>
    <w:rsid w:val="002E6229"/>
    <w:rsid w:val="002E64C4"/>
    <w:rsid w:val="002E6C1A"/>
    <w:rsid w:val="002E6CA9"/>
    <w:rsid w:val="002E6EB5"/>
    <w:rsid w:val="002E6F96"/>
    <w:rsid w:val="002E7209"/>
    <w:rsid w:val="002E7556"/>
    <w:rsid w:val="002E75C8"/>
    <w:rsid w:val="002E76CD"/>
    <w:rsid w:val="002E7799"/>
    <w:rsid w:val="002E77C5"/>
    <w:rsid w:val="002E7B6D"/>
    <w:rsid w:val="002E7EED"/>
    <w:rsid w:val="002F019C"/>
    <w:rsid w:val="002F046D"/>
    <w:rsid w:val="002F060F"/>
    <w:rsid w:val="002F0927"/>
    <w:rsid w:val="002F0F58"/>
    <w:rsid w:val="002F1009"/>
    <w:rsid w:val="002F100A"/>
    <w:rsid w:val="002F1776"/>
    <w:rsid w:val="002F17BD"/>
    <w:rsid w:val="002F180E"/>
    <w:rsid w:val="002F194B"/>
    <w:rsid w:val="002F1BD4"/>
    <w:rsid w:val="002F1E02"/>
    <w:rsid w:val="002F233B"/>
    <w:rsid w:val="002F2789"/>
    <w:rsid w:val="002F29B0"/>
    <w:rsid w:val="002F2AC0"/>
    <w:rsid w:val="002F2B0C"/>
    <w:rsid w:val="002F2CB3"/>
    <w:rsid w:val="002F2FB2"/>
    <w:rsid w:val="002F3023"/>
    <w:rsid w:val="002F31A8"/>
    <w:rsid w:val="002F33F7"/>
    <w:rsid w:val="002F34DB"/>
    <w:rsid w:val="002F38CC"/>
    <w:rsid w:val="002F3929"/>
    <w:rsid w:val="002F3A4E"/>
    <w:rsid w:val="002F3B12"/>
    <w:rsid w:val="002F3BF4"/>
    <w:rsid w:val="002F3C06"/>
    <w:rsid w:val="002F3CFF"/>
    <w:rsid w:val="002F3E93"/>
    <w:rsid w:val="002F3E97"/>
    <w:rsid w:val="002F42A0"/>
    <w:rsid w:val="002F4B4C"/>
    <w:rsid w:val="002F4D14"/>
    <w:rsid w:val="002F52B5"/>
    <w:rsid w:val="002F5648"/>
    <w:rsid w:val="002F573E"/>
    <w:rsid w:val="002F5861"/>
    <w:rsid w:val="002F5F46"/>
    <w:rsid w:val="002F5FA9"/>
    <w:rsid w:val="002F6120"/>
    <w:rsid w:val="002F6731"/>
    <w:rsid w:val="002F68D7"/>
    <w:rsid w:val="002F6A61"/>
    <w:rsid w:val="002F6D87"/>
    <w:rsid w:val="002F6EDB"/>
    <w:rsid w:val="002F7395"/>
    <w:rsid w:val="002F7424"/>
    <w:rsid w:val="002F7AA9"/>
    <w:rsid w:val="002F7EF9"/>
    <w:rsid w:val="002F7F81"/>
    <w:rsid w:val="00300382"/>
    <w:rsid w:val="0030069C"/>
    <w:rsid w:val="0030078A"/>
    <w:rsid w:val="003009A2"/>
    <w:rsid w:val="00300D2D"/>
    <w:rsid w:val="00300E6E"/>
    <w:rsid w:val="00300E8F"/>
    <w:rsid w:val="00300EC2"/>
    <w:rsid w:val="00300F1D"/>
    <w:rsid w:val="0030129B"/>
    <w:rsid w:val="003013D4"/>
    <w:rsid w:val="003015ED"/>
    <w:rsid w:val="00301764"/>
    <w:rsid w:val="003017D1"/>
    <w:rsid w:val="00301EB9"/>
    <w:rsid w:val="003026C5"/>
    <w:rsid w:val="00302849"/>
    <w:rsid w:val="003028D6"/>
    <w:rsid w:val="00302A6A"/>
    <w:rsid w:val="00302F49"/>
    <w:rsid w:val="003031F6"/>
    <w:rsid w:val="003033BD"/>
    <w:rsid w:val="00303564"/>
    <w:rsid w:val="00303930"/>
    <w:rsid w:val="00303E09"/>
    <w:rsid w:val="003040BE"/>
    <w:rsid w:val="0030417C"/>
    <w:rsid w:val="003041B8"/>
    <w:rsid w:val="003041E2"/>
    <w:rsid w:val="00304501"/>
    <w:rsid w:val="003045BB"/>
    <w:rsid w:val="0030485F"/>
    <w:rsid w:val="0030494B"/>
    <w:rsid w:val="0030496F"/>
    <w:rsid w:val="00304A1F"/>
    <w:rsid w:val="00304B14"/>
    <w:rsid w:val="00304F2F"/>
    <w:rsid w:val="003055EC"/>
    <w:rsid w:val="00305837"/>
    <w:rsid w:val="00305A1A"/>
    <w:rsid w:val="0030602B"/>
    <w:rsid w:val="00306197"/>
    <w:rsid w:val="00306341"/>
    <w:rsid w:val="0030676B"/>
    <w:rsid w:val="00306882"/>
    <w:rsid w:val="003068FD"/>
    <w:rsid w:val="00306A8E"/>
    <w:rsid w:val="00306CFC"/>
    <w:rsid w:val="00306D10"/>
    <w:rsid w:val="00306DF2"/>
    <w:rsid w:val="00306ED2"/>
    <w:rsid w:val="00306F24"/>
    <w:rsid w:val="0030731A"/>
    <w:rsid w:val="00307360"/>
    <w:rsid w:val="00307ADC"/>
    <w:rsid w:val="00307D43"/>
    <w:rsid w:val="00307E6A"/>
    <w:rsid w:val="003104E4"/>
    <w:rsid w:val="003108A9"/>
    <w:rsid w:val="00311286"/>
    <w:rsid w:val="00311340"/>
    <w:rsid w:val="00311536"/>
    <w:rsid w:val="0031162E"/>
    <w:rsid w:val="00311685"/>
    <w:rsid w:val="00311832"/>
    <w:rsid w:val="00311AB2"/>
    <w:rsid w:val="00311D28"/>
    <w:rsid w:val="00311E83"/>
    <w:rsid w:val="003123FE"/>
    <w:rsid w:val="00312926"/>
    <w:rsid w:val="00312997"/>
    <w:rsid w:val="00312DD2"/>
    <w:rsid w:val="00312EC2"/>
    <w:rsid w:val="00312FE0"/>
    <w:rsid w:val="00312FE2"/>
    <w:rsid w:val="00313097"/>
    <w:rsid w:val="003132CD"/>
    <w:rsid w:val="003132D2"/>
    <w:rsid w:val="003136CD"/>
    <w:rsid w:val="00313980"/>
    <w:rsid w:val="003139F8"/>
    <w:rsid w:val="00313ADD"/>
    <w:rsid w:val="00313C0D"/>
    <w:rsid w:val="00313E2C"/>
    <w:rsid w:val="00313ECA"/>
    <w:rsid w:val="00314281"/>
    <w:rsid w:val="003142D5"/>
    <w:rsid w:val="003147CC"/>
    <w:rsid w:val="003149B6"/>
    <w:rsid w:val="00314BD5"/>
    <w:rsid w:val="00315352"/>
    <w:rsid w:val="003155A6"/>
    <w:rsid w:val="003155B4"/>
    <w:rsid w:val="003157E6"/>
    <w:rsid w:val="00315CDC"/>
    <w:rsid w:val="003162BD"/>
    <w:rsid w:val="00316377"/>
    <w:rsid w:val="003163C6"/>
    <w:rsid w:val="0031656C"/>
    <w:rsid w:val="00316AB5"/>
    <w:rsid w:val="00316ACF"/>
    <w:rsid w:val="00316DBC"/>
    <w:rsid w:val="00316DD4"/>
    <w:rsid w:val="00316F48"/>
    <w:rsid w:val="0031707A"/>
    <w:rsid w:val="003172AD"/>
    <w:rsid w:val="00317461"/>
    <w:rsid w:val="00317560"/>
    <w:rsid w:val="00317739"/>
    <w:rsid w:val="0031774B"/>
    <w:rsid w:val="00317933"/>
    <w:rsid w:val="00317B86"/>
    <w:rsid w:val="00317BE3"/>
    <w:rsid w:val="00317DA2"/>
    <w:rsid w:val="003200E3"/>
    <w:rsid w:val="0032032F"/>
    <w:rsid w:val="00320519"/>
    <w:rsid w:val="00320546"/>
    <w:rsid w:val="003206A6"/>
    <w:rsid w:val="00320901"/>
    <w:rsid w:val="0032137E"/>
    <w:rsid w:val="0032158D"/>
    <w:rsid w:val="00321A81"/>
    <w:rsid w:val="003229D8"/>
    <w:rsid w:val="00322CBA"/>
    <w:rsid w:val="00323040"/>
    <w:rsid w:val="003230EB"/>
    <w:rsid w:val="003233AC"/>
    <w:rsid w:val="0032342D"/>
    <w:rsid w:val="003235CC"/>
    <w:rsid w:val="00323A25"/>
    <w:rsid w:val="00323B13"/>
    <w:rsid w:val="00323E6D"/>
    <w:rsid w:val="00324048"/>
    <w:rsid w:val="003240CD"/>
    <w:rsid w:val="003246F1"/>
    <w:rsid w:val="00324839"/>
    <w:rsid w:val="00324D7E"/>
    <w:rsid w:val="00324E95"/>
    <w:rsid w:val="003250C8"/>
    <w:rsid w:val="0032525F"/>
    <w:rsid w:val="0032542A"/>
    <w:rsid w:val="00325503"/>
    <w:rsid w:val="0032589D"/>
    <w:rsid w:val="00325FE9"/>
    <w:rsid w:val="00325FF2"/>
    <w:rsid w:val="0032606C"/>
    <w:rsid w:val="0032659F"/>
    <w:rsid w:val="0032662D"/>
    <w:rsid w:val="00326B8E"/>
    <w:rsid w:val="00326BE7"/>
    <w:rsid w:val="00326F37"/>
    <w:rsid w:val="00327130"/>
    <w:rsid w:val="0032717A"/>
    <w:rsid w:val="003275C3"/>
    <w:rsid w:val="0032782A"/>
    <w:rsid w:val="00327B81"/>
    <w:rsid w:val="00327BD8"/>
    <w:rsid w:val="00327DFE"/>
    <w:rsid w:val="00330100"/>
    <w:rsid w:val="00330213"/>
    <w:rsid w:val="003303AB"/>
    <w:rsid w:val="003303E1"/>
    <w:rsid w:val="00330422"/>
    <w:rsid w:val="003304C8"/>
    <w:rsid w:val="00330C8F"/>
    <w:rsid w:val="00331381"/>
    <w:rsid w:val="00331535"/>
    <w:rsid w:val="00331559"/>
    <w:rsid w:val="0033179F"/>
    <w:rsid w:val="0033184E"/>
    <w:rsid w:val="00331869"/>
    <w:rsid w:val="003319CB"/>
    <w:rsid w:val="00331F83"/>
    <w:rsid w:val="00332197"/>
    <w:rsid w:val="0033222A"/>
    <w:rsid w:val="0033229F"/>
    <w:rsid w:val="0033244B"/>
    <w:rsid w:val="00333133"/>
    <w:rsid w:val="00333449"/>
    <w:rsid w:val="003338F8"/>
    <w:rsid w:val="00333D1B"/>
    <w:rsid w:val="003343F9"/>
    <w:rsid w:val="00334499"/>
    <w:rsid w:val="00334599"/>
    <w:rsid w:val="0033479D"/>
    <w:rsid w:val="0033480B"/>
    <w:rsid w:val="00334A2E"/>
    <w:rsid w:val="00334DC9"/>
    <w:rsid w:val="00334DDC"/>
    <w:rsid w:val="00334E75"/>
    <w:rsid w:val="003355DC"/>
    <w:rsid w:val="00335791"/>
    <w:rsid w:val="00335B7D"/>
    <w:rsid w:val="00335C68"/>
    <w:rsid w:val="00335DF3"/>
    <w:rsid w:val="003360BB"/>
    <w:rsid w:val="00336423"/>
    <w:rsid w:val="00336469"/>
    <w:rsid w:val="0033648D"/>
    <w:rsid w:val="003364F3"/>
    <w:rsid w:val="0033657F"/>
    <w:rsid w:val="003365EC"/>
    <w:rsid w:val="003367E0"/>
    <w:rsid w:val="003368E2"/>
    <w:rsid w:val="00336B7E"/>
    <w:rsid w:val="00336C97"/>
    <w:rsid w:val="00336D13"/>
    <w:rsid w:val="00336EF6"/>
    <w:rsid w:val="00336F14"/>
    <w:rsid w:val="00337451"/>
    <w:rsid w:val="00337696"/>
    <w:rsid w:val="00337B75"/>
    <w:rsid w:val="00337D74"/>
    <w:rsid w:val="00337F1A"/>
    <w:rsid w:val="00337F88"/>
    <w:rsid w:val="003401C6"/>
    <w:rsid w:val="003401F4"/>
    <w:rsid w:val="00340236"/>
    <w:rsid w:val="003402F6"/>
    <w:rsid w:val="003405E1"/>
    <w:rsid w:val="003406B7"/>
    <w:rsid w:val="003406D6"/>
    <w:rsid w:val="00340A36"/>
    <w:rsid w:val="00340C39"/>
    <w:rsid w:val="00340DDB"/>
    <w:rsid w:val="00340F6E"/>
    <w:rsid w:val="0034123F"/>
    <w:rsid w:val="00341362"/>
    <w:rsid w:val="00341370"/>
    <w:rsid w:val="003416A4"/>
    <w:rsid w:val="003419D5"/>
    <w:rsid w:val="00341ACF"/>
    <w:rsid w:val="00341F3D"/>
    <w:rsid w:val="00342127"/>
    <w:rsid w:val="00342152"/>
    <w:rsid w:val="00342432"/>
    <w:rsid w:val="003426D5"/>
    <w:rsid w:val="00342880"/>
    <w:rsid w:val="003428B6"/>
    <w:rsid w:val="00342A5E"/>
    <w:rsid w:val="00342BAE"/>
    <w:rsid w:val="00343225"/>
    <w:rsid w:val="0034324C"/>
    <w:rsid w:val="00343478"/>
    <w:rsid w:val="003434FB"/>
    <w:rsid w:val="00343A78"/>
    <w:rsid w:val="00344160"/>
    <w:rsid w:val="0034429F"/>
    <w:rsid w:val="00344383"/>
    <w:rsid w:val="00344575"/>
    <w:rsid w:val="003448E7"/>
    <w:rsid w:val="00344CEA"/>
    <w:rsid w:val="00344FB0"/>
    <w:rsid w:val="00345129"/>
    <w:rsid w:val="0034513D"/>
    <w:rsid w:val="003451B8"/>
    <w:rsid w:val="00345AD0"/>
    <w:rsid w:val="00345BA7"/>
    <w:rsid w:val="00345D0A"/>
    <w:rsid w:val="00345E71"/>
    <w:rsid w:val="00345ECB"/>
    <w:rsid w:val="00345F9D"/>
    <w:rsid w:val="003463CD"/>
    <w:rsid w:val="0034659E"/>
    <w:rsid w:val="003468E0"/>
    <w:rsid w:val="00346B22"/>
    <w:rsid w:val="00346B34"/>
    <w:rsid w:val="00346B56"/>
    <w:rsid w:val="003471E7"/>
    <w:rsid w:val="003473A0"/>
    <w:rsid w:val="00347410"/>
    <w:rsid w:val="00347569"/>
    <w:rsid w:val="003478B0"/>
    <w:rsid w:val="00347BA6"/>
    <w:rsid w:val="00347C28"/>
    <w:rsid w:val="00347EE1"/>
    <w:rsid w:val="00347F94"/>
    <w:rsid w:val="003500C9"/>
    <w:rsid w:val="0035045C"/>
    <w:rsid w:val="003506FE"/>
    <w:rsid w:val="00350FE1"/>
    <w:rsid w:val="0035179D"/>
    <w:rsid w:val="00351CDF"/>
    <w:rsid w:val="00351E7A"/>
    <w:rsid w:val="00351F42"/>
    <w:rsid w:val="0035223F"/>
    <w:rsid w:val="0035228E"/>
    <w:rsid w:val="003522C5"/>
    <w:rsid w:val="00352368"/>
    <w:rsid w:val="00352716"/>
    <w:rsid w:val="00352D4B"/>
    <w:rsid w:val="00352E0C"/>
    <w:rsid w:val="00352EB7"/>
    <w:rsid w:val="00352FD2"/>
    <w:rsid w:val="0035305D"/>
    <w:rsid w:val="0035344E"/>
    <w:rsid w:val="003534B0"/>
    <w:rsid w:val="00353C4B"/>
    <w:rsid w:val="00353E0A"/>
    <w:rsid w:val="00353EED"/>
    <w:rsid w:val="00353F39"/>
    <w:rsid w:val="003541CB"/>
    <w:rsid w:val="003546A1"/>
    <w:rsid w:val="00354AC0"/>
    <w:rsid w:val="00354B69"/>
    <w:rsid w:val="00354DB7"/>
    <w:rsid w:val="00354E57"/>
    <w:rsid w:val="0035558A"/>
    <w:rsid w:val="003558AC"/>
    <w:rsid w:val="003558EF"/>
    <w:rsid w:val="00355933"/>
    <w:rsid w:val="00355A1A"/>
    <w:rsid w:val="00355D51"/>
    <w:rsid w:val="00356365"/>
    <w:rsid w:val="0035638C"/>
    <w:rsid w:val="0035678E"/>
    <w:rsid w:val="00356793"/>
    <w:rsid w:val="0035690E"/>
    <w:rsid w:val="00356C17"/>
    <w:rsid w:val="00356C66"/>
    <w:rsid w:val="00356C68"/>
    <w:rsid w:val="00356EEE"/>
    <w:rsid w:val="00357040"/>
    <w:rsid w:val="0035713E"/>
    <w:rsid w:val="00357484"/>
    <w:rsid w:val="0035763D"/>
    <w:rsid w:val="00357766"/>
    <w:rsid w:val="00360164"/>
    <w:rsid w:val="00361012"/>
    <w:rsid w:val="003610DF"/>
    <w:rsid w:val="0036126D"/>
    <w:rsid w:val="003612B5"/>
    <w:rsid w:val="00361866"/>
    <w:rsid w:val="0036188A"/>
    <w:rsid w:val="003619ED"/>
    <w:rsid w:val="00361A7F"/>
    <w:rsid w:val="00361DC9"/>
    <w:rsid w:val="0036208E"/>
    <w:rsid w:val="0036279E"/>
    <w:rsid w:val="00362AFD"/>
    <w:rsid w:val="00362DD7"/>
    <w:rsid w:val="00363097"/>
    <w:rsid w:val="00363381"/>
    <w:rsid w:val="00363486"/>
    <w:rsid w:val="0036348D"/>
    <w:rsid w:val="003634FA"/>
    <w:rsid w:val="00363B01"/>
    <w:rsid w:val="00363F6C"/>
    <w:rsid w:val="003641AF"/>
    <w:rsid w:val="0036444A"/>
    <w:rsid w:val="00364AB1"/>
    <w:rsid w:val="00364B58"/>
    <w:rsid w:val="00364B64"/>
    <w:rsid w:val="00364E49"/>
    <w:rsid w:val="00365492"/>
    <w:rsid w:val="0036597D"/>
    <w:rsid w:val="00365B86"/>
    <w:rsid w:val="0036618E"/>
    <w:rsid w:val="003661ED"/>
    <w:rsid w:val="0036625E"/>
    <w:rsid w:val="00366439"/>
    <w:rsid w:val="0036693F"/>
    <w:rsid w:val="00366A47"/>
    <w:rsid w:val="00366C87"/>
    <w:rsid w:val="00366E25"/>
    <w:rsid w:val="00366E7D"/>
    <w:rsid w:val="00367072"/>
    <w:rsid w:val="0036713E"/>
    <w:rsid w:val="0036714B"/>
    <w:rsid w:val="0036762F"/>
    <w:rsid w:val="003676C3"/>
    <w:rsid w:val="003676EE"/>
    <w:rsid w:val="0036796B"/>
    <w:rsid w:val="00367CB1"/>
    <w:rsid w:val="00367EB7"/>
    <w:rsid w:val="00370059"/>
    <w:rsid w:val="0037022A"/>
    <w:rsid w:val="0037038D"/>
    <w:rsid w:val="00370550"/>
    <w:rsid w:val="003705D3"/>
    <w:rsid w:val="003710A0"/>
    <w:rsid w:val="003710D0"/>
    <w:rsid w:val="00371387"/>
    <w:rsid w:val="0037162A"/>
    <w:rsid w:val="00371697"/>
    <w:rsid w:val="00371851"/>
    <w:rsid w:val="00371AB3"/>
    <w:rsid w:val="00372456"/>
    <w:rsid w:val="00372497"/>
    <w:rsid w:val="00372752"/>
    <w:rsid w:val="00372BDF"/>
    <w:rsid w:val="00372ED6"/>
    <w:rsid w:val="00372F85"/>
    <w:rsid w:val="003730ED"/>
    <w:rsid w:val="003731C4"/>
    <w:rsid w:val="00373488"/>
    <w:rsid w:val="00373511"/>
    <w:rsid w:val="00373721"/>
    <w:rsid w:val="00373989"/>
    <w:rsid w:val="00373AF5"/>
    <w:rsid w:val="00374859"/>
    <w:rsid w:val="00374A86"/>
    <w:rsid w:val="00374C98"/>
    <w:rsid w:val="003753E8"/>
    <w:rsid w:val="00375459"/>
    <w:rsid w:val="00375527"/>
    <w:rsid w:val="0037572F"/>
    <w:rsid w:val="00375797"/>
    <w:rsid w:val="00375847"/>
    <w:rsid w:val="00375D77"/>
    <w:rsid w:val="003760D2"/>
    <w:rsid w:val="00376247"/>
    <w:rsid w:val="00376367"/>
    <w:rsid w:val="003763F7"/>
    <w:rsid w:val="00376A55"/>
    <w:rsid w:val="00376FA1"/>
    <w:rsid w:val="00377484"/>
    <w:rsid w:val="003774D4"/>
    <w:rsid w:val="003776C4"/>
    <w:rsid w:val="003776F1"/>
    <w:rsid w:val="00377B34"/>
    <w:rsid w:val="00377CEF"/>
    <w:rsid w:val="00377DE9"/>
    <w:rsid w:val="00377F47"/>
    <w:rsid w:val="0038014D"/>
    <w:rsid w:val="003802EB"/>
    <w:rsid w:val="00380374"/>
    <w:rsid w:val="00380589"/>
    <w:rsid w:val="0038088A"/>
    <w:rsid w:val="003809D2"/>
    <w:rsid w:val="00380D07"/>
    <w:rsid w:val="003810E3"/>
    <w:rsid w:val="003812A9"/>
    <w:rsid w:val="00381325"/>
    <w:rsid w:val="00381A51"/>
    <w:rsid w:val="00381AE0"/>
    <w:rsid w:val="0038242B"/>
    <w:rsid w:val="00382511"/>
    <w:rsid w:val="0038281F"/>
    <w:rsid w:val="00382D34"/>
    <w:rsid w:val="00382FDB"/>
    <w:rsid w:val="003830B9"/>
    <w:rsid w:val="0038336C"/>
    <w:rsid w:val="00383419"/>
    <w:rsid w:val="00383536"/>
    <w:rsid w:val="003836FF"/>
    <w:rsid w:val="00383905"/>
    <w:rsid w:val="00383962"/>
    <w:rsid w:val="00383970"/>
    <w:rsid w:val="003842BE"/>
    <w:rsid w:val="0038460B"/>
    <w:rsid w:val="003849A5"/>
    <w:rsid w:val="00384AB2"/>
    <w:rsid w:val="00384E6F"/>
    <w:rsid w:val="00384EA9"/>
    <w:rsid w:val="00384FFB"/>
    <w:rsid w:val="003854B5"/>
    <w:rsid w:val="003855B5"/>
    <w:rsid w:val="003857B0"/>
    <w:rsid w:val="003857C6"/>
    <w:rsid w:val="00385C5F"/>
    <w:rsid w:val="00385CB6"/>
    <w:rsid w:val="00385F2D"/>
    <w:rsid w:val="0038600B"/>
    <w:rsid w:val="003862FF"/>
    <w:rsid w:val="00386469"/>
    <w:rsid w:val="003867D0"/>
    <w:rsid w:val="00386E80"/>
    <w:rsid w:val="0038727D"/>
    <w:rsid w:val="0038769B"/>
    <w:rsid w:val="00387833"/>
    <w:rsid w:val="003879B6"/>
    <w:rsid w:val="00387F17"/>
    <w:rsid w:val="003900FE"/>
    <w:rsid w:val="003902CD"/>
    <w:rsid w:val="00390536"/>
    <w:rsid w:val="00390929"/>
    <w:rsid w:val="00390E47"/>
    <w:rsid w:val="00391275"/>
    <w:rsid w:val="00391490"/>
    <w:rsid w:val="003915C3"/>
    <w:rsid w:val="003918ED"/>
    <w:rsid w:val="00391A83"/>
    <w:rsid w:val="00391BDF"/>
    <w:rsid w:val="00391EA7"/>
    <w:rsid w:val="003920B2"/>
    <w:rsid w:val="003927C2"/>
    <w:rsid w:val="00392AFB"/>
    <w:rsid w:val="00392EF3"/>
    <w:rsid w:val="003931B0"/>
    <w:rsid w:val="003936EA"/>
    <w:rsid w:val="00393A80"/>
    <w:rsid w:val="00393C4D"/>
    <w:rsid w:val="00393CB6"/>
    <w:rsid w:val="00393DD6"/>
    <w:rsid w:val="00393E27"/>
    <w:rsid w:val="00393E9A"/>
    <w:rsid w:val="003944E9"/>
    <w:rsid w:val="00394738"/>
    <w:rsid w:val="00394787"/>
    <w:rsid w:val="003948DE"/>
    <w:rsid w:val="00394D24"/>
    <w:rsid w:val="00394D5D"/>
    <w:rsid w:val="00394E58"/>
    <w:rsid w:val="00394EE4"/>
    <w:rsid w:val="0039513F"/>
    <w:rsid w:val="003951AD"/>
    <w:rsid w:val="00395734"/>
    <w:rsid w:val="00395CFB"/>
    <w:rsid w:val="00395D67"/>
    <w:rsid w:val="00396EE3"/>
    <w:rsid w:val="0039702B"/>
    <w:rsid w:val="00397072"/>
    <w:rsid w:val="00397752"/>
    <w:rsid w:val="00397C0F"/>
    <w:rsid w:val="00397C23"/>
    <w:rsid w:val="00397D0A"/>
    <w:rsid w:val="00397E5F"/>
    <w:rsid w:val="003A044C"/>
    <w:rsid w:val="003A0A57"/>
    <w:rsid w:val="003A0E95"/>
    <w:rsid w:val="003A1274"/>
    <w:rsid w:val="003A14B1"/>
    <w:rsid w:val="003A14CB"/>
    <w:rsid w:val="003A164A"/>
    <w:rsid w:val="003A16F4"/>
    <w:rsid w:val="003A1B9D"/>
    <w:rsid w:val="003A1C67"/>
    <w:rsid w:val="003A1D38"/>
    <w:rsid w:val="003A1EEC"/>
    <w:rsid w:val="003A2541"/>
    <w:rsid w:val="003A267B"/>
    <w:rsid w:val="003A27BE"/>
    <w:rsid w:val="003A28BC"/>
    <w:rsid w:val="003A2C71"/>
    <w:rsid w:val="003A3C94"/>
    <w:rsid w:val="003A43D0"/>
    <w:rsid w:val="003A46BB"/>
    <w:rsid w:val="003A49EB"/>
    <w:rsid w:val="003A4B67"/>
    <w:rsid w:val="003A4BB8"/>
    <w:rsid w:val="003A4CF0"/>
    <w:rsid w:val="003A4EC7"/>
    <w:rsid w:val="003A54CF"/>
    <w:rsid w:val="003A55ED"/>
    <w:rsid w:val="003A57C5"/>
    <w:rsid w:val="003A5887"/>
    <w:rsid w:val="003A5AD0"/>
    <w:rsid w:val="003A5F96"/>
    <w:rsid w:val="003A6194"/>
    <w:rsid w:val="003A6468"/>
    <w:rsid w:val="003A6D08"/>
    <w:rsid w:val="003A6EC7"/>
    <w:rsid w:val="003A7295"/>
    <w:rsid w:val="003A7AAC"/>
    <w:rsid w:val="003A7B30"/>
    <w:rsid w:val="003A7B94"/>
    <w:rsid w:val="003A7C8A"/>
    <w:rsid w:val="003A7DB9"/>
    <w:rsid w:val="003A7E21"/>
    <w:rsid w:val="003B04E4"/>
    <w:rsid w:val="003B056C"/>
    <w:rsid w:val="003B078B"/>
    <w:rsid w:val="003B0909"/>
    <w:rsid w:val="003B0914"/>
    <w:rsid w:val="003B0AB6"/>
    <w:rsid w:val="003B0D96"/>
    <w:rsid w:val="003B0FD3"/>
    <w:rsid w:val="003B134D"/>
    <w:rsid w:val="003B13D4"/>
    <w:rsid w:val="003B162C"/>
    <w:rsid w:val="003B1AAD"/>
    <w:rsid w:val="003B1ABB"/>
    <w:rsid w:val="003B1B8E"/>
    <w:rsid w:val="003B1DCD"/>
    <w:rsid w:val="003B1EC2"/>
    <w:rsid w:val="003B1F60"/>
    <w:rsid w:val="003B1FED"/>
    <w:rsid w:val="003B20CD"/>
    <w:rsid w:val="003B234B"/>
    <w:rsid w:val="003B2709"/>
    <w:rsid w:val="003B2946"/>
    <w:rsid w:val="003B299E"/>
    <w:rsid w:val="003B2CE9"/>
    <w:rsid w:val="003B2DD0"/>
    <w:rsid w:val="003B2DDB"/>
    <w:rsid w:val="003B312E"/>
    <w:rsid w:val="003B3A1B"/>
    <w:rsid w:val="003B3A92"/>
    <w:rsid w:val="003B3B0F"/>
    <w:rsid w:val="003B3CB6"/>
    <w:rsid w:val="003B44F8"/>
    <w:rsid w:val="003B454B"/>
    <w:rsid w:val="003B4598"/>
    <w:rsid w:val="003B46B6"/>
    <w:rsid w:val="003B48D7"/>
    <w:rsid w:val="003B4CC1"/>
    <w:rsid w:val="003B4EF2"/>
    <w:rsid w:val="003B5060"/>
    <w:rsid w:val="003B50B6"/>
    <w:rsid w:val="003B534D"/>
    <w:rsid w:val="003B5596"/>
    <w:rsid w:val="003B5638"/>
    <w:rsid w:val="003B5680"/>
    <w:rsid w:val="003B595C"/>
    <w:rsid w:val="003B5A66"/>
    <w:rsid w:val="003B5AB2"/>
    <w:rsid w:val="003B5AC0"/>
    <w:rsid w:val="003B5B32"/>
    <w:rsid w:val="003B5C4B"/>
    <w:rsid w:val="003B6307"/>
    <w:rsid w:val="003B6859"/>
    <w:rsid w:val="003B6B69"/>
    <w:rsid w:val="003B704C"/>
    <w:rsid w:val="003B711A"/>
    <w:rsid w:val="003B722A"/>
    <w:rsid w:val="003B7385"/>
    <w:rsid w:val="003B7770"/>
    <w:rsid w:val="003B784F"/>
    <w:rsid w:val="003B7BA1"/>
    <w:rsid w:val="003B7D6C"/>
    <w:rsid w:val="003C0133"/>
    <w:rsid w:val="003C01EE"/>
    <w:rsid w:val="003C0267"/>
    <w:rsid w:val="003C0395"/>
    <w:rsid w:val="003C06CD"/>
    <w:rsid w:val="003C079A"/>
    <w:rsid w:val="003C09CB"/>
    <w:rsid w:val="003C0B0F"/>
    <w:rsid w:val="003C0B24"/>
    <w:rsid w:val="003C0C04"/>
    <w:rsid w:val="003C0E2E"/>
    <w:rsid w:val="003C0EA8"/>
    <w:rsid w:val="003C1489"/>
    <w:rsid w:val="003C190E"/>
    <w:rsid w:val="003C1EF9"/>
    <w:rsid w:val="003C1FDC"/>
    <w:rsid w:val="003C203F"/>
    <w:rsid w:val="003C227C"/>
    <w:rsid w:val="003C22CC"/>
    <w:rsid w:val="003C22F3"/>
    <w:rsid w:val="003C2515"/>
    <w:rsid w:val="003C25E9"/>
    <w:rsid w:val="003C26CE"/>
    <w:rsid w:val="003C2797"/>
    <w:rsid w:val="003C29B0"/>
    <w:rsid w:val="003C2C4B"/>
    <w:rsid w:val="003C2CC4"/>
    <w:rsid w:val="003C2EDD"/>
    <w:rsid w:val="003C2F21"/>
    <w:rsid w:val="003C2F90"/>
    <w:rsid w:val="003C33FC"/>
    <w:rsid w:val="003C375B"/>
    <w:rsid w:val="003C37DF"/>
    <w:rsid w:val="003C3A3C"/>
    <w:rsid w:val="003C3DD4"/>
    <w:rsid w:val="003C44E8"/>
    <w:rsid w:val="003C45D1"/>
    <w:rsid w:val="003C4BC9"/>
    <w:rsid w:val="003C4CDE"/>
    <w:rsid w:val="003C509A"/>
    <w:rsid w:val="003C5538"/>
    <w:rsid w:val="003C5616"/>
    <w:rsid w:val="003C592D"/>
    <w:rsid w:val="003C5A69"/>
    <w:rsid w:val="003C639D"/>
    <w:rsid w:val="003C67E9"/>
    <w:rsid w:val="003C6DCE"/>
    <w:rsid w:val="003C7077"/>
    <w:rsid w:val="003C7090"/>
    <w:rsid w:val="003C7187"/>
    <w:rsid w:val="003C7C4E"/>
    <w:rsid w:val="003C7E3C"/>
    <w:rsid w:val="003D024D"/>
    <w:rsid w:val="003D0273"/>
    <w:rsid w:val="003D03F6"/>
    <w:rsid w:val="003D0498"/>
    <w:rsid w:val="003D08D3"/>
    <w:rsid w:val="003D0C42"/>
    <w:rsid w:val="003D0EC8"/>
    <w:rsid w:val="003D1148"/>
    <w:rsid w:val="003D11F2"/>
    <w:rsid w:val="003D13E5"/>
    <w:rsid w:val="003D1415"/>
    <w:rsid w:val="003D141D"/>
    <w:rsid w:val="003D1462"/>
    <w:rsid w:val="003D14FE"/>
    <w:rsid w:val="003D1570"/>
    <w:rsid w:val="003D15AD"/>
    <w:rsid w:val="003D171C"/>
    <w:rsid w:val="003D1862"/>
    <w:rsid w:val="003D1FF1"/>
    <w:rsid w:val="003D21FD"/>
    <w:rsid w:val="003D2B90"/>
    <w:rsid w:val="003D2CB7"/>
    <w:rsid w:val="003D2F44"/>
    <w:rsid w:val="003D2F65"/>
    <w:rsid w:val="003D3026"/>
    <w:rsid w:val="003D36C8"/>
    <w:rsid w:val="003D385B"/>
    <w:rsid w:val="003D3960"/>
    <w:rsid w:val="003D3B97"/>
    <w:rsid w:val="003D3D7E"/>
    <w:rsid w:val="003D3E65"/>
    <w:rsid w:val="003D43CB"/>
    <w:rsid w:val="003D4B23"/>
    <w:rsid w:val="003D4CEE"/>
    <w:rsid w:val="003D4DD5"/>
    <w:rsid w:val="003D5246"/>
    <w:rsid w:val="003D53FE"/>
    <w:rsid w:val="003D579C"/>
    <w:rsid w:val="003D5906"/>
    <w:rsid w:val="003D5AFA"/>
    <w:rsid w:val="003D5B60"/>
    <w:rsid w:val="003D5C4F"/>
    <w:rsid w:val="003D5DA7"/>
    <w:rsid w:val="003D63FB"/>
    <w:rsid w:val="003D66F8"/>
    <w:rsid w:val="003D6788"/>
    <w:rsid w:val="003D6CBB"/>
    <w:rsid w:val="003D6DF8"/>
    <w:rsid w:val="003D6E15"/>
    <w:rsid w:val="003D6FC3"/>
    <w:rsid w:val="003D782F"/>
    <w:rsid w:val="003D7910"/>
    <w:rsid w:val="003D7BCE"/>
    <w:rsid w:val="003D7C40"/>
    <w:rsid w:val="003D7D50"/>
    <w:rsid w:val="003D7EC3"/>
    <w:rsid w:val="003E016A"/>
    <w:rsid w:val="003E0275"/>
    <w:rsid w:val="003E0FE3"/>
    <w:rsid w:val="003E10AD"/>
    <w:rsid w:val="003E1135"/>
    <w:rsid w:val="003E1430"/>
    <w:rsid w:val="003E16E1"/>
    <w:rsid w:val="003E1AA5"/>
    <w:rsid w:val="003E1D5B"/>
    <w:rsid w:val="003E218C"/>
    <w:rsid w:val="003E220B"/>
    <w:rsid w:val="003E278A"/>
    <w:rsid w:val="003E2A65"/>
    <w:rsid w:val="003E35F6"/>
    <w:rsid w:val="003E3748"/>
    <w:rsid w:val="003E37A7"/>
    <w:rsid w:val="003E3843"/>
    <w:rsid w:val="003E38FE"/>
    <w:rsid w:val="003E3FC2"/>
    <w:rsid w:val="003E4088"/>
    <w:rsid w:val="003E4269"/>
    <w:rsid w:val="003E46D7"/>
    <w:rsid w:val="003E48A0"/>
    <w:rsid w:val="003E4AF0"/>
    <w:rsid w:val="003E4C3E"/>
    <w:rsid w:val="003E4E4C"/>
    <w:rsid w:val="003E54B8"/>
    <w:rsid w:val="003E55B9"/>
    <w:rsid w:val="003E56F0"/>
    <w:rsid w:val="003E5780"/>
    <w:rsid w:val="003E5AA8"/>
    <w:rsid w:val="003E5C1E"/>
    <w:rsid w:val="003E62D3"/>
    <w:rsid w:val="003E6362"/>
    <w:rsid w:val="003E669E"/>
    <w:rsid w:val="003E689C"/>
    <w:rsid w:val="003E69B6"/>
    <w:rsid w:val="003E6D24"/>
    <w:rsid w:val="003E6E35"/>
    <w:rsid w:val="003E7327"/>
    <w:rsid w:val="003E7A34"/>
    <w:rsid w:val="003E7AB0"/>
    <w:rsid w:val="003E7BE5"/>
    <w:rsid w:val="003E7C1C"/>
    <w:rsid w:val="003F0037"/>
    <w:rsid w:val="003F01ED"/>
    <w:rsid w:val="003F02C6"/>
    <w:rsid w:val="003F034C"/>
    <w:rsid w:val="003F05AE"/>
    <w:rsid w:val="003F0675"/>
    <w:rsid w:val="003F0841"/>
    <w:rsid w:val="003F0919"/>
    <w:rsid w:val="003F0C9B"/>
    <w:rsid w:val="003F0E67"/>
    <w:rsid w:val="003F1666"/>
    <w:rsid w:val="003F1C2F"/>
    <w:rsid w:val="003F1C37"/>
    <w:rsid w:val="003F1CDC"/>
    <w:rsid w:val="003F2073"/>
    <w:rsid w:val="003F25F4"/>
    <w:rsid w:val="003F28DF"/>
    <w:rsid w:val="003F2B8C"/>
    <w:rsid w:val="003F2CA3"/>
    <w:rsid w:val="003F30FE"/>
    <w:rsid w:val="003F328F"/>
    <w:rsid w:val="003F360D"/>
    <w:rsid w:val="003F38A7"/>
    <w:rsid w:val="003F3982"/>
    <w:rsid w:val="003F3A4B"/>
    <w:rsid w:val="003F3DE6"/>
    <w:rsid w:val="003F3E6D"/>
    <w:rsid w:val="003F4228"/>
    <w:rsid w:val="003F422F"/>
    <w:rsid w:val="003F433F"/>
    <w:rsid w:val="003F47AB"/>
    <w:rsid w:val="003F4A99"/>
    <w:rsid w:val="003F4E82"/>
    <w:rsid w:val="003F519D"/>
    <w:rsid w:val="003F5564"/>
    <w:rsid w:val="003F5AA4"/>
    <w:rsid w:val="003F5F4C"/>
    <w:rsid w:val="003F6232"/>
    <w:rsid w:val="003F6348"/>
    <w:rsid w:val="003F71BC"/>
    <w:rsid w:val="003F7212"/>
    <w:rsid w:val="003F7413"/>
    <w:rsid w:val="003F744B"/>
    <w:rsid w:val="003F771E"/>
    <w:rsid w:val="003F7A55"/>
    <w:rsid w:val="003F7AB8"/>
    <w:rsid w:val="003F7CBE"/>
    <w:rsid w:val="00400054"/>
    <w:rsid w:val="004005A8"/>
    <w:rsid w:val="004007F5"/>
    <w:rsid w:val="0040080E"/>
    <w:rsid w:val="00400B3A"/>
    <w:rsid w:val="004017FB"/>
    <w:rsid w:val="00401969"/>
    <w:rsid w:val="004019D7"/>
    <w:rsid w:val="00401BF2"/>
    <w:rsid w:val="00401BFA"/>
    <w:rsid w:val="00401DE3"/>
    <w:rsid w:val="00401F73"/>
    <w:rsid w:val="004023C0"/>
    <w:rsid w:val="0040245C"/>
    <w:rsid w:val="0040254B"/>
    <w:rsid w:val="00402D9D"/>
    <w:rsid w:val="00402FBC"/>
    <w:rsid w:val="004030F5"/>
    <w:rsid w:val="00403440"/>
    <w:rsid w:val="004037C4"/>
    <w:rsid w:val="004045E9"/>
    <w:rsid w:val="00404BA2"/>
    <w:rsid w:val="00404CEF"/>
    <w:rsid w:val="00404F23"/>
    <w:rsid w:val="004050D8"/>
    <w:rsid w:val="00405518"/>
    <w:rsid w:val="00405821"/>
    <w:rsid w:val="004058C3"/>
    <w:rsid w:val="0040597A"/>
    <w:rsid w:val="00405DBB"/>
    <w:rsid w:val="0040604B"/>
    <w:rsid w:val="00406233"/>
    <w:rsid w:val="00406333"/>
    <w:rsid w:val="004067D8"/>
    <w:rsid w:val="00406834"/>
    <w:rsid w:val="00406BEB"/>
    <w:rsid w:val="00406F1F"/>
    <w:rsid w:val="00406F9F"/>
    <w:rsid w:val="00406FDF"/>
    <w:rsid w:val="0040723F"/>
    <w:rsid w:val="004073B0"/>
    <w:rsid w:val="0040754C"/>
    <w:rsid w:val="00407950"/>
    <w:rsid w:val="00407AFF"/>
    <w:rsid w:val="00407B69"/>
    <w:rsid w:val="00410108"/>
    <w:rsid w:val="004103B0"/>
    <w:rsid w:val="00410601"/>
    <w:rsid w:val="004106CB"/>
    <w:rsid w:val="004108E1"/>
    <w:rsid w:val="00410A9A"/>
    <w:rsid w:val="00410E06"/>
    <w:rsid w:val="00410F92"/>
    <w:rsid w:val="0041115D"/>
    <w:rsid w:val="004112A2"/>
    <w:rsid w:val="0041141A"/>
    <w:rsid w:val="00411552"/>
    <w:rsid w:val="00411ABA"/>
    <w:rsid w:val="00411EED"/>
    <w:rsid w:val="0041234A"/>
    <w:rsid w:val="004124BB"/>
    <w:rsid w:val="004125F6"/>
    <w:rsid w:val="00412B3D"/>
    <w:rsid w:val="00412CFB"/>
    <w:rsid w:val="00412EFA"/>
    <w:rsid w:val="004131E0"/>
    <w:rsid w:val="00413376"/>
    <w:rsid w:val="00413520"/>
    <w:rsid w:val="0041372C"/>
    <w:rsid w:val="004138A4"/>
    <w:rsid w:val="00413AF4"/>
    <w:rsid w:val="00413F75"/>
    <w:rsid w:val="004140ED"/>
    <w:rsid w:val="00414694"/>
    <w:rsid w:val="004146BD"/>
    <w:rsid w:val="00414722"/>
    <w:rsid w:val="004149FD"/>
    <w:rsid w:val="00414A17"/>
    <w:rsid w:val="00414A93"/>
    <w:rsid w:val="00414AFC"/>
    <w:rsid w:val="00414B49"/>
    <w:rsid w:val="00414D98"/>
    <w:rsid w:val="00414DB2"/>
    <w:rsid w:val="00415137"/>
    <w:rsid w:val="00415299"/>
    <w:rsid w:val="004153BF"/>
    <w:rsid w:val="0041569F"/>
    <w:rsid w:val="0041577D"/>
    <w:rsid w:val="00415B79"/>
    <w:rsid w:val="00416008"/>
    <w:rsid w:val="00416709"/>
    <w:rsid w:val="00416A1D"/>
    <w:rsid w:val="00416F77"/>
    <w:rsid w:val="00417051"/>
    <w:rsid w:val="004170DA"/>
    <w:rsid w:val="00417337"/>
    <w:rsid w:val="00417372"/>
    <w:rsid w:val="004179AA"/>
    <w:rsid w:val="00417C5D"/>
    <w:rsid w:val="00420118"/>
    <w:rsid w:val="0042037A"/>
    <w:rsid w:val="0042041E"/>
    <w:rsid w:val="00420426"/>
    <w:rsid w:val="0042048A"/>
    <w:rsid w:val="004207AB"/>
    <w:rsid w:val="00420902"/>
    <w:rsid w:val="00420C8E"/>
    <w:rsid w:val="00421171"/>
    <w:rsid w:val="004212ED"/>
    <w:rsid w:val="00421897"/>
    <w:rsid w:val="004218AC"/>
    <w:rsid w:val="0042230D"/>
    <w:rsid w:val="00422815"/>
    <w:rsid w:val="00422BB0"/>
    <w:rsid w:val="00422E4E"/>
    <w:rsid w:val="00422F02"/>
    <w:rsid w:val="0042302F"/>
    <w:rsid w:val="004232EF"/>
    <w:rsid w:val="004233A8"/>
    <w:rsid w:val="004237F8"/>
    <w:rsid w:val="00423937"/>
    <w:rsid w:val="00423ABC"/>
    <w:rsid w:val="00423C7B"/>
    <w:rsid w:val="00423CA1"/>
    <w:rsid w:val="00423FBD"/>
    <w:rsid w:val="00424146"/>
    <w:rsid w:val="004241A8"/>
    <w:rsid w:val="0042423E"/>
    <w:rsid w:val="00424638"/>
    <w:rsid w:val="0042490F"/>
    <w:rsid w:val="004252EC"/>
    <w:rsid w:val="00425492"/>
    <w:rsid w:val="004254A0"/>
    <w:rsid w:val="0042551C"/>
    <w:rsid w:val="0042563A"/>
    <w:rsid w:val="0042570B"/>
    <w:rsid w:val="0042593C"/>
    <w:rsid w:val="00425A37"/>
    <w:rsid w:val="00425A5B"/>
    <w:rsid w:val="00425B12"/>
    <w:rsid w:val="00425C5A"/>
    <w:rsid w:val="0042624F"/>
    <w:rsid w:val="0042648C"/>
    <w:rsid w:val="004268C0"/>
    <w:rsid w:val="00426A4A"/>
    <w:rsid w:val="00426B6D"/>
    <w:rsid w:val="00426BAB"/>
    <w:rsid w:val="00427081"/>
    <w:rsid w:val="00427091"/>
    <w:rsid w:val="004276C4"/>
    <w:rsid w:val="004277A6"/>
    <w:rsid w:val="004278D4"/>
    <w:rsid w:val="00427DE6"/>
    <w:rsid w:val="004300A7"/>
    <w:rsid w:val="00430182"/>
    <w:rsid w:val="0043019D"/>
    <w:rsid w:val="004301C0"/>
    <w:rsid w:val="004303C8"/>
    <w:rsid w:val="0043051B"/>
    <w:rsid w:val="004305BB"/>
    <w:rsid w:val="0043063E"/>
    <w:rsid w:val="004308BA"/>
    <w:rsid w:val="00430E32"/>
    <w:rsid w:val="00430EF9"/>
    <w:rsid w:val="00430FB9"/>
    <w:rsid w:val="004310B9"/>
    <w:rsid w:val="00431340"/>
    <w:rsid w:val="00431453"/>
    <w:rsid w:val="00431584"/>
    <w:rsid w:val="004316FA"/>
    <w:rsid w:val="00431738"/>
    <w:rsid w:val="00431748"/>
    <w:rsid w:val="00431897"/>
    <w:rsid w:val="00431B79"/>
    <w:rsid w:val="00431F25"/>
    <w:rsid w:val="00432170"/>
    <w:rsid w:val="004325C8"/>
    <w:rsid w:val="004325CB"/>
    <w:rsid w:val="00432820"/>
    <w:rsid w:val="00432BD3"/>
    <w:rsid w:val="00432BDE"/>
    <w:rsid w:val="00432D5A"/>
    <w:rsid w:val="00432E09"/>
    <w:rsid w:val="00432E5D"/>
    <w:rsid w:val="00432ED2"/>
    <w:rsid w:val="004331CA"/>
    <w:rsid w:val="004331F6"/>
    <w:rsid w:val="0043339B"/>
    <w:rsid w:val="004335DC"/>
    <w:rsid w:val="00433732"/>
    <w:rsid w:val="004338B3"/>
    <w:rsid w:val="00433B66"/>
    <w:rsid w:val="00433B74"/>
    <w:rsid w:val="00433E65"/>
    <w:rsid w:val="004343CF"/>
    <w:rsid w:val="0043474D"/>
    <w:rsid w:val="00434A19"/>
    <w:rsid w:val="00434D81"/>
    <w:rsid w:val="004350EB"/>
    <w:rsid w:val="004351F7"/>
    <w:rsid w:val="00435682"/>
    <w:rsid w:val="00435704"/>
    <w:rsid w:val="00435809"/>
    <w:rsid w:val="00435D79"/>
    <w:rsid w:val="00435E78"/>
    <w:rsid w:val="00435FFB"/>
    <w:rsid w:val="004361EA"/>
    <w:rsid w:val="004364E7"/>
    <w:rsid w:val="004367B6"/>
    <w:rsid w:val="00436C7F"/>
    <w:rsid w:val="004370B2"/>
    <w:rsid w:val="004371BF"/>
    <w:rsid w:val="004371DA"/>
    <w:rsid w:val="004376FD"/>
    <w:rsid w:val="0043770B"/>
    <w:rsid w:val="0043771C"/>
    <w:rsid w:val="0043796C"/>
    <w:rsid w:val="004379DA"/>
    <w:rsid w:val="00437CCD"/>
    <w:rsid w:val="00437E83"/>
    <w:rsid w:val="00437EA5"/>
    <w:rsid w:val="00437F68"/>
    <w:rsid w:val="00440097"/>
    <w:rsid w:val="0044038B"/>
    <w:rsid w:val="00440628"/>
    <w:rsid w:val="00440A07"/>
    <w:rsid w:val="00440B17"/>
    <w:rsid w:val="00440BB9"/>
    <w:rsid w:val="00440EA4"/>
    <w:rsid w:val="00440F02"/>
    <w:rsid w:val="00440F25"/>
    <w:rsid w:val="00441EB0"/>
    <w:rsid w:val="0044203E"/>
    <w:rsid w:val="004420AE"/>
    <w:rsid w:val="004422CB"/>
    <w:rsid w:val="004422F1"/>
    <w:rsid w:val="004423F1"/>
    <w:rsid w:val="004426CA"/>
    <w:rsid w:val="004429CB"/>
    <w:rsid w:val="00442D7C"/>
    <w:rsid w:val="00442E43"/>
    <w:rsid w:val="0044309E"/>
    <w:rsid w:val="00443107"/>
    <w:rsid w:val="004432A2"/>
    <w:rsid w:val="00443318"/>
    <w:rsid w:val="00443333"/>
    <w:rsid w:val="0044344C"/>
    <w:rsid w:val="004438C6"/>
    <w:rsid w:val="00443967"/>
    <w:rsid w:val="00443A8C"/>
    <w:rsid w:val="00443EA5"/>
    <w:rsid w:val="004443B8"/>
    <w:rsid w:val="0044443A"/>
    <w:rsid w:val="004449B9"/>
    <w:rsid w:val="00444A34"/>
    <w:rsid w:val="00444B56"/>
    <w:rsid w:val="00444B75"/>
    <w:rsid w:val="00444C15"/>
    <w:rsid w:val="00445107"/>
    <w:rsid w:val="004452F2"/>
    <w:rsid w:val="0044535F"/>
    <w:rsid w:val="0044550E"/>
    <w:rsid w:val="004456B6"/>
    <w:rsid w:val="00445746"/>
    <w:rsid w:val="00445AB1"/>
    <w:rsid w:val="00445BF9"/>
    <w:rsid w:val="00445C24"/>
    <w:rsid w:val="00445DCC"/>
    <w:rsid w:val="00445F0A"/>
    <w:rsid w:val="00446046"/>
    <w:rsid w:val="0044634C"/>
    <w:rsid w:val="0044656C"/>
    <w:rsid w:val="00446720"/>
    <w:rsid w:val="0044689B"/>
    <w:rsid w:val="00446B83"/>
    <w:rsid w:val="00446E11"/>
    <w:rsid w:val="0044709C"/>
    <w:rsid w:val="00447227"/>
    <w:rsid w:val="004472C5"/>
    <w:rsid w:val="00447418"/>
    <w:rsid w:val="00447E67"/>
    <w:rsid w:val="0045047F"/>
    <w:rsid w:val="0045086F"/>
    <w:rsid w:val="00450A4E"/>
    <w:rsid w:val="00450BCB"/>
    <w:rsid w:val="00450FDC"/>
    <w:rsid w:val="00451060"/>
    <w:rsid w:val="00451351"/>
    <w:rsid w:val="004513FE"/>
    <w:rsid w:val="004519D3"/>
    <w:rsid w:val="00451AA8"/>
    <w:rsid w:val="00452755"/>
    <w:rsid w:val="00452C60"/>
    <w:rsid w:val="00452D32"/>
    <w:rsid w:val="00452D41"/>
    <w:rsid w:val="004532F0"/>
    <w:rsid w:val="0045385B"/>
    <w:rsid w:val="00453C1A"/>
    <w:rsid w:val="00453D1A"/>
    <w:rsid w:val="004540E0"/>
    <w:rsid w:val="004540F2"/>
    <w:rsid w:val="00454320"/>
    <w:rsid w:val="004546A2"/>
    <w:rsid w:val="004548DA"/>
    <w:rsid w:val="0045500C"/>
    <w:rsid w:val="00455219"/>
    <w:rsid w:val="0045529B"/>
    <w:rsid w:val="00455380"/>
    <w:rsid w:val="0045548F"/>
    <w:rsid w:val="00455572"/>
    <w:rsid w:val="00455620"/>
    <w:rsid w:val="004557B5"/>
    <w:rsid w:val="0045585D"/>
    <w:rsid w:val="0045594C"/>
    <w:rsid w:val="00455C23"/>
    <w:rsid w:val="0045678A"/>
    <w:rsid w:val="00456830"/>
    <w:rsid w:val="00456A43"/>
    <w:rsid w:val="004574BE"/>
    <w:rsid w:val="0045750E"/>
    <w:rsid w:val="00457633"/>
    <w:rsid w:val="004578CB"/>
    <w:rsid w:val="0045794B"/>
    <w:rsid w:val="00457EB7"/>
    <w:rsid w:val="00457F71"/>
    <w:rsid w:val="00460014"/>
    <w:rsid w:val="0046065E"/>
    <w:rsid w:val="004607A0"/>
    <w:rsid w:val="00460A3B"/>
    <w:rsid w:val="00460AF6"/>
    <w:rsid w:val="0046117D"/>
    <w:rsid w:val="004611EC"/>
    <w:rsid w:val="0046180C"/>
    <w:rsid w:val="0046189A"/>
    <w:rsid w:val="004618EA"/>
    <w:rsid w:val="00461D4E"/>
    <w:rsid w:val="00461F31"/>
    <w:rsid w:val="0046215A"/>
    <w:rsid w:val="0046266D"/>
    <w:rsid w:val="0046273F"/>
    <w:rsid w:val="00462763"/>
    <w:rsid w:val="004627A6"/>
    <w:rsid w:val="00462880"/>
    <w:rsid w:val="00462B5E"/>
    <w:rsid w:val="00462C8E"/>
    <w:rsid w:val="00462F44"/>
    <w:rsid w:val="00462F69"/>
    <w:rsid w:val="00463B84"/>
    <w:rsid w:val="00463C75"/>
    <w:rsid w:val="00463E00"/>
    <w:rsid w:val="004640F6"/>
    <w:rsid w:val="00464305"/>
    <w:rsid w:val="00464377"/>
    <w:rsid w:val="0046489A"/>
    <w:rsid w:val="004648E2"/>
    <w:rsid w:val="00464A3A"/>
    <w:rsid w:val="00464A89"/>
    <w:rsid w:val="00464CAE"/>
    <w:rsid w:val="00465051"/>
    <w:rsid w:val="004651E3"/>
    <w:rsid w:val="0046574D"/>
    <w:rsid w:val="004657C0"/>
    <w:rsid w:val="00465892"/>
    <w:rsid w:val="00465B4C"/>
    <w:rsid w:val="00465C53"/>
    <w:rsid w:val="00465D86"/>
    <w:rsid w:val="004662B7"/>
    <w:rsid w:val="004665CF"/>
    <w:rsid w:val="00466B14"/>
    <w:rsid w:val="00466B50"/>
    <w:rsid w:val="00466F01"/>
    <w:rsid w:val="00467672"/>
    <w:rsid w:val="004676B8"/>
    <w:rsid w:val="00467CDF"/>
    <w:rsid w:val="00467E95"/>
    <w:rsid w:val="004702BF"/>
    <w:rsid w:val="004703B7"/>
    <w:rsid w:val="004706F2"/>
    <w:rsid w:val="00470A43"/>
    <w:rsid w:val="00470A5A"/>
    <w:rsid w:val="00470D01"/>
    <w:rsid w:val="00470F55"/>
    <w:rsid w:val="00471113"/>
    <w:rsid w:val="0047116D"/>
    <w:rsid w:val="004711AE"/>
    <w:rsid w:val="004718D8"/>
    <w:rsid w:val="00471925"/>
    <w:rsid w:val="0047196B"/>
    <w:rsid w:val="0047196C"/>
    <w:rsid w:val="00471A01"/>
    <w:rsid w:val="0047236A"/>
    <w:rsid w:val="00472564"/>
    <w:rsid w:val="004725C2"/>
    <w:rsid w:val="00472C29"/>
    <w:rsid w:val="004733CE"/>
    <w:rsid w:val="00473796"/>
    <w:rsid w:val="004737D1"/>
    <w:rsid w:val="00473845"/>
    <w:rsid w:val="0047385B"/>
    <w:rsid w:val="00473A46"/>
    <w:rsid w:val="004743C1"/>
    <w:rsid w:val="00474760"/>
    <w:rsid w:val="00474DAD"/>
    <w:rsid w:val="00475344"/>
    <w:rsid w:val="00475525"/>
    <w:rsid w:val="00475C9F"/>
    <w:rsid w:val="00475FDD"/>
    <w:rsid w:val="0047609E"/>
    <w:rsid w:val="00476159"/>
    <w:rsid w:val="004761E6"/>
    <w:rsid w:val="00476411"/>
    <w:rsid w:val="004764DE"/>
    <w:rsid w:val="00476924"/>
    <w:rsid w:val="00476B46"/>
    <w:rsid w:val="00476B77"/>
    <w:rsid w:val="00476EB8"/>
    <w:rsid w:val="00476F24"/>
    <w:rsid w:val="00476F46"/>
    <w:rsid w:val="0047709A"/>
    <w:rsid w:val="0047743D"/>
    <w:rsid w:val="0047744D"/>
    <w:rsid w:val="00477489"/>
    <w:rsid w:val="00477847"/>
    <w:rsid w:val="0047786D"/>
    <w:rsid w:val="004778DF"/>
    <w:rsid w:val="00477954"/>
    <w:rsid w:val="00477BCE"/>
    <w:rsid w:val="00477C7A"/>
    <w:rsid w:val="0048001B"/>
    <w:rsid w:val="004800C8"/>
    <w:rsid w:val="00480578"/>
    <w:rsid w:val="00480875"/>
    <w:rsid w:val="00480AD2"/>
    <w:rsid w:val="00480F30"/>
    <w:rsid w:val="00480FB4"/>
    <w:rsid w:val="00480FF0"/>
    <w:rsid w:val="0048126A"/>
    <w:rsid w:val="00481407"/>
    <w:rsid w:val="00481753"/>
    <w:rsid w:val="0048193F"/>
    <w:rsid w:val="004819E0"/>
    <w:rsid w:val="00481C5C"/>
    <w:rsid w:val="00481DB1"/>
    <w:rsid w:val="00481E80"/>
    <w:rsid w:val="004822FC"/>
    <w:rsid w:val="004824A5"/>
    <w:rsid w:val="004827E6"/>
    <w:rsid w:val="004828BC"/>
    <w:rsid w:val="00482A14"/>
    <w:rsid w:val="00482A34"/>
    <w:rsid w:val="00482D5C"/>
    <w:rsid w:val="00482F14"/>
    <w:rsid w:val="00483044"/>
    <w:rsid w:val="00483745"/>
    <w:rsid w:val="00483755"/>
    <w:rsid w:val="004837FF"/>
    <w:rsid w:val="00483DB1"/>
    <w:rsid w:val="00483DE3"/>
    <w:rsid w:val="00484CD5"/>
    <w:rsid w:val="0048503A"/>
    <w:rsid w:val="00485120"/>
    <w:rsid w:val="004851D7"/>
    <w:rsid w:val="004855FD"/>
    <w:rsid w:val="00485874"/>
    <w:rsid w:val="00485DB1"/>
    <w:rsid w:val="00486A33"/>
    <w:rsid w:val="00486AC5"/>
    <w:rsid w:val="00486C5B"/>
    <w:rsid w:val="00486FB3"/>
    <w:rsid w:val="004870FA"/>
    <w:rsid w:val="0048736D"/>
    <w:rsid w:val="00487B23"/>
    <w:rsid w:val="00490078"/>
    <w:rsid w:val="004909C8"/>
    <w:rsid w:val="00490B7B"/>
    <w:rsid w:val="00490B81"/>
    <w:rsid w:val="00490C49"/>
    <w:rsid w:val="00490C70"/>
    <w:rsid w:val="004915B3"/>
    <w:rsid w:val="004917C7"/>
    <w:rsid w:val="004918B4"/>
    <w:rsid w:val="00491908"/>
    <w:rsid w:val="00491DD7"/>
    <w:rsid w:val="00492122"/>
    <w:rsid w:val="004921BC"/>
    <w:rsid w:val="0049276C"/>
    <w:rsid w:val="004928C6"/>
    <w:rsid w:val="00492CA2"/>
    <w:rsid w:val="00492FC3"/>
    <w:rsid w:val="004931BF"/>
    <w:rsid w:val="004931C7"/>
    <w:rsid w:val="0049340D"/>
    <w:rsid w:val="00493A3D"/>
    <w:rsid w:val="00493B6C"/>
    <w:rsid w:val="00494175"/>
    <w:rsid w:val="004948DA"/>
    <w:rsid w:val="0049494F"/>
    <w:rsid w:val="00494A08"/>
    <w:rsid w:val="00494C25"/>
    <w:rsid w:val="00494D6B"/>
    <w:rsid w:val="00494F73"/>
    <w:rsid w:val="0049518B"/>
    <w:rsid w:val="0049555D"/>
    <w:rsid w:val="004956FD"/>
    <w:rsid w:val="004958D4"/>
    <w:rsid w:val="00495957"/>
    <w:rsid w:val="00496148"/>
    <w:rsid w:val="004962EF"/>
    <w:rsid w:val="0049647A"/>
    <w:rsid w:val="00496576"/>
    <w:rsid w:val="00496AB7"/>
    <w:rsid w:val="00496B8E"/>
    <w:rsid w:val="00496E43"/>
    <w:rsid w:val="00497016"/>
    <w:rsid w:val="00497399"/>
    <w:rsid w:val="004978BF"/>
    <w:rsid w:val="00497ABF"/>
    <w:rsid w:val="00497B9D"/>
    <w:rsid w:val="00497D76"/>
    <w:rsid w:val="00497DB1"/>
    <w:rsid w:val="004A0273"/>
    <w:rsid w:val="004A05A0"/>
    <w:rsid w:val="004A075A"/>
    <w:rsid w:val="004A0797"/>
    <w:rsid w:val="004A0910"/>
    <w:rsid w:val="004A098A"/>
    <w:rsid w:val="004A0ADC"/>
    <w:rsid w:val="004A0C31"/>
    <w:rsid w:val="004A0C61"/>
    <w:rsid w:val="004A0F68"/>
    <w:rsid w:val="004A1138"/>
    <w:rsid w:val="004A1339"/>
    <w:rsid w:val="004A1402"/>
    <w:rsid w:val="004A1A92"/>
    <w:rsid w:val="004A1D49"/>
    <w:rsid w:val="004A1E44"/>
    <w:rsid w:val="004A2055"/>
    <w:rsid w:val="004A243B"/>
    <w:rsid w:val="004A292B"/>
    <w:rsid w:val="004A2BCE"/>
    <w:rsid w:val="004A2CE0"/>
    <w:rsid w:val="004A3626"/>
    <w:rsid w:val="004A36A9"/>
    <w:rsid w:val="004A385A"/>
    <w:rsid w:val="004A389F"/>
    <w:rsid w:val="004A3E8C"/>
    <w:rsid w:val="004A3FF4"/>
    <w:rsid w:val="004A48DA"/>
    <w:rsid w:val="004A49AE"/>
    <w:rsid w:val="004A4EA5"/>
    <w:rsid w:val="004A4FED"/>
    <w:rsid w:val="004A5551"/>
    <w:rsid w:val="004A5666"/>
    <w:rsid w:val="004A570E"/>
    <w:rsid w:val="004A578A"/>
    <w:rsid w:val="004A5A9A"/>
    <w:rsid w:val="004A5F90"/>
    <w:rsid w:val="004A6414"/>
    <w:rsid w:val="004A67B9"/>
    <w:rsid w:val="004A6865"/>
    <w:rsid w:val="004A69A4"/>
    <w:rsid w:val="004A6EC3"/>
    <w:rsid w:val="004A7118"/>
    <w:rsid w:val="004A71A0"/>
    <w:rsid w:val="004A73FD"/>
    <w:rsid w:val="004A7554"/>
    <w:rsid w:val="004A76FD"/>
    <w:rsid w:val="004A773D"/>
    <w:rsid w:val="004A780B"/>
    <w:rsid w:val="004A78EC"/>
    <w:rsid w:val="004B01BB"/>
    <w:rsid w:val="004B0973"/>
    <w:rsid w:val="004B098D"/>
    <w:rsid w:val="004B11D9"/>
    <w:rsid w:val="004B1228"/>
    <w:rsid w:val="004B12C9"/>
    <w:rsid w:val="004B13FF"/>
    <w:rsid w:val="004B1538"/>
    <w:rsid w:val="004B16D2"/>
    <w:rsid w:val="004B1E19"/>
    <w:rsid w:val="004B1EBF"/>
    <w:rsid w:val="004B24B8"/>
    <w:rsid w:val="004B257E"/>
    <w:rsid w:val="004B258E"/>
    <w:rsid w:val="004B2597"/>
    <w:rsid w:val="004B25DE"/>
    <w:rsid w:val="004B2632"/>
    <w:rsid w:val="004B26B6"/>
    <w:rsid w:val="004B3084"/>
    <w:rsid w:val="004B358F"/>
    <w:rsid w:val="004B3703"/>
    <w:rsid w:val="004B37CE"/>
    <w:rsid w:val="004B3D23"/>
    <w:rsid w:val="004B40B6"/>
    <w:rsid w:val="004B43D8"/>
    <w:rsid w:val="004B4723"/>
    <w:rsid w:val="004B49F9"/>
    <w:rsid w:val="004B4B08"/>
    <w:rsid w:val="004B4B70"/>
    <w:rsid w:val="004B4D92"/>
    <w:rsid w:val="004B4F40"/>
    <w:rsid w:val="004B50EB"/>
    <w:rsid w:val="004B52BC"/>
    <w:rsid w:val="004B53D4"/>
    <w:rsid w:val="004B5611"/>
    <w:rsid w:val="004B5642"/>
    <w:rsid w:val="004B5650"/>
    <w:rsid w:val="004B59A6"/>
    <w:rsid w:val="004B5D33"/>
    <w:rsid w:val="004B5EA3"/>
    <w:rsid w:val="004B6101"/>
    <w:rsid w:val="004B65D6"/>
    <w:rsid w:val="004B695D"/>
    <w:rsid w:val="004B696F"/>
    <w:rsid w:val="004B6A0C"/>
    <w:rsid w:val="004B6DFE"/>
    <w:rsid w:val="004B7227"/>
    <w:rsid w:val="004B73B8"/>
    <w:rsid w:val="004B743D"/>
    <w:rsid w:val="004B7501"/>
    <w:rsid w:val="004B7898"/>
    <w:rsid w:val="004B7C9F"/>
    <w:rsid w:val="004C001D"/>
    <w:rsid w:val="004C05E6"/>
    <w:rsid w:val="004C0BAB"/>
    <w:rsid w:val="004C0BEA"/>
    <w:rsid w:val="004C0BF9"/>
    <w:rsid w:val="004C0D7A"/>
    <w:rsid w:val="004C15F2"/>
    <w:rsid w:val="004C171E"/>
    <w:rsid w:val="004C1737"/>
    <w:rsid w:val="004C1A2F"/>
    <w:rsid w:val="004C204B"/>
    <w:rsid w:val="004C20F5"/>
    <w:rsid w:val="004C22DD"/>
    <w:rsid w:val="004C2333"/>
    <w:rsid w:val="004C2939"/>
    <w:rsid w:val="004C2BA6"/>
    <w:rsid w:val="004C2C71"/>
    <w:rsid w:val="004C30FC"/>
    <w:rsid w:val="004C3202"/>
    <w:rsid w:val="004C334C"/>
    <w:rsid w:val="004C3421"/>
    <w:rsid w:val="004C37C4"/>
    <w:rsid w:val="004C3EB4"/>
    <w:rsid w:val="004C3FF3"/>
    <w:rsid w:val="004C41B7"/>
    <w:rsid w:val="004C4227"/>
    <w:rsid w:val="004C4A19"/>
    <w:rsid w:val="004C4A40"/>
    <w:rsid w:val="004C4A72"/>
    <w:rsid w:val="004C4E57"/>
    <w:rsid w:val="004C55B0"/>
    <w:rsid w:val="004C5782"/>
    <w:rsid w:val="004C591E"/>
    <w:rsid w:val="004C5B79"/>
    <w:rsid w:val="004C5BCE"/>
    <w:rsid w:val="004C5E07"/>
    <w:rsid w:val="004C5E6B"/>
    <w:rsid w:val="004C61EC"/>
    <w:rsid w:val="004C66F3"/>
    <w:rsid w:val="004C6B86"/>
    <w:rsid w:val="004C6D5A"/>
    <w:rsid w:val="004C6DF8"/>
    <w:rsid w:val="004C6E59"/>
    <w:rsid w:val="004C705F"/>
    <w:rsid w:val="004C708C"/>
    <w:rsid w:val="004C736C"/>
    <w:rsid w:val="004C7645"/>
    <w:rsid w:val="004C77F8"/>
    <w:rsid w:val="004C7C52"/>
    <w:rsid w:val="004C7C7B"/>
    <w:rsid w:val="004C7F4D"/>
    <w:rsid w:val="004C7F9C"/>
    <w:rsid w:val="004D0252"/>
    <w:rsid w:val="004D0322"/>
    <w:rsid w:val="004D0497"/>
    <w:rsid w:val="004D09A5"/>
    <w:rsid w:val="004D0B01"/>
    <w:rsid w:val="004D0C4E"/>
    <w:rsid w:val="004D0DFE"/>
    <w:rsid w:val="004D1136"/>
    <w:rsid w:val="004D1628"/>
    <w:rsid w:val="004D1E17"/>
    <w:rsid w:val="004D21C0"/>
    <w:rsid w:val="004D222D"/>
    <w:rsid w:val="004D254C"/>
    <w:rsid w:val="004D293F"/>
    <w:rsid w:val="004D2A13"/>
    <w:rsid w:val="004D2B30"/>
    <w:rsid w:val="004D2D98"/>
    <w:rsid w:val="004D2DB9"/>
    <w:rsid w:val="004D2E55"/>
    <w:rsid w:val="004D3048"/>
    <w:rsid w:val="004D33FB"/>
    <w:rsid w:val="004D34FB"/>
    <w:rsid w:val="004D38A0"/>
    <w:rsid w:val="004D3979"/>
    <w:rsid w:val="004D3D90"/>
    <w:rsid w:val="004D424A"/>
    <w:rsid w:val="004D44F3"/>
    <w:rsid w:val="004D4584"/>
    <w:rsid w:val="004D45FA"/>
    <w:rsid w:val="004D489F"/>
    <w:rsid w:val="004D497E"/>
    <w:rsid w:val="004D5078"/>
    <w:rsid w:val="004D510B"/>
    <w:rsid w:val="004D52AA"/>
    <w:rsid w:val="004D53C2"/>
    <w:rsid w:val="004D5429"/>
    <w:rsid w:val="004D585A"/>
    <w:rsid w:val="004D5B9E"/>
    <w:rsid w:val="004D5BCC"/>
    <w:rsid w:val="004D5CF2"/>
    <w:rsid w:val="004D5D43"/>
    <w:rsid w:val="004D5D5D"/>
    <w:rsid w:val="004D5D92"/>
    <w:rsid w:val="004D5FC6"/>
    <w:rsid w:val="004D60E9"/>
    <w:rsid w:val="004D61F5"/>
    <w:rsid w:val="004D64C6"/>
    <w:rsid w:val="004D6A4A"/>
    <w:rsid w:val="004D6C11"/>
    <w:rsid w:val="004D7117"/>
    <w:rsid w:val="004D766B"/>
    <w:rsid w:val="004D76AF"/>
    <w:rsid w:val="004D781B"/>
    <w:rsid w:val="004D7DF5"/>
    <w:rsid w:val="004E0332"/>
    <w:rsid w:val="004E051F"/>
    <w:rsid w:val="004E08F5"/>
    <w:rsid w:val="004E0A38"/>
    <w:rsid w:val="004E0BE1"/>
    <w:rsid w:val="004E0D0D"/>
    <w:rsid w:val="004E0DA8"/>
    <w:rsid w:val="004E1016"/>
    <w:rsid w:val="004E1137"/>
    <w:rsid w:val="004E133A"/>
    <w:rsid w:val="004E165D"/>
    <w:rsid w:val="004E16E8"/>
    <w:rsid w:val="004E170A"/>
    <w:rsid w:val="004E1B94"/>
    <w:rsid w:val="004E1E2F"/>
    <w:rsid w:val="004E20F7"/>
    <w:rsid w:val="004E21C4"/>
    <w:rsid w:val="004E229F"/>
    <w:rsid w:val="004E2398"/>
    <w:rsid w:val="004E2639"/>
    <w:rsid w:val="004E2729"/>
    <w:rsid w:val="004E287C"/>
    <w:rsid w:val="004E2A3B"/>
    <w:rsid w:val="004E2C9B"/>
    <w:rsid w:val="004E2D3D"/>
    <w:rsid w:val="004E2D5F"/>
    <w:rsid w:val="004E348E"/>
    <w:rsid w:val="004E361B"/>
    <w:rsid w:val="004E36FB"/>
    <w:rsid w:val="004E3963"/>
    <w:rsid w:val="004E3FCD"/>
    <w:rsid w:val="004E453D"/>
    <w:rsid w:val="004E4654"/>
    <w:rsid w:val="004E4694"/>
    <w:rsid w:val="004E4840"/>
    <w:rsid w:val="004E4FC0"/>
    <w:rsid w:val="004E5021"/>
    <w:rsid w:val="004E51B1"/>
    <w:rsid w:val="004E52D7"/>
    <w:rsid w:val="004E545B"/>
    <w:rsid w:val="004E55C2"/>
    <w:rsid w:val="004E5797"/>
    <w:rsid w:val="004E5D6A"/>
    <w:rsid w:val="004E68F9"/>
    <w:rsid w:val="004E6B86"/>
    <w:rsid w:val="004E6C4C"/>
    <w:rsid w:val="004E6C58"/>
    <w:rsid w:val="004E6CAE"/>
    <w:rsid w:val="004E6FED"/>
    <w:rsid w:val="004E73E7"/>
    <w:rsid w:val="004E73ED"/>
    <w:rsid w:val="004E742A"/>
    <w:rsid w:val="004E7951"/>
    <w:rsid w:val="004E7CAB"/>
    <w:rsid w:val="004F0124"/>
    <w:rsid w:val="004F0866"/>
    <w:rsid w:val="004F0963"/>
    <w:rsid w:val="004F0F5E"/>
    <w:rsid w:val="004F0FC6"/>
    <w:rsid w:val="004F1005"/>
    <w:rsid w:val="004F107C"/>
    <w:rsid w:val="004F108B"/>
    <w:rsid w:val="004F1424"/>
    <w:rsid w:val="004F147B"/>
    <w:rsid w:val="004F1497"/>
    <w:rsid w:val="004F164A"/>
    <w:rsid w:val="004F19C4"/>
    <w:rsid w:val="004F206B"/>
    <w:rsid w:val="004F20D4"/>
    <w:rsid w:val="004F2260"/>
    <w:rsid w:val="004F2893"/>
    <w:rsid w:val="004F29D1"/>
    <w:rsid w:val="004F3225"/>
    <w:rsid w:val="004F36B2"/>
    <w:rsid w:val="004F37BA"/>
    <w:rsid w:val="004F3972"/>
    <w:rsid w:val="004F3B6A"/>
    <w:rsid w:val="004F3F34"/>
    <w:rsid w:val="004F3F55"/>
    <w:rsid w:val="004F405F"/>
    <w:rsid w:val="004F4361"/>
    <w:rsid w:val="004F454A"/>
    <w:rsid w:val="004F46EE"/>
    <w:rsid w:val="004F4817"/>
    <w:rsid w:val="004F4A4E"/>
    <w:rsid w:val="004F4BED"/>
    <w:rsid w:val="004F5321"/>
    <w:rsid w:val="004F5992"/>
    <w:rsid w:val="004F5B87"/>
    <w:rsid w:val="004F5DA3"/>
    <w:rsid w:val="004F5E2C"/>
    <w:rsid w:val="004F604B"/>
    <w:rsid w:val="004F610A"/>
    <w:rsid w:val="004F6270"/>
    <w:rsid w:val="004F628D"/>
    <w:rsid w:val="004F6BA0"/>
    <w:rsid w:val="004F7099"/>
    <w:rsid w:val="004F7101"/>
    <w:rsid w:val="004F72AD"/>
    <w:rsid w:val="004F7352"/>
    <w:rsid w:val="004F77D3"/>
    <w:rsid w:val="0050001E"/>
    <w:rsid w:val="00500051"/>
    <w:rsid w:val="00500108"/>
    <w:rsid w:val="00500336"/>
    <w:rsid w:val="005005AA"/>
    <w:rsid w:val="005005FC"/>
    <w:rsid w:val="00500954"/>
    <w:rsid w:val="005009B1"/>
    <w:rsid w:val="00500AE3"/>
    <w:rsid w:val="00500CD0"/>
    <w:rsid w:val="00500D92"/>
    <w:rsid w:val="00500F47"/>
    <w:rsid w:val="005013C4"/>
    <w:rsid w:val="005013F6"/>
    <w:rsid w:val="00501548"/>
    <w:rsid w:val="0050174E"/>
    <w:rsid w:val="005018A6"/>
    <w:rsid w:val="00501F93"/>
    <w:rsid w:val="005024C7"/>
    <w:rsid w:val="00502633"/>
    <w:rsid w:val="00502878"/>
    <w:rsid w:val="0050289F"/>
    <w:rsid w:val="00502E79"/>
    <w:rsid w:val="00503194"/>
    <w:rsid w:val="005032C0"/>
    <w:rsid w:val="0050378A"/>
    <w:rsid w:val="005038B8"/>
    <w:rsid w:val="005038D3"/>
    <w:rsid w:val="00503BEA"/>
    <w:rsid w:val="00503DDF"/>
    <w:rsid w:val="00503E9B"/>
    <w:rsid w:val="00504149"/>
    <w:rsid w:val="00504454"/>
    <w:rsid w:val="005044AA"/>
    <w:rsid w:val="005044EE"/>
    <w:rsid w:val="005045D4"/>
    <w:rsid w:val="00504764"/>
    <w:rsid w:val="00504945"/>
    <w:rsid w:val="00504DB8"/>
    <w:rsid w:val="00504E7E"/>
    <w:rsid w:val="0050533D"/>
    <w:rsid w:val="0050551E"/>
    <w:rsid w:val="0050558A"/>
    <w:rsid w:val="0050569C"/>
    <w:rsid w:val="005059DE"/>
    <w:rsid w:val="00505B74"/>
    <w:rsid w:val="00505BBC"/>
    <w:rsid w:val="00505E04"/>
    <w:rsid w:val="0050609C"/>
    <w:rsid w:val="00506595"/>
    <w:rsid w:val="005067AC"/>
    <w:rsid w:val="00506A03"/>
    <w:rsid w:val="00506AE5"/>
    <w:rsid w:val="0050737E"/>
    <w:rsid w:val="0050761E"/>
    <w:rsid w:val="0050795F"/>
    <w:rsid w:val="00507FB1"/>
    <w:rsid w:val="00510201"/>
    <w:rsid w:val="005103AC"/>
    <w:rsid w:val="0051075F"/>
    <w:rsid w:val="00510920"/>
    <w:rsid w:val="00510922"/>
    <w:rsid w:val="00510D6F"/>
    <w:rsid w:val="00510E4B"/>
    <w:rsid w:val="00510F44"/>
    <w:rsid w:val="00510FC7"/>
    <w:rsid w:val="0051109C"/>
    <w:rsid w:val="005112DB"/>
    <w:rsid w:val="005115E7"/>
    <w:rsid w:val="00511667"/>
    <w:rsid w:val="0051183B"/>
    <w:rsid w:val="0051196A"/>
    <w:rsid w:val="00511C79"/>
    <w:rsid w:val="005120DA"/>
    <w:rsid w:val="00512101"/>
    <w:rsid w:val="0051249D"/>
    <w:rsid w:val="0051271E"/>
    <w:rsid w:val="005128B8"/>
    <w:rsid w:val="0051291E"/>
    <w:rsid w:val="00512BC9"/>
    <w:rsid w:val="00512F47"/>
    <w:rsid w:val="00513043"/>
    <w:rsid w:val="00513741"/>
    <w:rsid w:val="00513854"/>
    <w:rsid w:val="005138DB"/>
    <w:rsid w:val="00513CCB"/>
    <w:rsid w:val="00513DD9"/>
    <w:rsid w:val="00513DEB"/>
    <w:rsid w:val="00514177"/>
    <w:rsid w:val="0051418B"/>
    <w:rsid w:val="005142F6"/>
    <w:rsid w:val="00514581"/>
    <w:rsid w:val="00514624"/>
    <w:rsid w:val="00514A67"/>
    <w:rsid w:val="00515009"/>
    <w:rsid w:val="00515123"/>
    <w:rsid w:val="00515162"/>
    <w:rsid w:val="0051545D"/>
    <w:rsid w:val="005154AE"/>
    <w:rsid w:val="005157C4"/>
    <w:rsid w:val="00515BD9"/>
    <w:rsid w:val="00515D8C"/>
    <w:rsid w:val="00515E10"/>
    <w:rsid w:val="005163F2"/>
    <w:rsid w:val="005164F7"/>
    <w:rsid w:val="0051654F"/>
    <w:rsid w:val="00516A6B"/>
    <w:rsid w:val="00516B93"/>
    <w:rsid w:val="00516CEC"/>
    <w:rsid w:val="00517153"/>
    <w:rsid w:val="005173DD"/>
    <w:rsid w:val="00517518"/>
    <w:rsid w:val="00517928"/>
    <w:rsid w:val="005179A9"/>
    <w:rsid w:val="005179CC"/>
    <w:rsid w:val="005179E9"/>
    <w:rsid w:val="00517F5F"/>
    <w:rsid w:val="00520288"/>
    <w:rsid w:val="005202BA"/>
    <w:rsid w:val="0052092D"/>
    <w:rsid w:val="0052097A"/>
    <w:rsid w:val="00520DEA"/>
    <w:rsid w:val="00520F50"/>
    <w:rsid w:val="005211CB"/>
    <w:rsid w:val="005212B3"/>
    <w:rsid w:val="00521C32"/>
    <w:rsid w:val="00522168"/>
    <w:rsid w:val="005223BB"/>
    <w:rsid w:val="005223E5"/>
    <w:rsid w:val="005223F9"/>
    <w:rsid w:val="005227A8"/>
    <w:rsid w:val="005229EF"/>
    <w:rsid w:val="00522D23"/>
    <w:rsid w:val="00522E1B"/>
    <w:rsid w:val="005230B7"/>
    <w:rsid w:val="0052311B"/>
    <w:rsid w:val="005231B2"/>
    <w:rsid w:val="005235C0"/>
    <w:rsid w:val="00523624"/>
    <w:rsid w:val="0052366A"/>
    <w:rsid w:val="00523688"/>
    <w:rsid w:val="00523D30"/>
    <w:rsid w:val="00523DAA"/>
    <w:rsid w:val="00523EF1"/>
    <w:rsid w:val="00524086"/>
    <w:rsid w:val="0052420F"/>
    <w:rsid w:val="0052426D"/>
    <w:rsid w:val="005243EC"/>
    <w:rsid w:val="00524A0D"/>
    <w:rsid w:val="00525013"/>
    <w:rsid w:val="0052595F"/>
    <w:rsid w:val="00525CAD"/>
    <w:rsid w:val="00525DED"/>
    <w:rsid w:val="005263A7"/>
    <w:rsid w:val="00526589"/>
    <w:rsid w:val="00526607"/>
    <w:rsid w:val="00526C1F"/>
    <w:rsid w:val="00526DF5"/>
    <w:rsid w:val="00527022"/>
    <w:rsid w:val="00527094"/>
    <w:rsid w:val="005271F4"/>
    <w:rsid w:val="00527313"/>
    <w:rsid w:val="005273EE"/>
    <w:rsid w:val="005275CF"/>
    <w:rsid w:val="0052772D"/>
    <w:rsid w:val="00527EA6"/>
    <w:rsid w:val="00527F5F"/>
    <w:rsid w:val="0053022D"/>
    <w:rsid w:val="0053098B"/>
    <w:rsid w:val="005309EB"/>
    <w:rsid w:val="00530B9E"/>
    <w:rsid w:val="005312C1"/>
    <w:rsid w:val="005316C9"/>
    <w:rsid w:val="005316D0"/>
    <w:rsid w:val="00531771"/>
    <w:rsid w:val="00531929"/>
    <w:rsid w:val="00531A5D"/>
    <w:rsid w:val="00531C0C"/>
    <w:rsid w:val="00531EA2"/>
    <w:rsid w:val="00531FCC"/>
    <w:rsid w:val="00531FF2"/>
    <w:rsid w:val="00532041"/>
    <w:rsid w:val="0053219E"/>
    <w:rsid w:val="005322C0"/>
    <w:rsid w:val="005322F8"/>
    <w:rsid w:val="005328C0"/>
    <w:rsid w:val="005328DB"/>
    <w:rsid w:val="00532F52"/>
    <w:rsid w:val="00533616"/>
    <w:rsid w:val="00533694"/>
    <w:rsid w:val="00533C60"/>
    <w:rsid w:val="005341D4"/>
    <w:rsid w:val="00534328"/>
    <w:rsid w:val="00534A1B"/>
    <w:rsid w:val="00534B80"/>
    <w:rsid w:val="00534BE6"/>
    <w:rsid w:val="00535255"/>
    <w:rsid w:val="005353E1"/>
    <w:rsid w:val="0053549F"/>
    <w:rsid w:val="00535907"/>
    <w:rsid w:val="00535ABA"/>
    <w:rsid w:val="00535AFC"/>
    <w:rsid w:val="00535CC5"/>
    <w:rsid w:val="00536178"/>
    <w:rsid w:val="005361B9"/>
    <w:rsid w:val="00536464"/>
    <w:rsid w:val="00536859"/>
    <w:rsid w:val="00536EEC"/>
    <w:rsid w:val="00536F1F"/>
    <w:rsid w:val="00536FD6"/>
    <w:rsid w:val="005371A4"/>
    <w:rsid w:val="00537360"/>
    <w:rsid w:val="0053768B"/>
    <w:rsid w:val="00537769"/>
    <w:rsid w:val="005377BF"/>
    <w:rsid w:val="005378FA"/>
    <w:rsid w:val="00537C14"/>
    <w:rsid w:val="00537CC9"/>
    <w:rsid w:val="00537D01"/>
    <w:rsid w:val="00537DCF"/>
    <w:rsid w:val="00537E59"/>
    <w:rsid w:val="00537F8A"/>
    <w:rsid w:val="00537FD4"/>
    <w:rsid w:val="005400E4"/>
    <w:rsid w:val="00540256"/>
    <w:rsid w:val="005402F8"/>
    <w:rsid w:val="005403BC"/>
    <w:rsid w:val="00540420"/>
    <w:rsid w:val="005405C2"/>
    <w:rsid w:val="00540793"/>
    <w:rsid w:val="00540802"/>
    <w:rsid w:val="00540CD9"/>
    <w:rsid w:val="00540DA9"/>
    <w:rsid w:val="00540EAD"/>
    <w:rsid w:val="0054199A"/>
    <w:rsid w:val="00541AD0"/>
    <w:rsid w:val="00541F76"/>
    <w:rsid w:val="005420F2"/>
    <w:rsid w:val="00542131"/>
    <w:rsid w:val="0054257D"/>
    <w:rsid w:val="0054269F"/>
    <w:rsid w:val="0054285C"/>
    <w:rsid w:val="005429F1"/>
    <w:rsid w:val="00542AF2"/>
    <w:rsid w:val="00542CA7"/>
    <w:rsid w:val="00542DF7"/>
    <w:rsid w:val="00543259"/>
    <w:rsid w:val="0054326C"/>
    <w:rsid w:val="0054338E"/>
    <w:rsid w:val="0054360F"/>
    <w:rsid w:val="0054373E"/>
    <w:rsid w:val="005439D1"/>
    <w:rsid w:val="0054418F"/>
    <w:rsid w:val="00544715"/>
    <w:rsid w:val="00544A22"/>
    <w:rsid w:val="00544A75"/>
    <w:rsid w:val="00544CB7"/>
    <w:rsid w:val="00544FB7"/>
    <w:rsid w:val="005451D1"/>
    <w:rsid w:val="005453C6"/>
    <w:rsid w:val="00545503"/>
    <w:rsid w:val="005455D3"/>
    <w:rsid w:val="005456F8"/>
    <w:rsid w:val="00545ADF"/>
    <w:rsid w:val="00545BD2"/>
    <w:rsid w:val="00545C65"/>
    <w:rsid w:val="00545D86"/>
    <w:rsid w:val="00545D9E"/>
    <w:rsid w:val="0054693F"/>
    <w:rsid w:val="00547147"/>
    <w:rsid w:val="00547417"/>
    <w:rsid w:val="00547441"/>
    <w:rsid w:val="005474D5"/>
    <w:rsid w:val="005476FB"/>
    <w:rsid w:val="00547951"/>
    <w:rsid w:val="00547973"/>
    <w:rsid w:val="00547AA9"/>
    <w:rsid w:val="00547E58"/>
    <w:rsid w:val="005502F3"/>
    <w:rsid w:val="00550794"/>
    <w:rsid w:val="0055085D"/>
    <w:rsid w:val="00550882"/>
    <w:rsid w:val="00550932"/>
    <w:rsid w:val="00550EE6"/>
    <w:rsid w:val="00550F5A"/>
    <w:rsid w:val="005513C3"/>
    <w:rsid w:val="005515DF"/>
    <w:rsid w:val="005515EF"/>
    <w:rsid w:val="00551643"/>
    <w:rsid w:val="00551690"/>
    <w:rsid w:val="005517B2"/>
    <w:rsid w:val="0055186F"/>
    <w:rsid w:val="0055193C"/>
    <w:rsid w:val="00551C8D"/>
    <w:rsid w:val="00551C98"/>
    <w:rsid w:val="00551E49"/>
    <w:rsid w:val="00551FFB"/>
    <w:rsid w:val="005520C7"/>
    <w:rsid w:val="005522A8"/>
    <w:rsid w:val="00552309"/>
    <w:rsid w:val="0055255D"/>
    <w:rsid w:val="005525EF"/>
    <w:rsid w:val="005526A5"/>
    <w:rsid w:val="0055275C"/>
    <w:rsid w:val="005529BC"/>
    <w:rsid w:val="00552A95"/>
    <w:rsid w:val="00553433"/>
    <w:rsid w:val="0055364C"/>
    <w:rsid w:val="005536B4"/>
    <w:rsid w:val="00553936"/>
    <w:rsid w:val="00554484"/>
    <w:rsid w:val="005547D8"/>
    <w:rsid w:val="005548C9"/>
    <w:rsid w:val="00554D4F"/>
    <w:rsid w:val="00555361"/>
    <w:rsid w:val="0055538B"/>
    <w:rsid w:val="005555E6"/>
    <w:rsid w:val="00555C15"/>
    <w:rsid w:val="00556303"/>
    <w:rsid w:val="00556A4E"/>
    <w:rsid w:val="00556A56"/>
    <w:rsid w:val="00556DA1"/>
    <w:rsid w:val="00556EAA"/>
    <w:rsid w:val="00556F36"/>
    <w:rsid w:val="00557007"/>
    <w:rsid w:val="0055701A"/>
    <w:rsid w:val="00557296"/>
    <w:rsid w:val="005577FA"/>
    <w:rsid w:val="00557966"/>
    <w:rsid w:val="00557CA2"/>
    <w:rsid w:val="00557DC6"/>
    <w:rsid w:val="0056097E"/>
    <w:rsid w:val="0056098D"/>
    <w:rsid w:val="005609CD"/>
    <w:rsid w:val="00560CEE"/>
    <w:rsid w:val="005611F6"/>
    <w:rsid w:val="00561436"/>
    <w:rsid w:val="00561BC2"/>
    <w:rsid w:val="00561FD6"/>
    <w:rsid w:val="0056227F"/>
    <w:rsid w:val="005622A3"/>
    <w:rsid w:val="00562437"/>
    <w:rsid w:val="00562941"/>
    <w:rsid w:val="00562A66"/>
    <w:rsid w:val="00562BCA"/>
    <w:rsid w:val="00562FD0"/>
    <w:rsid w:val="0056345F"/>
    <w:rsid w:val="005634DE"/>
    <w:rsid w:val="0056387D"/>
    <w:rsid w:val="005639D8"/>
    <w:rsid w:val="00563C29"/>
    <w:rsid w:val="00563D5B"/>
    <w:rsid w:val="00563F00"/>
    <w:rsid w:val="0056406A"/>
    <w:rsid w:val="005644C7"/>
    <w:rsid w:val="00564C17"/>
    <w:rsid w:val="00564DDC"/>
    <w:rsid w:val="005653AA"/>
    <w:rsid w:val="0056546A"/>
    <w:rsid w:val="00565493"/>
    <w:rsid w:val="00565501"/>
    <w:rsid w:val="005657A1"/>
    <w:rsid w:val="005657B0"/>
    <w:rsid w:val="00565ABC"/>
    <w:rsid w:val="00565E45"/>
    <w:rsid w:val="005661D0"/>
    <w:rsid w:val="00566225"/>
    <w:rsid w:val="00566354"/>
    <w:rsid w:val="005663BC"/>
    <w:rsid w:val="00566666"/>
    <w:rsid w:val="005666AB"/>
    <w:rsid w:val="00566BBA"/>
    <w:rsid w:val="00567062"/>
    <w:rsid w:val="00567348"/>
    <w:rsid w:val="005673D0"/>
    <w:rsid w:val="00567723"/>
    <w:rsid w:val="005679C6"/>
    <w:rsid w:val="005679F7"/>
    <w:rsid w:val="00567B8C"/>
    <w:rsid w:val="00567C2C"/>
    <w:rsid w:val="00567D4A"/>
    <w:rsid w:val="00567F3F"/>
    <w:rsid w:val="00567F40"/>
    <w:rsid w:val="005700B4"/>
    <w:rsid w:val="0057036B"/>
    <w:rsid w:val="0057043B"/>
    <w:rsid w:val="00570520"/>
    <w:rsid w:val="00570669"/>
    <w:rsid w:val="00570834"/>
    <w:rsid w:val="00570A85"/>
    <w:rsid w:val="00570B16"/>
    <w:rsid w:val="00570C81"/>
    <w:rsid w:val="00570C9E"/>
    <w:rsid w:val="00570F3D"/>
    <w:rsid w:val="00570F63"/>
    <w:rsid w:val="005710FF"/>
    <w:rsid w:val="00571163"/>
    <w:rsid w:val="00571368"/>
    <w:rsid w:val="005713D4"/>
    <w:rsid w:val="005714D9"/>
    <w:rsid w:val="005716FB"/>
    <w:rsid w:val="00571AC2"/>
    <w:rsid w:val="00571B63"/>
    <w:rsid w:val="00571ED3"/>
    <w:rsid w:val="00571F64"/>
    <w:rsid w:val="0057203B"/>
    <w:rsid w:val="00572073"/>
    <w:rsid w:val="00572294"/>
    <w:rsid w:val="00572591"/>
    <w:rsid w:val="00572738"/>
    <w:rsid w:val="005728CB"/>
    <w:rsid w:val="00572B72"/>
    <w:rsid w:val="00572C95"/>
    <w:rsid w:val="00572E5B"/>
    <w:rsid w:val="00573009"/>
    <w:rsid w:val="005731DC"/>
    <w:rsid w:val="00573225"/>
    <w:rsid w:val="00573447"/>
    <w:rsid w:val="005736DB"/>
    <w:rsid w:val="00573786"/>
    <w:rsid w:val="00573A9C"/>
    <w:rsid w:val="00573EDB"/>
    <w:rsid w:val="00573F26"/>
    <w:rsid w:val="005740D3"/>
    <w:rsid w:val="005743B8"/>
    <w:rsid w:val="0057446B"/>
    <w:rsid w:val="005745D7"/>
    <w:rsid w:val="005746FC"/>
    <w:rsid w:val="0057488A"/>
    <w:rsid w:val="00574BC2"/>
    <w:rsid w:val="00574FF3"/>
    <w:rsid w:val="005756A1"/>
    <w:rsid w:val="00575718"/>
    <w:rsid w:val="00575831"/>
    <w:rsid w:val="00575BF5"/>
    <w:rsid w:val="00575F08"/>
    <w:rsid w:val="00575F12"/>
    <w:rsid w:val="00575F83"/>
    <w:rsid w:val="005760DE"/>
    <w:rsid w:val="00576364"/>
    <w:rsid w:val="00576B27"/>
    <w:rsid w:val="0057731B"/>
    <w:rsid w:val="00577478"/>
    <w:rsid w:val="005778D5"/>
    <w:rsid w:val="00577975"/>
    <w:rsid w:val="00577DBC"/>
    <w:rsid w:val="00577FEA"/>
    <w:rsid w:val="0058045D"/>
    <w:rsid w:val="00580806"/>
    <w:rsid w:val="00580942"/>
    <w:rsid w:val="00580BDB"/>
    <w:rsid w:val="00580C2F"/>
    <w:rsid w:val="00580E63"/>
    <w:rsid w:val="0058124D"/>
    <w:rsid w:val="0058124F"/>
    <w:rsid w:val="00581339"/>
    <w:rsid w:val="005818B8"/>
    <w:rsid w:val="0058191E"/>
    <w:rsid w:val="0058195A"/>
    <w:rsid w:val="00581A28"/>
    <w:rsid w:val="00582208"/>
    <w:rsid w:val="005822F8"/>
    <w:rsid w:val="0058235E"/>
    <w:rsid w:val="00582802"/>
    <w:rsid w:val="00582904"/>
    <w:rsid w:val="00582993"/>
    <w:rsid w:val="00582D09"/>
    <w:rsid w:val="00582E20"/>
    <w:rsid w:val="00583016"/>
    <w:rsid w:val="005830ED"/>
    <w:rsid w:val="005832B3"/>
    <w:rsid w:val="00583526"/>
    <w:rsid w:val="005837FA"/>
    <w:rsid w:val="00583871"/>
    <w:rsid w:val="00583B04"/>
    <w:rsid w:val="00583B62"/>
    <w:rsid w:val="00583BFE"/>
    <w:rsid w:val="00583C3E"/>
    <w:rsid w:val="00583C9C"/>
    <w:rsid w:val="00583CA5"/>
    <w:rsid w:val="00583CDB"/>
    <w:rsid w:val="00583FFB"/>
    <w:rsid w:val="00584173"/>
    <w:rsid w:val="00584182"/>
    <w:rsid w:val="00584925"/>
    <w:rsid w:val="00584BE3"/>
    <w:rsid w:val="00584BE9"/>
    <w:rsid w:val="00584C8C"/>
    <w:rsid w:val="00584D4B"/>
    <w:rsid w:val="0058517D"/>
    <w:rsid w:val="005855D6"/>
    <w:rsid w:val="005856EC"/>
    <w:rsid w:val="00585753"/>
    <w:rsid w:val="005858E8"/>
    <w:rsid w:val="00585C48"/>
    <w:rsid w:val="00585CBE"/>
    <w:rsid w:val="00585D51"/>
    <w:rsid w:val="00585DE4"/>
    <w:rsid w:val="00585E5C"/>
    <w:rsid w:val="00585EB0"/>
    <w:rsid w:val="00586A64"/>
    <w:rsid w:val="00586CBC"/>
    <w:rsid w:val="00586FF2"/>
    <w:rsid w:val="005871AE"/>
    <w:rsid w:val="0058727A"/>
    <w:rsid w:val="0058768F"/>
    <w:rsid w:val="005878D4"/>
    <w:rsid w:val="00587947"/>
    <w:rsid w:val="00587C0E"/>
    <w:rsid w:val="00587E7F"/>
    <w:rsid w:val="0059000B"/>
    <w:rsid w:val="005905C0"/>
    <w:rsid w:val="00590682"/>
    <w:rsid w:val="005907C9"/>
    <w:rsid w:val="00590884"/>
    <w:rsid w:val="00590B9D"/>
    <w:rsid w:val="00590BF2"/>
    <w:rsid w:val="00590CFD"/>
    <w:rsid w:val="00591065"/>
    <w:rsid w:val="005914CF"/>
    <w:rsid w:val="005915AD"/>
    <w:rsid w:val="005915E3"/>
    <w:rsid w:val="005916FA"/>
    <w:rsid w:val="00591852"/>
    <w:rsid w:val="00591B6A"/>
    <w:rsid w:val="00591C74"/>
    <w:rsid w:val="00591DAA"/>
    <w:rsid w:val="005922B5"/>
    <w:rsid w:val="0059236A"/>
    <w:rsid w:val="0059238B"/>
    <w:rsid w:val="0059248C"/>
    <w:rsid w:val="00592759"/>
    <w:rsid w:val="005929E5"/>
    <w:rsid w:val="00592B5A"/>
    <w:rsid w:val="00592C1E"/>
    <w:rsid w:val="00592DE6"/>
    <w:rsid w:val="0059316F"/>
    <w:rsid w:val="0059333F"/>
    <w:rsid w:val="005936C7"/>
    <w:rsid w:val="005936CF"/>
    <w:rsid w:val="005937B5"/>
    <w:rsid w:val="00593ACD"/>
    <w:rsid w:val="005942A6"/>
    <w:rsid w:val="0059432C"/>
    <w:rsid w:val="0059439D"/>
    <w:rsid w:val="00594622"/>
    <w:rsid w:val="00594AE7"/>
    <w:rsid w:val="00594CBB"/>
    <w:rsid w:val="00594F28"/>
    <w:rsid w:val="00594F64"/>
    <w:rsid w:val="0059531F"/>
    <w:rsid w:val="00595363"/>
    <w:rsid w:val="00595510"/>
    <w:rsid w:val="00595520"/>
    <w:rsid w:val="00595626"/>
    <w:rsid w:val="005956CF"/>
    <w:rsid w:val="005956F8"/>
    <w:rsid w:val="0059574F"/>
    <w:rsid w:val="005958DB"/>
    <w:rsid w:val="00595D95"/>
    <w:rsid w:val="00595F57"/>
    <w:rsid w:val="00595FAE"/>
    <w:rsid w:val="00596243"/>
    <w:rsid w:val="00596830"/>
    <w:rsid w:val="0059683B"/>
    <w:rsid w:val="005969BD"/>
    <w:rsid w:val="00596CEE"/>
    <w:rsid w:val="00596DC1"/>
    <w:rsid w:val="005976D7"/>
    <w:rsid w:val="00597EE9"/>
    <w:rsid w:val="005A0020"/>
    <w:rsid w:val="005A04FD"/>
    <w:rsid w:val="005A0A45"/>
    <w:rsid w:val="005A0CD1"/>
    <w:rsid w:val="005A0D22"/>
    <w:rsid w:val="005A0F19"/>
    <w:rsid w:val="005A0FCF"/>
    <w:rsid w:val="005A10DB"/>
    <w:rsid w:val="005A147B"/>
    <w:rsid w:val="005A1AAA"/>
    <w:rsid w:val="005A1E67"/>
    <w:rsid w:val="005A218B"/>
    <w:rsid w:val="005A227F"/>
    <w:rsid w:val="005A27A5"/>
    <w:rsid w:val="005A2AB6"/>
    <w:rsid w:val="005A3066"/>
    <w:rsid w:val="005A30D0"/>
    <w:rsid w:val="005A3249"/>
    <w:rsid w:val="005A3308"/>
    <w:rsid w:val="005A337E"/>
    <w:rsid w:val="005A360C"/>
    <w:rsid w:val="005A393F"/>
    <w:rsid w:val="005A39B7"/>
    <w:rsid w:val="005A3C3A"/>
    <w:rsid w:val="005A3D62"/>
    <w:rsid w:val="005A3E8C"/>
    <w:rsid w:val="005A3E90"/>
    <w:rsid w:val="005A3FAE"/>
    <w:rsid w:val="005A4270"/>
    <w:rsid w:val="005A44B9"/>
    <w:rsid w:val="005A4500"/>
    <w:rsid w:val="005A4545"/>
    <w:rsid w:val="005A4715"/>
    <w:rsid w:val="005A49F4"/>
    <w:rsid w:val="005A4CFE"/>
    <w:rsid w:val="005A4DB1"/>
    <w:rsid w:val="005A4EB9"/>
    <w:rsid w:val="005A50D4"/>
    <w:rsid w:val="005A5703"/>
    <w:rsid w:val="005A5B0A"/>
    <w:rsid w:val="005A5D1F"/>
    <w:rsid w:val="005A5D62"/>
    <w:rsid w:val="005A607C"/>
    <w:rsid w:val="005A635D"/>
    <w:rsid w:val="005A647F"/>
    <w:rsid w:val="005A65FC"/>
    <w:rsid w:val="005A699D"/>
    <w:rsid w:val="005A6CC5"/>
    <w:rsid w:val="005A6D9A"/>
    <w:rsid w:val="005A6ED1"/>
    <w:rsid w:val="005A6F44"/>
    <w:rsid w:val="005A7350"/>
    <w:rsid w:val="005A7BE6"/>
    <w:rsid w:val="005B0035"/>
    <w:rsid w:val="005B007E"/>
    <w:rsid w:val="005B08B6"/>
    <w:rsid w:val="005B0B26"/>
    <w:rsid w:val="005B0C32"/>
    <w:rsid w:val="005B1086"/>
    <w:rsid w:val="005B1350"/>
    <w:rsid w:val="005B13C1"/>
    <w:rsid w:val="005B15D7"/>
    <w:rsid w:val="005B15F4"/>
    <w:rsid w:val="005B1713"/>
    <w:rsid w:val="005B1719"/>
    <w:rsid w:val="005B190C"/>
    <w:rsid w:val="005B1A14"/>
    <w:rsid w:val="005B1B99"/>
    <w:rsid w:val="005B1BA0"/>
    <w:rsid w:val="005B1C89"/>
    <w:rsid w:val="005B1D98"/>
    <w:rsid w:val="005B20FF"/>
    <w:rsid w:val="005B24C6"/>
    <w:rsid w:val="005B24D2"/>
    <w:rsid w:val="005B2608"/>
    <w:rsid w:val="005B2894"/>
    <w:rsid w:val="005B2A2B"/>
    <w:rsid w:val="005B2ADD"/>
    <w:rsid w:val="005B2B65"/>
    <w:rsid w:val="005B385B"/>
    <w:rsid w:val="005B38E4"/>
    <w:rsid w:val="005B3907"/>
    <w:rsid w:val="005B3A45"/>
    <w:rsid w:val="005B3DB3"/>
    <w:rsid w:val="005B4060"/>
    <w:rsid w:val="005B4114"/>
    <w:rsid w:val="005B42C7"/>
    <w:rsid w:val="005B443A"/>
    <w:rsid w:val="005B483C"/>
    <w:rsid w:val="005B4B91"/>
    <w:rsid w:val="005B4CA7"/>
    <w:rsid w:val="005B4D6D"/>
    <w:rsid w:val="005B4DE5"/>
    <w:rsid w:val="005B4F49"/>
    <w:rsid w:val="005B5088"/>
    <w:rsid w:val="005B5102"/>
    <w:rsid w:val="005B5546"/>
    <w:rsid w:val="005B5D1A"/>
    <w:rsid w:val="005B64CE"/>
    <w:rsid w:val="005B64F8"/>
    <w:rsid w:val="005B655B"/>
    <w:rsid w:val="005B666B"/>
    <w:rsid w:val="005B67F7"/>
    <w:rsid w:val="005B686B"/>
    <w:rsid w:val="005B6B1D"/>
    <w:rsid w:val="005B6BE9"/>
    <w:rsid w:val="005B6C84"/>
    <w:rsid w:val="005B6C95"/>
    <w:rsid w:val="005B6CD9"/>
    <w:rsid w:val="005B6D2D"/>
    <w:rsid w:val="005B6DE2"/>
    <w:rsid w:val="005B7470"/>
    <w:rsid w:val="005B747E"/>
    <w:rsid w:val="005B78C2"/>
    <w:rsid w:val="005B79D2"/>
    <w:rsid w:val="005B7A7C"/>
    <w:rsid w:val="005B7BBC"/>
    <w:rsid w:val="005B7C9E"/>
    <w:rsid w:val="005C02AB"/>
    <w:rsid w:val="005C03FE"/>
    <w:rsid w:val="005C08E5"/>
    <w:rsid w:val="005C0E3D"/>
    <w:rsid w:val="005C1086"/>
    <w:rsid w:val="005C1122"/>
    <w:rsid w:val="005C112F"/>
    <w:rsid w:val="005C144E"/>
    <w:rsid w:val="005C16DC"/>
    <w:rsid w:val="005C171E"/>
    <w:rsid w:val="005C20F2"/>
    <w:rsid w:val="005C2164"/>
    <w:rsid w:val="005C288F"/>
    <w:rsid w:val="005C2AC8"/>
    <w:rsid w:val="005C2C31"/>
    <w:rsid w:val="005C326B"/>
    <w:rsid w:val="005C326C"/>
    <w:rsid w:val="005C384C"/>
    <w:rsid w:val="005C389F"/>
    <w:rsid w:val="005C393E"/>
    <w:rsid w:val="005C3FD2"/>
    <w:rsid w:val="005C400A"/>
    <w:rsid w:val="005C4148"/>
    <w:rsid w:val="005C46E9"/>
    <w:rsid w:val="005C4C67"/>
    <w:rsid w:val="005C5003"/>
    <w:rsid w:val="005C51F8"/>
    <w:rsid w:val="005C5AD0"/>
    <w:rsid w:val="005C6165"/>
    <w:rsid w:val="005C640F"/>
    <w:rsid w:val="005C642E"/>
    <w:rsid w:val="005C673B"/>
    <w:rsid w:val="005C6AAC"/>
    <w:rsid w:val="005C6FC6"/>
    <w:rsid w:val="005C70E7"/>
    <w:rsid w:val="005C7CC4"/>
    <w:rsid w:val="005D01D2"/>
    <w:rsid w:val="005D046C"/>
    <w:rsid w:val="005D064F"/>
    <w:rsid w:val="005D096A"/>
    <w:rsid w:val="005D0D3D"/>
    <w:rsid w:val="005D0DFC"/>
    <w:rsid w:val="005D0E61"/>
    <w:rsid w:val="005D142D"/>
    <w:rsid w:val="005D15CA"/>
    <w:rsid w:val="005D190B"/>
    <w:rsid w:val="005D193F"/>
    <w:rsid w:val="005D1B5F"/>
    <w:rsid w:val="005D1E3D"/>
    <w:rsid w:val="005D1E4F"/>
    <w:rsid w:val="005D1F23"/>
    <w:rsid w:val="005D24F1"/>
    <w:rsid w:val="005D27CD"/>
    <w:rsid w:val="005D282D"/>
    <w:rsid w:val="005D288C"/>
    <w:rsid w:val="005D2D2F"/>
    <w:rsid w:val="005D2F86"/>
    <w:rsid w:val="005D3669"/>
    <w:rsid w:val="005D3B0C"/>
    <w:rsid w:val="005D3DC3"/>
    <w:rsid w:val="005D3E54"/>
    <w:rsid w:val="005D40A5"/>
    <w:rsid w:val="005D4832"/>
    <w:rsid w:val="005D4AB4"/>
    <w:rsid w:val="005D53D8"/>
    <w:rsid w:val="005D549A"/>
    <w:rsid w:val="005D54E9"/>
    <w:rsid w:val="005D58A9"/>
    <w:rsid w:val="005D58E0"/>
    <w:rsid w:val="005D5998"/>
    <w:rsid w:val="005D59FC"/>
    <w:rsid w:val="005D6194"/>
    <w:rsid w:val="005D6BFF"/>
    <w:rsid w:val="005D71F8"/>
    <w:rsid w:val="005D73B6"/>
    <w:rsid w:val="005D7668"/>
    <w:rsid w:val="005D79A0"/>
    <w:rsid w:val="005D7CA2"/>
    <w:rsid w:val="005E08DC"/>
    <w:rsid w:val="005E0BB4"/>
    <w:rsid w:val="005E0CB2"/>
    <w:rsid w:val="005E0DC4"/>
    <w:rsid w:val="005E0DD1"/>
    <w:rsid w:val="005E11C2"/>
    <w:rsid w:val="005E12CD"/>
    <w:rsid w:val="005E132F"/>
    <w:rsid w:val="005E1518"/>
    <w:rsid w:val="005E1532"/>
    <w:rsid w:val="005E15E7"/>
    <w:rsid w:val="005E1888"/>
    <w:rsid w:val="005E18B5"/>
    <w:rsid w:val="005E18E3"/>
    <w:rsid w:val="005E1BE5"/>
    <w:rsid w:val="005E2193"/>
    <w:rsid w:val="005E23FB"/>
    <w:rsid w:val="005E287A"/>
    <w:rsid w:val="005E2A33"/>
    <w:rsid w:val="005E2D10"/>
    <w:rsid w:val="005E2ED2"/>
    <w:rsid w:val="005E33BF"/>
    <w:rsid w:val="005E34B8"/>
    <w:rsid w:val="005E35EE"/>
    <w:rsid w:val="005E3BE2"/>
    <w:rsid w:val="005E3CDF"/>
    <w:rsid w:val="005E3D31"/>
    <w:rsid w:val="005E4073"/>
    <w:rsid w:val="005E43B0"/>
    <w:rsid w:val="005E479A"/>
    <w:rsid w:val="005E47BD"/>
    <w:rsid w:val="005E4897"/>
    <w:rsid w:val="005E4C32"/>
    <w:rsid w:val="005E56F8"/>
    <w:rsid w:val="005E595F"/>
    <w:rsid w:val="005E5A13"/>
    <w:rsid w:val="005E5C48"/>
    <w:rsid w:val="005E5D0A"/>
    <w:rsid w:val="005E5EAC"/>
    <w:rsid w:val="005E633B"/>
    <w:rsid w:val="005E639B"/>
    <w:rsid w:val="005E64ED"/>
    <w:rsid w:val="005E66D7"/>
    <w:rsid w:val="005E6716"/>
    <w:rsid w:val="005E6C2A"/>
    <w:rsid w:val="005E6EA6"/>
    <w:rsid w:val="005E7189"/>
    <w:rsid w:val="005E727A"/>
    <w:rsid w:val="005E7ABB"/>
    <w:rsid w:val="005E7BEB"/>
    <w:rsid w:val="005F0177"/>
    <w:rsid w:val="005F01F6"/>
    <w:rsid w:val="005F03D0"/>
    <w:rsid w:val="005F03FD"/>
    <w:rsid w:val="005F0404"/>
    <w:rsid w:val="005F06C8"/>
    <w:rsid w:val="005F08DF"/>
    <w:rsid w:val="005F09C8"/>
    <w:rsid w:val="005F0B76"/>
    <w:rsid w:val="005F0DF6"/>
    <w:rsid w:val="005F0ECF"/>
    <w:rsid w:val="005F1065"/>
    <w:rsid w:val="005F1209"/>
    <w:rsid w:val="005F1A15"/>
    <w:rsid w:val="005F1B32"/>
    <w:rsid w:val="005F1B4A"/>
    <w:rsid w:val="005F1B54"/>
    <w:rsid w:val="005F1BE5"/>
    <w:rsid w:val="005F22DB"/>
    <w:rsid w:val="005F2318"/>
    <w:rsid w:val="005F24CA"/>
    <w:rsid w:val="005F2536"/>
    <w:rsid w:val="005F26C7"/>
    <w:rsid w:val="005F2932"/>
    <w:rsid w:val="005F2BCE"/>
    <w:rsid w:val="005F2D3F"/>
    <w:rsid w:val="005F2DCE"/>
    <w:rsid w:val="005F3066"/>
    <w:rsid w:val="005F363F"/>
    <w:rsid w:val="005F3884"/>
    <w:rsid w:val="005F3E61"/>
    <w:rsid w:val="005F40AC"/>
    <w:rsid w:val="005F47FC"/>
    <w:rsid w:val="005F4A8C"/>
    <w:rsid w:val="005F4C18"/>
    <w:rsid w:val="005F4F89"/>
    <w:rsid w:val="005F529D"/>
    <w:rsid w:val="005F5356"/>
    <w:rsid w:val="005F551A"/>
    <w:rsid w:val="005F5555"/>
    <w:rsid w:val="005F566D"/>
    <w:rsid w:val="005F5748"/>
    <w:rsid w:val="005F5A64"/>
    <w:rsid w:val="005F5DF0"/>
    <w:rsid w:val="005F6665"/>
    <w:rsid w:val="005F6A01"/>
    <w:rsid w:val="005F6A8D"/>
    <w:rsid w:val="005F6E4A"/>
    <w:rsid w:val="005F7058"/>
    <w:rsid w:val="005F7271"/>
    <w:rsid w:val="005F72F7"/>
    <w:rsid w:val="005F7B10"/>
    <w:rsid w:val="006006A6"/>
    <w:rsid w:val="006008E8"/>
    <w:rsid w:val="006009D5"/>
    <w:rsid w:val="00600E20"/>
    <w:rsid w:val="00600F18"/>
    <w:rsid w:val="0060100E"/>
    <w:rsid w:val="006010F0"/>
    <w:rsid w:val="0060114E"/>
    <w:rsid w:val="006011A9"/>
    <w:rsid w:val="0060129D"/>
    <w:rsid w:val="00601853"/>
    <w:rsid w:val="00601968"/>
    <w:rsid w:val="00601A35"/>
    <w:rsid w:val="00601B00"/>
    <w:rsid w:val="00601BB5"/>
    <w:rsid w:val="00601EB0"/>
    <w:rsid w:val="00602161"/>
    <w:rsid w:val="00602294"/>
    <w:rsid w:val="006023EC"/>
    <w:rsid w:val="006029E1"/>
    <w:rsid w:val="00602A1B"/>
    <w:rsid w:val="00602AF6"/>
    <w:rsid w:val="00602F92"/>
    <w:rsid w:val="006037CD"/>
    <w:rsid w:val="00603822"/>
    <w:rsid w:val="00603828"/>
    <w:rsid w:val="0060406E"/>
    <w:rsid w:val="006041A3"/>
    <w:rsid w:val="00604925"/>
    <w:rsid w:val="006049C6"/>
    <w:rsid w:val="00604CFF"/>
    <w:rsid w:val="00604DDD"/>
    <w:rsid w:val="0060510C"/>
    <w:rsid w:val="00605676"/>
    <w:rsid w:val="006058A6"/>
    <w:rsid w:val="00605B80"/>
    <w:rsid w:val="006061B6"/>
    <w:rsid w:val="00606288"/>
    <w:rsid w:val="00606311"/>
    <w:rsid w:val="00606599"/>
    <w:rsid w:val="0060660E"/>
    <w:rsid w:val="00606707"/>
    <w:rsid w:val="006068A5"/>
    <w:rsid w:val="00606C4D"/>
    <w:rsid w:val="00606C5E"/>
    <w:rsid w:val="00606FF4"/>
    <w:rsid w:val="0060716D"/>
    <w:rsid w:val="0060717C"/>
    <w:rsid w:val="006072D5"/>
    <w:rsid w:val="00607480"/>
    <w:rsid w:val="00607554"/>
    <w:rsid w:val="00607832"/>
    <w:rsid w:val="006078BA"/>
    <w:rsid w:val="00607CE7"/>
    <w:rsid w:val="00607FEC"/>
    <w:rsid w:val="00610484"/>
    <w:rsid w:val="006105C3"/>
    <w:rsid w:val="00610C67"/>
    <w:rsid w:val="00610CD9"/>
    <w:rsid w:val="00610D37"/>
    <w:rsid w:val="00610D67"/>
    <w:rsid w:val="00610E92"/>
    <w:rsid w:val="006115CC"/>
    <w:rsid w:val="00611951"/>
    <w:rsid w:val="00611CAA"/>
    <w:rsid w:val="00611DB6"/>
    <w:rsid w:val="00611E29"/>
    <w:rsid w:val="00611F86"/>
    <w:rsid w:val="00611FC4"/>
    <w:rsid w:val="00611FFE"/>
    <w:rsid w:val="00612256"/>
    <w:rsid w:val="006125A8"/>
    <w:rsid w:val="00612AAF"/>
    <w:rsid w:val="00612CBA"/>
    <w:rsid w:val="00612FAA"/>
    <w:rsid w:val="0061325E"/>
    <w:rsid w:val="00613262"/>
    <w:rsid w:val="00613454"/>
    <w:rsid w:val="00613673"/>
    <w:rsid w:val="00613D11"/>
    <w:rsid w:val="0061419B"/>
    <w:rsid w:val="006143DA"/>
    <w:rsid w:val="006145BE"/>
    <w:rsid w:val="00614994"/>
    <w:rsid w:val="00614BD6"/>
    <w:rsid w:val="00614D61"/>
    <w:rsid w:val="00614E9F"/>
    <w:rsid w:val="00614F3E"/>
    <w:rsid w:val="00615139"/>
    <w:rsid w:val="00615502"/>
    <w:rsid w:val="00615731"/>
    <w:rsid w:val="00615F17"/>
    <w:rsid w:val="00616098"/>
    <w:rsid w:val="00616154"/>
    <w:rsid w:val="006162C5"/>
    <w:rsid w:val="00616964"/>
    <w:rsid w:val="006169D9"/>
    <w:rsid w:val="006176FB"/>
    <w:rsid w:val="006201F7"/>
    <w:rsid w:val="00620298"/>
    <w:rsid w:val="0062042D"/>
    <w:rsid w:val="0062061E"/>
    <w:rsid w:val="00620B20"/>
    <w:rsid w:val="00620FFD"/>
    <w:rsid w:val="00621054"/>
    <w:rsid w:val="006211D7"/>
    <w:rsid w:val="0062152D"/>
    <w:rsid w:val="00621559"/>
    <w:rsid w:val="00621657"/>
    <w:rsid w:val="006218C7"/>
    <w:rsid w:val="0062191D"/>
    <w:rsid w:val="00621D4C"/>
    <w:rsid w:val="00621F51"/>
    <w:rsid w:val="00622043"/>
    <w:rsid w:val="00622944"/>
    <w:rsid w:val="00622D22"/>
    <w:rsid w:val="00622D43"/>
    <w:rsid w:val="00622E90"/>
    <w:rsid w:val="006231EB"/>
    <w:rsid w:val="00623735"/>
    <w:rsid w:val="00623834"/>
    <w:rsid w:val="0062389E"/>
    <w:rsid w:val="006239A4"/>
    <w:rsid w:val="00623B4E"/>
    <w:rsid w:val="00623E7F"/>
    <w:rsid w:val="006241F7"/>
    <w:rsid w:val="006243D2"/>
    <w:rsid w:val="0062470C"/>
    <w:rsid w:val="00624715"/>
    <w:rsid w:val="006248A4"/>
    <w:rsid w:val="00624B38"/>
    <w:rsid w:val="00624DD0"/>
    <w:rsid w:val="00624ECD"/>
    <w:rsid w:val="00625292"/>
    <w:rsid w:val="006255DE"/>
    <w:rsid w:val="006256FE"/>
    <w:rsid w:val="006257ED"/>
    <w:rsid w:val="00625C08"/>
    <w:rsid w:val="0062626A"/>
    <w:rsid w:val="00626422"/>
    <w:rsid w:val="00626592"/>
    <w:rsid w:val="006266BE"/>
    <w:rsid w:val="006268E0"/>
    <w:rsid w:val="006269B8"/>
    <w:rsid w:val="00626C47"/>
    <w:rsid w:val="006270C9"/>
    <w:rsid w:val="006271B0"/>
    <w:rsid w:val="0062759A"/>
    <w:rsid w:val="00627627"/>
    <w:rsid w:val="0062776B"/>
    <w:rsid w:val="00627829"/>
    <w:rsid w:val="00627966"/>
    <w:rsid w:val="00627E3E"/>
    <w:rsid w:val="00627F79"/>
    <w:rsid w:val="006300C1"/>
    <w:rsid w:val="0063032E"/>
    <w:rsid w:val="0063042E"/>
    <w:rsid w:val="00630854"/>
    <w:rsid w:val="00630928"/>
    <w:rsid w:val="00630E4F"/>
    <w:rsid w:val="00630F50"/>
    <w:rsid w:val="00630FCB"/>
    <w:rsid w:val="00631070"/>
    <w:rsid w:val="006312D3"/>
    <w:rsid w:val="006314F3"/>
    <w:rsid w:val="0063163D"/>
    <w:rsid w:val="00631A2B"/>
    <w:rsid w:val="00631B83"/>
    <w:rsid w:val="00631F9B"/>
    <w:rsid w:val="006321EF"/>
    <w:rsid w:val="00632326"/>
    <w:rsid w:val="0063241A"/>
    <w:rsid w:val="00632551"/>
    <w:rsid w:val="00632700"/>
    <w:rsid w:val="00632954"/>
    <w:rsid w:val="00632959"/>
    <w:rsid w:val="00632F7C"/>
    <w:rsid w:val="0063311C"/>
    <w:rsid w:val="00633590"/>
    <w:rsid w:val="00633920"/>
    <w:rsid w:val="00633D5C"/>
    <w:rsid w:val="00634AEC"/>
    <w:rsid w:val="00634B2A"/>
    <w:rsid w:val="00634B45"/>
    <w:rsid w:val="00634FD4"/>
    <w:rsid w:val="006351E4"/>
    <w:rsid w:val="006352F2"/>
    <w:rsid w:val="00635431"/>
    <w:rsid w:val="006356EA"/>
    <w:rsid w:val="00635CD9"/>
    <w:rsid w:val="006361A6"/>
    <w:rsid w:val="006361EE"/>
    <w:rsid w:val="0063623D"/>
    <w:rsid w:val="006362F8"/>
    <w:rsid w:val="0063681E"/>
    <w:rsid w:val="00636879"/>
    <w:rsid w:val="006370BB"/>
    <w:rsid w:val="00637205"/>
    <w:rsid w:val="00637503"/>
    <w:rsid w:val="0063798B"/>
    <w:rsid w:val="006379B4"/>
    <w:rsid w:val="00637A09"/>
    <w:rsid w:val="006402FC"/>
    <w:rsid w:val="0064055A"/>
    <w:rsid w:val="006406F7"/>
    <w:rsid w:val="006407EC"/>
    <w:rsid w:val="00640AD2"/>
    <w:rsid w:val="00640B26"/>
    <w:rsid w:val="00641043"/>
    <w:rsid w:val="006418D9"/>
    <w:rsid w:val="00641AB0"/>
    <w:rsid w:val="00641F27"/>
    <w:rsid w:val="0064208D"/>
    <w:rsid w:val="0064209E"/>
    <w:rsid w:val="00642288"/>
    <w:rsid w:val="00642571"/>
    <w:rsid w:val="00642C42"/>
    <w:rsid w:val="00642CBB"/>
    <w:rsid w:val="00642FEA"/>
    <w:rsid w:val="006433E2"/>
    <w:rsid w:val="00643B80"/>
    <w:rsid w:val="00643CCF"/>
    <w:rsid w:val="00643CFE"/>
    <w:rsid w:val="00643D01"/>
    <w:rsid w:val="00644008"/>
    <w:rsid w:val="00644084"/>
    <w:rsid w:val="006441B1"/>
    <w:rsid w:val="0064471A"/>
    <w:rsid w:val="00645531"/>
    <w:rsid w:val="006455EE"/>
    <w:rsid w:val="00645623"/>
    <w:rsid w:val="00645DD6"/>
    <w:rsid w:val="00645EB3"/>
    <w:rsid w:val="006460E9"/>
    <w:rsid w:val="00646402"/>
    <w:rsid w:val="0064652F"/>
    <w:rsid w:val="006465C0"/>
    <w:rsid w:val="00646787"/>
    <w:rsid w:val="00646A4E"/>
    <w:rsid w:val="00646B85"/>
    <w:rsid w:val="00646CAC"/>
    <w:rsid w:val="00646CE4"/>
    <w:rsid w:val="00646D31"/>
    <w:rsid w:val="00646F52"/>
    <w:rsid w:val="0064740A"/>
    <w:rsid w:val="0064757B"/>
    <w:rsid w:val="006475C2"/>
    <w:rsid w:val="00647B62"/>
    <w:rsid w:val="00647BBF"/>
    <w:rsid w:val="00647BDC"/>
    <w:rsid w:val="00647C73"/>
    <w:rsid w:val="006501D5"/>
    <w:rsid w:val="0065028F"/>
    <w:rsid w:val="00650438"/>
    <w:rsid w:val="0065074E"/>
    <w:rsid w:val="006507F7"/>
    <w:rsid w:val="00650AD7"/>
    <w:rsid w:val="006512E1"/>
    <w:rsid w:val="006516A7"/>
    <w:rsid w:val="00651754"/>
    <w:rsid w:val="00651D59"/>
    <w:rsid w:val="00651E88"/>
    <w:rsid w:val="0065206F"/>
    <w:rsid w:val="006524B0"/>
    <w:rsid w:val="006525BE"/>
    <w:rsid w:val="00652AEE"/>
    <w:rsid w:val="00652BA7"/>
    <w:rsid w:val="00652C84"/>
    <w:rsid w:val="00652D19"/>
    <w:rsid w:val="00652DF2"/>
    <w:rsid w:val="00652F48"/>
    <w:rsid w:val="00653381"/>
    <w:rsid w:val="006533C1"/>
    <w:rsid w:val="006536A2"/>
    <w:rsid w:val="00653B02"/>
    <w:rsid w:val="00653BD4"/>
    <w:rsid w:val="00653E82"/>
    <w:rsid w:val="0065413D"/>
    <w:rsid w:val="00654212"/>
    <w:rsid w:val="006549F3"/>
    <w:rsid w:val="00654BE4"/>
    <w:rsid w:val="00654CAB"/>
    <w:rsid w:val="00655746"/>
    <w:rsid w:val="00655C1C"/>
    <w:rsid w:val="00655F85"/>
    <w:rsid w:val="006560CD"/>
    <w:rsid w:val="0065618F"/>
    <w:rsid w:val="0065624C"/>
    <w:rsid w:val="006563DF"/>
    <w:rsid w:val="006568D9"/>
    <w:rsid w:val="00656A3F"/>
    <w:rsid w:val="00657091"/>
    <w:rsid w:val="00657202"/>
    <w:rsid w:val="0065766B"/>
    <w:rsid w:val="00657A35"/>
    <w:rsid w:val="00657B15"/>
    <w:rsid w:val="00657CA9"/>
    <w:rsid w:val="00657D5B"/>
    <w:rsid w:val="00657E4A"/>
    <w:rsid w:val="00657F44"/>
    <w:rsid w:val="00657FE9"/>
    <w:rsid w:val="006603D0"/>
    <w:rsid w:val="006603DC"/>
    <w:rsid w:val="0066049F"/>
    <w:rsid w:val="00660870"/>
    <w:rsid w:val="00660933"/>
    <w:rsid w:val="00660D06"/>
    <w:rsid w:val="00660D7B"/>
    <w:rsid w:val="00660D9B"/>
    <w:rsid w:val="00660E0E"/>
    <w:rsid w:val="00661133"/>
    <w:rsid w:val="00661367"/>
    <w:rsid w:val="006614C5"/>
    <w:rsid w:val="0066171D"/>
    <w:rsid w:val="00661881"/>
    <w:rsid w:val="00661918"/>
    <w:rsid w:val="00661A05"/>
    <w:rsid w:val="006623E3"/>
    <w:rsid w:val="00662887"/>
    <w:rsid w:val="0066298C"/>
    <w:rsid w:val="006629EB"/>
    <w:rsid w:val="00662BE9"/>
    <w:rsid w:val="00662C1F"/>
    <w:rsid w:val="00662CB1"/>
    <w:rsid w:val="00662CBB"/>
    <w:rsid w:val="006630D1"/>
    <w:rsid w:val="0066340C"/>
    <w:rsid w:val="00663911"/>
    <w:rsid w:val="00663BAF"/>
    <w:rsid w:val="00663E46"/>
    <w:rsid w:val="00663EAD"/>
    <w:rsid w:val="00663F4F"/>
    <w:rsid w:val="00664041"/>
    <w:rsid w:val="00664481"/>
    <w:rsid w:val="006646B0"/>
    <w:rsid w:val="00664830"/>
    <w:rsid w:val="006659FA"/>
    <w:rsid w:val="00665D31"/>
    <w:rsid w:val="00665DF1"/>
    <w:rsid w:val="0066643A"/>
    <w:rsid w:val="00666543"/>
    <w:rsid w:val="00666813"/>
    <w:rsid w:val="006668F1"/>
    <w:rsid w:val="00666EF6"/>
    <w:rsid w:val="006671FE"/>
    <w:rsid w:val="00667580"/>
    <w:rsid w:val="00667581"/>
    <w:rsid w:val="00667D19"/>
    <w:rsid w:val="006700CD"/>
    <w:rsid w:val="006704A2"/>
    <w:rsid w:val="0067058D"/>
    <w:rsid w:val="0067077A"/>
    <w:rsid w:val="00670987"/>
    <w:rsid w:val="006709F6"/>
    <w:rsid w:val="00670EEE"/>
    <w:rsid w:val="00671168"/>
    <w:rsid w:val="006711A4"/>
    <w:rsid w:val="0067153B"/>
    <w:rsid w:val="006718DE"/>
    <w:rsid w:val="00671BD1"/>
    <w:rsid w:val="00671C71"/>
    <w:rsid w:val="00671F42"/>
    <w:rsid w:val="006725D3"/>
    <w:rsid w:val="00672667"/>
    <w:rsid w:val="006727BE"/>
    <w:rsid w:val="0067284D"/>
    <w:rsid w:val="00672CA9"/>
    <w:rsid w:val="00672EA9"/>
    <w:rsid w:val="0067363E"/>
    <w:rsid w:val="00673B0E"/>
    <w:rsid w:val="00673F41"/>
    <w:rsid w:val="006743C8"/>
    <w:rsid w:val="006743CA"/>
    <w:rsid w:val="00674744"/>
    <w:rsid w:val="00674834"/>
    <w:rsid w:val="006748BF"/>
    <w:rsid w:val="00674963"/>
    <w:rsid w:val="00674D95"/>
    <w:rsid w:val="0067510E"/>
    <w:rsid w:val="00675139"/>
    <w:rsid w:val="006754F9"/>
    <w:rsid w:val="00675A6F"/>
    <w:rsid w:val="00675F53"/>
    <w:rsid w:val="00675F9C"/>
    <w:rsid w:val="006765A7"/>
    <w:rsid w:val="006766B7"/>
    <w:rsid w:val="00676946"/>
    <w:rsid w:val="00676B75"/>
    <w:rsid w:val="00676C68"/>
    <w:rsid w:val="00676E83"/>
    <w:rsid w:val="00676FC4"/>
    <w:rsid w:val="00677057"/>
    <w:rsid w:val="006770B2"/>
    <w:rsid w:val="00677150"/>
    <w:rsid w:val="0067716B"/>
    <w:rsid w:val="00677216"/>
    <w:rsid w:val="00677231"/>
    <w:rsid w:val="006773B9"/>
    <w:rsid w:val="006775E9"/>
    <w:rsid w:val="006776E9"/>
    <w:rsid w:val="00677795"/>
    <w:rsid w:val="006778B4"/>
    <w:rsid w:val="00677E6D"/>
    <w:rsid w:val="00677EE9"/>
    <w:rsid w:val="00680240"/>
    <w:rsid w:val="006805B4"/>
    <w:rsid w:val="00680760"/>
    <w:rsid w:val="00680BEE"/>
    <w:rsid w:val="00680D59"/>
    <w:rsid w:val="006810AB"/>
    <w:rsid w:val="006814D7"/>
    <w:rsid w:val="006815D1"/>
    <w:rsid w:val="006816BD"/>
    <w:rsid w:val="00681B13"/>
    <w:rsid w:val="00681C4D"/>
    <w:rsid w:val="00681DCE"/>
    <w:rsid w:val="00681E3A"/>
    <w:rsid w:val="00681EAE"/>
    <w:rsid w:val="006821DC"/>
    <w:rsid w:val="00682539"/>
    <w:rsid w:val="006827CB"/>
    <w:rsid w:val="00682956"/>
    <w:rsid w:val="006829CB"/>
    <w:rsid w:val="00682A7E"/>
    <w:rsid w:val="00682E57"/>
    <w:rsid w:val="00682FA7"/>
    <w:rsid w:val="00683081"/>
    <w:rsid w:val="006832BB"/>
    <w:rsid w:val="006837AD"/>
    <w:rsid w:val="0068383F"/>
    <w:rsid w:val="006838AE"/>
    <w:rsid w:val="006838C1"/>
    <w:rsid w:val="00683A2F"/>
    <w:rsid w:val="00683AC1"/>
    <w:rsid w:val="00683BFC"/>
    <w:rsid w:val="00683C31"/>
    <w:rsid w:val="00683EAE"/>
    <w:rsid w:val="00683FB7"/>
    <w:rsid w:val="006841A3"/>
    <w:rsid w:val="00684311"/>
    <w:rsid w:val="00684357"/>
    <w:rsid w:val="00684702"/>
    <w:rsid w:val="00684862"/>
    <w:rsid w:val="00684A1B"/>
    <w:rsid w:val="00684C2B"/>
    <w:rsid w:val="00684E27"/>
    <w:rsid w:val="00684F33"/>
    <w:rsid w:val="0068530F"/>
    <w:rsid w:val="00685338"/>
    <w:rsid w:val="00685BA8"/>
    <w:rsid w:val="00685D9D"/>
    <w:rsid w:val="00685E94"/>
    <w:rsid w:val="00685EC8"/>
    <w:rsid w:val="00685F0A"/>
    <w:rsid w:val="00686082"/>
    <w:rsid w:val="006862E9"/>
    <w:rsid w:val="00686659"/>
    <w:rsid w:val="00686741"/>
    <w:rsid w:val="00686750"/>
    <w:rsid w:val="0068696F"/>
    <w:rsid w:val="00686A48"/>
    <w:rsid w:val="00686B47"/>
    <w:rsid w:val="00686C9C"/>
    <w:rsid w:val="00687397"/>
    <w:rsid w:val="006874F7"/>
    <w:rsid w:val="006875CD"/>
    <w:rsid w:val="00687767"/>
    <w:rsid w:val="00687F1D"/>
    <w:rsid w:val="006901CC"/>
    <w:rsid w:val="00690DED"/>
    <w:rsid w:val="00690F3F"/>
    <w:rsid w:val="00690FFE"/>
    <w:rsid w:val="006910A7"/>
    <w:rsid w:val="00691137"/>
    <w:rsid w:val="00691325"/>
    <w:rsid w:val="006913F1"/>
    <w:rsid w:val="00691706"/>
    <w:rsid w:val="00691715"/>
    <w:rsid w:val="00691B8E"/>
    <w:rsid w:val="006921DE"/>
    <w:rsid w:val="0069220A"/>
    <w:rsid w:val="00692351"/>
    <w:rsid w:val="006927C4"/>
    <w:rsid w:val="00692921"/>
    <w:rsid w:val="00692AA8"/>
    <w:rsid w:val="00692D7F"/>
    <w:rsid w:val="0069316D"/>
    <w:rsid w:val="00693608"/>
    <w:rsid w:val="00693AF1"/>
    <w:rsid w:val="00693BB6"/>
    <w:rsid w:val="00693FB1"/>
    <w:rsid w:val="006940E1"/>
    <w:rsid w:val="006942B6"/>
    <w:rsid w:val="00694360"/>
    <w:rsid w:val="006943C7"/>
    <w:rsid w:val="0069448F"/>
    <w:rsid w:val="00694543"/>
    <w:rsid w:val="00694615"/>
    <w:rsid w:val="00694ACD"/>
    <w:rsid w:val="00694E69"/>
    <w:rsid w:val="00694E91"/>
    <w:rsid w:val="00694EFA"/>
    <w:rsid w:val="00694F61"/>
    <w:rsid w:val="006953E1"/>
    <w:rsid w:val="006953E5"/>
    <w:rsid w:val="006953F2"/>
    <w:rsid w:val="006953FC"/>
    <w:rsid w:val="0069551F"/>
    <w:rsid w:val="00695723"/>
    <w:rsid w:val="006958F6"/>
    <w:rsid w:val="00695A5C"/>
    <w:rsid w:val="00695B28"/>
    <w:rsid w:val="00695B35"/>
    <w:rsid w:val="00695B88"/>
    <w:rsid w:val="00695BF1"/>
    <w:rsid w:val="00695BF4"/>
    <w:rsid w:val="00695FDB"/>
    <w:rsid w:val="00696050"/>
    <w:rsid w:val="0069637F"/>
    <w:rsid w:val="006963A7"/>
    <w:rsid w:val="006963D0"/>
    <w:rsid w:val="006969CE"/>
    <w:rsid w:val="00696BF6"/>
    <w:rsid w:val="00696C55"/>
    <w:rsid w:val="00696CE4"/>
    <w:rsid w:val="00696ECD"/>
    <w:rsid w:val="0069701E"/>
    <w:rsid w:val="0069711A"/>
    <w:rsid w:val="006973F6"/>
    <w:rsid w:val="0069742E"/>
    <w:rsid w:val="00697435"/>
    <w:rsid w:val="0069748E"/>
    <w:rsid w:val="00697941"/>
    <w:rsid w:val="00697AC5"/>
    <w:rsid w:val="00697D04"/>
    <w:rsid w:val="00697D1F"/>
    <w:rsid w:val="00697E72"/>
    <w:rsid w:val="00697EFE"/>
    <w:rsid w:val="00697FB1"/>
    <w:rsid w:val="006A001A"/>
    <w:rsid w:val="006A0499"/>
    <w:rsid w:val="006A0505"/>
    <w:rsid w:val="006A06A6"/>
    <w:rsid w:val="006A0860"/>
    <w:rsid w:val="006A09A4"/>
    <w:rsid w:val="006A0C93"/>
    <w:rsid w:val="006A0EEC"/>
    <w:rsid w:val="006A1251"/>
    <w:rsid w:val="006A128A"/>
    <w:rsid w:val="006A1302"/>
    <w:rsid w:val="006A133A"/>
    <w:rsid w:val="006A15CF"/>
    <w:rsid w:val="006A179E"/>
    <w:rsid w:val="006A17FD"/>
    <w:rsid w:val="006A19A8"/>
    <w:rsid w:val="006A1F4D"/>
    <w:rsid w:val="006A20B4"/>
    <w:rsid w:val="006A2410"/>
    <w:rsid w:val="006A2448"/>
    <w:rsid w:val="006A26C1"/>
    <w:rsid w:val="006A2878"/>
    <w:rsid w:val="006A28D7"/>
    <w:rsid w:val="006A2958"/>
    <w:rsid w:val="006A2A8C"/>
    <w:rsid w:val="006A2EA2"/>
    <w:rsid w:val="006A2EEE"/>
    <w:rsid w:val="006A31B7"/>
    <w:rsid w:val="006A3250"/>
    <w:rsid w:val="006A3560"/>
    <w:rsid w:val="006A363A"/>
    <w:rsid w:val="006A373F"/>
    <w:rsid w:val="006A38B1"/>
    <w:rsid w:val="006A3A61"/>
    <w:rsid w:val="006A3ABC"/>
    <w:rsid w:val="006A3C72"/>
    <w:rsid w:val="006A3D9F"/>
    <w:rsid w:val="006A3EFA"/>
    <w:rsid w:val="006A40E8"/>
    <w:rsid w:val="006A42CC"/>
    <w:rsid w:val="006A4592"/>
    <w:rsid w:val="006A4675"/>
    <w:rsid w:val="006A46E6"/>
    <w:rsid w:val="006A4922"/>
    <w:rsid w:val="006A4EED"/>
    <w:rsid w:val="006A51C4"/>
    <w:rsid w:val="006A556B"/>
    <w:rsid w:val="006A55D3"/>
    <w:rsid w:val="006A5611"/>
    <w:rsid w:val="006A5738"/>
    <w:rsid w:val="006A57D7"/>
    <w:rsid w:val="006A582E"/>
    <w:rsid w:val="006A595D"/>
    <w:rsid w:val="006A5D5D"/>
    <w:rsid w:val="006A5D76"/>
    <w:rsid w:val="006A6326"/>
    <w:rsid w:val="006A6501"/>
    <w:rsid w:val="006A6537"/>
    <w:rsid w:val="006A668F"/>
    <w:rsid w:val="006A66C9"/>
    <w:rsid w:val="006A68D7"/>
    <w:rsid w:val="006A6E40"/>
    <w:rsid w:val="006A7167"/>
    <w:rsid w:val="006A7392"/>
    <w:rsid w:val="006A79CA"/>
    <w:rsid w:val="006A7B7D"/>
    <w:rsid w:val="006A7BB9"/>
    <w:rsid w:val="006A7C1B"/>
    <w:rsid w:val="006A7CB8"/>
    <w:rsid w:val="006A7E4F"/>
    <w:rsid w:val="006B0200"/>
    <w:rsid w:val="006B0228"/>
    <w:rsid w:val="006B0326"/>
    <w:rsid w:val="006B035A"/>
    <w:rsid w:val="006B03A1"/>
    <w:rsid w:val="006B03A4"/>
    <w:rsid w:val="006B0765"/>
    <w:rsid w:val="006B0881"/>
    <w:rsid w:val="006B0887"/>
    <w:rsid w:val="006B0A51"/>
    <w:rsid w:val="006B0D48"/>
    <w:rsid w:val="006B0D4F"/>
    <w:rsid w:val="006B0E5B"/>
    <w:rsid w:val="006B0ECE"/>
    <w:rsid w:val="006B1288"/>
    <w:rsid w:val="006B12C0"/>
    <w:rsid w:val="006B1459"/>
    <w:rsid w:val="006B14BA"/>
    <w:rsid w:val="006B1660"/>
    <w:rsid w:val="006B173B"/>
    <w:rsid w:val="006B1810"/>
    <w:rsid w:val="006B1B5A"/>
    <w:rsid w:val="006B1BEC"/>
    <w:rsid w:val="006B1C7E"/>
    <w:rsid w:val="006B2367"/>
    <w:rsid w:val="006B2674"/>
    <w:rsid w:val="006B2A1D"/>
    <w:rsid w:val="006B30C4"/>
    <w:rsid w:val="006B3173"/>
    <w:rsid w:val="006B3348"/>
    <w:rsid w:val="006B3388"/>
    <w:rsid w:val="006B3397"/>
    <w:rsid w:val="006B3584"/>
    <w:rsid w:val="006B3BDF"/>
    <w:rsid w:val="006B3C43"/>
    <w:rsid w:val="006B3C66"/>
    <w:rsid w:val="006B3D29"/>
    <w:rsid w:val="006B3DFC"/>
    <w:rsid w:val="006B43EF"/>
    <w:rsid w:val="006B44B2"/>
    <w:rsid w:val="006B4516"/>
    <w:rsid w:val="006B458D"/>
    <w:rsid w:val="006B47B8"/>
    <w:rsid w:val="006B481F"/>
    <w:rsid w:val="006B4980"/>
    <w:rsid w:val="006B4A66"/>
    <w:rsid w:val="006B4A70"/>
    <w:rsid w:val="006B4B8B"/>
    <w:rsid w:val="006B4EB8"/>
    <w:rsid w:val="006B4F6C"/>
    <w:rsid w:val="006B5017"/>
    <w:rsid w:val="006B52BC"/>
    <w:rsid w:val="006B5855"/>
    <w:rsid w:val="006B59B1"/>
    <w:rsid w:val="006B5C06"/>
    <w:rsid w:val="006B620A"/>
    <w:rsid w:val="006B6357"/>
    <w:rsid w:val="006B67D9"/>
    <w:rsid w:val="006B682B"/>
    <w:rsid w:val="006B68D0"/>
    <w:rsid w:val="006B6974"/>
    <w:rsid w:val="006B6B08"/>
    <w:rsid w:val="006B6C22"/>
    <w:rsid w:val="006B6FFC"/>
    <w:rsid w:val="006B76EF"/>
    <w:rsid w:val="006B7817"/>
    <w:rsid w:val="006B7A60"/>
    <w:rsid w:val="006B7E60"/>
    <w:rsid w:val="006B7E68"/>
    <w:rsid w:val="006B7FC4"/>
    <w:rsid w:val="006C01C5"/>
    <w:rsid w:val="006C01D8"/>
    <w:rsid w:val="006C0367"/>
    <w:rsid w:val="006C0631"/>
    <w:rsid w:val="006C0977"/>
    <w:rsid w:val="006C0B95"/>
    <w:rsid w:val="006C0D24"/>
    <w:rsid w:val="006C0E0B"/>
    <w:rsid w:val="006C0EA5"/>
    <w:rsid w:val="006C134A"/>
    <w:rsid w:val="006C17FB"/>
    <w:rsid w:val="006C18E9"/>
    <w:rsid w:val="006C1911"/>
    <w:rsid w:val="006C19C1"/>
    <w:rsid w:val="006C1BEA"/>
    <w:rsid w:val="006C1E25"/>
    <w:rsid w:val="006C20BC"/>
    <w:rsid w:val="006C2AF0"/>
    <w:rsid w:val="006C2DE5"/>
    <w:rsid w:val="006C2F52"/>
    <w:rsid w:val="006C300F"/>
    <w:rsid w:val="006C3055"/>
    <w:rsid w:val="006C3079"/>
    <w:rsid w:val="006C30C3"/>
    <w:rsid w:val="006C323B"/>
    <w:rsid w:val="006C33DE"/>
    <w:rsid w:val="006C376A"/>
    <w:rsid w:val="006C3899"/>
    <w:rsid w:val="006C3E0A"/>
    <w:rsid w:val="006C3EDF"/>
    <w:rsid w:val="006C3FCC"/>
    <w:rsid w:val="006C4087"/>
    <w:rsid w:val="006C47F4"/>
    <w:rsid w:val="006C5535"/>
    <w:rsid w:val="006C55D3"/>
    <w:rsid w:val="006C5938"/>
    <w:rsid w:val="006C59CF"/>
    <w:rsid w:val="006C5C3A"/>
    <w:rsid w:val="006C5E0D"/>
    <w:rsid w:val="006C61A2"/>
    <w:rsid w:val="006C6294"/>
    <w:rsid w:val="006C651E"/>
    <w:rsid w:val="006C655F"/>
    <w:rsid w:val="006C65BC"/>
    <w:rsid w:val="006C67B9"/>
    <w:rsid w:val="006C67C6"/>
    <w:rsid w:val="006C6890"/>
    <w:rsid w:val="006C6D77"/>
    <w:rsid w:val="006C6EB1"/>
    <w:rsid w:val="006C7235"/>
    <w:rsid w:val="006C7CDF"/>
    <w:rsid w:val="006C7E61"/>
    <w:rsid w:val="006D0589"/>
    <w:rsid w:val="006D0A85"/>
    <w:rsid w:val="006D0C42"/>
    <w:rsid w:val="006D0CB8"/>
    <w:rsid w:val="006D10EA"/>
    <w:rsid w:val="006D10FA"/>
    <w:rsid w:val="006D18AC"/>
    <w:rsid w:val="006D1C5B"/>
    <w:rsid w:val="006D218A"/>
    <w:rsid w:val="006D2452"/>
    <w:rsid w:val="006D2A3F"/>
    <w:rsid w:val="006D304E"/>
    <w:rsid w:val="006D3401"/>
    <w:rsid w:val="006D35B2"/>
    <w:rsid w:val="006D35CD"/>
    <w:rsid w:val="006D3996"/>
    <w:rsid w:val="006D3B54"/>
    <w:rsid w:val="006D3BBF"/>
    <w:rsid w:val="006D3C25"/>
    <w:rsid w:val="006D3C42"/>
    <w:rsid w:val="006D3D8A"/>
    <w:rsid w:val="006D3FD3"/>
    <w:rsid w:val="006D4443"/>
    <w:rsid w:val="006D4541"/>
    <w:rsid w:val="006D473A"/>
    <w:rsid w:val="006D4C31"/>
    <w:rsid w:val="006D4DA9"/>
    <w:rsid w:val="006D5040"/>
    <w:rsid w:val="006D52CF"/>
    <w:rsid w:val="006D5314"/>
    <w:rsid w:val="006D5432"/>
    <w:rsid w:val="006D5BA9"/>
    <w:rsid w:val="006D5FFE"/>
    <w:rsid w:val="006D62BD"/>
    <w:rsid w:val="006D68F8"/>
    <w:rsid w:val="006D6A10"/>
    <w:rsid w:val="006D6ABE"/>
    <w:rsid w:val="006D6BC0"/>
    <w:rsid w:val="006D6EDC"/>
    <w:rsid w:val="006D7161"/>
    <w:rsid w:val="006D7174"/>
    <w:rsid w:val="006D7184"/>
    <w:rsid w:val="006D7F80"/>
    <w:rsid w:val="006D7FF0"/>
    <w:rsid w:val="006E017B"/>
    <w:rsid w:val="006E0300"/>
    <w:rsid w:val="006E0613"/>
    <w:rsid w:val="006E0772"/>
    <w:rsid w:val="006E0842"/>
    <w:rsid w:val="006E0B17"/>
    <w:rsid w:val="006E0B90"/>
    <w:rsid w:val="006E0BC1"/>
    <w:rsid w:val="006E0CED"/>
    <w:rsid w:val="006E0D41"/>
    <w:rsid w:val="006E10A2"/>
    <w:rsid w:val="006E150D"/>
    <w:rsid w:val="006E1568"/>
    <w:rsid w:val="006E192F"/>
    <w:rsid w:val="006E1C3A"/>
    <w:rsid w:val="006E2A0E"/>
    <w:rsid w:val="006E2A26"/>
    <w:rsid w:val="006E2A4B"/>
    <w:rsid w:val="006E320F"/>
    <w:rsid w:val="006E344F"/>
    <w:rsid w:val="006E363C"/>
    <w:rsid w:val="006E365F"/>
    <w:rsid w:val="006E37E7"/>
    <w:rsid w:val="006E3886"/>
    <w:rsid w:val="006E3AAB"/>
    <w:rsid w:val="006E3AFB"/>
    <w:rsid w:val="006E3CFE"/>
    <w:rsid w:val="006E4429"/>
    <w:rsid w:val="006E4564"/>
    <w:rsid w:val="006E4A99"/>
    <w:rsid w:val="006E4D44"/>
    <w:rsid w:val="006E4D7F"/>
    <w:rsid w:val="006E5345"/>
    <w:rsid w:val="006E564B"/>
    <w:rsid w:val="006E5816"/>
    <w:rsid w:val="006E581C"/>
    <w:rsid w:val="006E5DC5"/>
    <w:rsid w:val="006E6207"/>
    <w:rsid w:val="006E6FA2"/>
    <w:rsid w:val="006E7154"/>
    <w:rsid w:val="006E724E"/>
    <w:rsid w:val="006E7480"/>
    <w:rsid w:val="006E74AB"/>
    <w:rsid w:val="006E782A"/>
    <w:rsid w:val="006E78D7"/>
    <w:rsid w:val="006E7E72"/>
    <w:rsid w:val="006F01F1"/>
    <w:rsid w:val="006F052E"/>
    <w:rsid w:val="006F06FB"/>
    <w:rsid w:val="006F0DF8"/>
    <w:rsid w:val="006F1421"/>
    <w:rsid w:val="006F1591"/>
    <w:rsid w:val="006F15F4"/>
    <w:rsid w:val="006F17ED"/>
    <w:rsid w:val="006F214F"/>
    <w:rsid w:val="006F2766"/>
    <w:rsid w:val="006F2878"/>
    <w:rsid w:val="006F28A0"/>
    <w:rsid w:val="006F2B47"/>
    <w:rsid w:val="006F2B7B"/>
    <w:rsid w:val="006F3593"/>
    <w:rsid w:val="006F35E8"/>
    <w:rsid w:val="006F3903"/>
    <w:rsid w:val="006F3A05"/>
    <w:rsid w:val="006F3B1D"/>
    <w:rsid w:val="006F4044"/>
    <w:rsid w:val="006F41A1"/>
    <w:rsid w:val="006F43A2"/>
    <w:rsid w:val="006F46B1"/>
    <w:rsid w:val="006F4784"/>
    <w:rsid w:val="006F4792"/>
    <w:rsid w:val="006F4A87"/>
    <w:rsid w:val="006F4C57"/>
    <w:rsid w:val="006F5299"/>
    <w:rsid w:val="006F5307"/>
    <w:rsid w:val="006F54A7"/>
    <w:rsid w:val="006F569A"/>
    <w:rsid w:val="006F576A"/>
    <w:rsid w:val="006F5785"/>
    <w:rsid w:val="006F5C34"/>
    <w:rsid w:val="006F5F51"/>
    <w:rsid w:val="006F60D1"/>
    <w:rsid w:val="006F67A7"/>
    <w:rsid w:val="006F69A2"/>
    <w:rsid w:val="006F6C1A"/>
    <w:rsid w:val="006F6C81"/>
    <w:rsid w:val="006F70B7"/>
    <w:rsid w:val="006F75B3"/>
    <w:rsid w:val="006F76CE"/>
    <w:rsid w:val="006F785D"/>
    <w:rsid w:val="006F798F"/>
    <w:rsid w:val="006F7FF9"/>
    <w:rsid w:val="007000B9"/>
    <w:rsid w:val="0070021A"/>
    <w:rsid w:val="00700290"/>
    <w:rsid w:val="007003CD"/>
    <w:rsid w:val="00700636"/>
    <w:rsid w:val="00700DF3"/>
    <w:rsid w:val="00700F74"/>
    <w:rsid w:val="0070100D"/>
    <w:rsid w:val="0070115F"/>
    <w:rsid w:val="0070118F"/>
    <w:rsid w:val="00701817"/>
    <w:rsid w:val="0070185C"/>
    <w:rsid w:val="0070196A"/>
    <w:rsid w:val="00701E79"/>
    <w:rsid w:val="00701F21"/>
    <w:rsid w:val="00702193"/>
    <w:rsid w:val="007024B2"/>
    <w:rsid w:val="007024EB"/>
    <w:rsid w:val="00702C50"/>
    <w:rsid w:val="00702C6D"/>
    <w:rsid w:val="00702CE0"/>
    <w:rsid w:val="00702E86"/>
    <w:rsid w:val="0070328A"/>
    <w:rsid w:val="00703304"/>
    <w:rsid w:val="00703C0D"/>
    <w:rsid w:val="00703D28"/>
    <w:rsid w:val="00703E5F"/>
    <w:rsid w:val="0070428F"/>
    <w:rsid w:val="00704729"/>
    <w:rsid w:val="00704D3B"/>
    <w:rsid w:val="00704F05"/>
    <w:rsid w:val="00705416"/>
    <w:rsid w:val="00705439"/>
    <w:rsid w:val="0070552C"/>
    <w:rsid w:val="0070573D"/>
    <w:rsid w:val="007058AC"/>
    <w:rsid w:val="00705E73"/>
    <w:rsid w:val="00706704"/>
    <w:rsid w:val="00706820"/>
    <w:rsid w:val="00706A92"/>
    <w:rsid w:val="0070701E"/>
    <w:rsid w:val="00707196"/>
    <w:rsid w:val="0070757E"/>
    <w:rsid w:val="00707AF8"/>
    <w:rsid w:val="00707B13"/>
    <w:rsid w:val="00707BC4"/>
    <w:rsid w:val="00707C99"/>
    <w:rsid w:val="00707E50"/>
    <w:rsid w:val="00707F05"/>
    <w:rsid w:val="00710090"/>
    <w:rsid w:val="00710526"/>
    <w:rsid w:val="00710B93"/>
    <w:rsid w:val="00710C12"/>
    <w:rsid w:val="00710D99"/>
    <w:rsid w:val="00710E59"/>
    <w:rsid w:val="00710FDA"/>
    <w:rsid w:val="00711065"/>
    <w:rsid w:val="0071106F"/>
    <w:rsid w:val="007118E0"/>
    <w:rsid w:val="00711A2B"/>
    <w:rsid w:val="00711B1A"/>
    <w:rsid w:val="00711D2E"/>
    <w:rsid w:val="00711FD1"/>
    <w:rsid w:val="00712022"/>
    <w:rsid w:val="00712748"/>
    <w:rsid w:val="00712D13"/>
    <w:rsid w:val="00712E92"/>
    <w:rsid w:val="00712EB9"/>
    <w:rsid w:val="00713873"/>
    <w:rsid w:val="0071397C"/>
    <w:rsid w:val="00713A0D"/>
    <w:rsid w:val="00713ADF"/>
    <w:rsid w:val="00713D11"/>
    <w:rsid w:val="00713D53"/>
    <w:rsid w:val="00714248"/>
    <w:rsid w:val="00714372"/>
    <w:rsid w:val="00714B21"/>
    <w:rsid w:val="00714B58"/>
    <w:rsid w:val="00714EE2"/>
    <w:rsid w:val="00715238"/>
    <w:rsid w:val="0071526F"/>
    <w:rsid w:val="007153B3"/>
    <w:rsid w:val="007158CB"/>
    <w:rsid w:val="00715A7E"/>
    <w:rsid w:val="00715B26"/>
    <w:rsid w:val="00715BCE"/>
    <w:rsid w:val="00715CA7"/>
    <w:rsid w:val="00715D86"/>
    <w:rsid w:val="00715F03"/>
    <w:rsid w:val="00716131"/>
    <w:rsid w:val="007161E5"/>
    <w:rsid w:val="007165AC"/>
    <w:rsid w:val="00716E79"/>
    <w:rsid w:val="00716FF1"/>
    <w:rsid w:val="007170AC"/>
    <w:rsid w:val="00717380"/>
    <w:rsid w:val="007174D0"/>
    <w:rsid w:val="0071785C"/>
    <w:rsid w:val="007178B2"/>
    <w:rsid w:val="00717C86"/>
    <w:rsid w:val="00717D35"/>
    <w:rsid w:val="00717EF5"/>
    <w:rsid w:val="00717F00"/>
    <w:rsid w:val="00717F59"/>
    <w:rsid w:val="00717F5F"/>
    <w:rsid w:val="007200DB"/>
    <w:rsid w:val="00720250"/>
    <w:rsid w:val="007203AA"/>
    <w:rsid w:val="00720480"/>
    <w:rsid w:val="007207F6"/>
    <w:rsid w:val="0072084B"/>
    <w:rsid w:val="0072086A"/>
    <w:rsid w:val="00720AF1"/>
    <w:rsid w:val="00720FAD"/>
    <w:rsid w:val="0072108C"/>
    <w:rsid w:val="00721340"/>
    <w:rsid w:val="00721524"/>
    <w:rsid w:val="00721539"/>
    <w:rsid w:val="00721705"/>
    <w:rsid w:val="0072171B"/>
    <w:rsid w:val="007217A6"/>
    <w:rsid w:val="00721850"/>
    <w:rsid w:val="00721EA8"/>
    <w:rsid w:val="00722101"/>
    <w:rsid w:val="007222AA"/>
    <w:rsid w:val="007223F5"/>
    <w:rsid w:val="00722515"/>
    <w:rsid w:val="007237B8"/>
    <w:rsid w:val="00723BBB"/>
    <w:rsid w:val="00723CA5"/>
    <w:rsid w:val="00724399"/>
    <w:rsid w:val="0072453B"/>
    <w:rsid w:val="007248E8"/>
    <w:rsid w:val="007251D2"/>
    <w:rsid w:val="00725509"/>
    <w:rsid w:val="00725D32"/>
    <w:rsid w:val="0072605A"/>
    <w:rsid w:val="0072632A"/>
    <w:rsid w:val="0072676D"/>
    <w:rsid w:val="00726849"/>
    <w:rsid w:val="0072686C"/>
    <w:rsid w:val="00726C11"/>
    <w:rsid w:val="00726F8B"/>
    <w:rsid w:val="00726FBF"/>
    <w:rsid w:val="00727025"/>
    <w:rsid w:val="0072726B"/>
    <w:rsid w:val="007273C7"/>
    <w:rsid w:val="00727566"/>
    <w:rsid w:val="00727727"/>
    <w:rsid w:val="007277C6"/>
    <w:rsid w:val="00727D6A"/>
    <w:rsid w:val="0073046F"/>
    <w:rsid w:val="00730BC2"/>
    <w:rsid w:val="00730CC6"/>
    <w:rsid w:val="00730FCA"/>
    <w:rsid w:val="007315E3"/>
    <w:rsid w:val="007316D7"/>
    <w:rsid w:val="00731874"/>
    <w:rsid w:val="007319B8"/>
    <w:rsid w:val="00731A0E"/>
    <w:rsid w:val="00731F6C"/>
    <w:rsid w:val="0073215B"/>
    <w:rsid w:val="007323EB"/>
    <w:rsid w:val="00732472"/>
    <w:rsid w:val="00732481"/>
    <w:rsid w:val="00733153"/>
    <w:rsid w:val="0073323B"/>
    <w:rsid w:val="007335EA"/>
    <w:rsid w:val="0073361E"/>
    <w:rsid w:val="0073390D"/>
    <w:rsid w:val="00733991"/>
    <w:rsid w:val="00733994"/>
    <w:rsid w:val="00733ABB"/>
    <w:rsid w:val="00733BD2"/>
    <w:rsid w:val="00733DC8"/>
    <w:rsid w:val="0073407C"/>
    <w:rsid w:val="00734143"/>
    <w:rsid w:val="00734187"/>
    <w:rsid w:val="00734271"/>
    <w:rsid w:val="007342C9"/>
    <w:rsid w:val="007343D3"/>
    <w:rsid w:val="007344E3"/>
    <w:rsid w:val="0073491E"/>
    <w:rsid w:val="00734B5E"/>
    <w:rsid w:val="00734EF7"/>
    <w:rsid w:val="00735135"/>
    <w:rsid w:val="00735541"/>
    <w:rsid w:val="00735787"/>
    <w:rsid w:val="007357EA"/>
    <w:rsid w:val="0073585E"/>
    <w:rsid w:val="007358E8"/>
    <w:rsid w:val="00736054"/>
    <w:rsid w:val="00736167"/>
    <w:rsid w:val="00736A88"/>
    <w:rsid w:val="00736BBE"/>
    <w:rsid w:val="00736DD2"/>
    <w:rsid w:val="00736DDD"/>
    <w:rsid w:val="00736ECE"/>
    <w:rsid w:val="00737018"/>
    <w:rsid w:val="007371B6"/>
    <w:rsid w:val="00737BD2"/>
    <w:rsid w:val="00737D61"/>
    <w:rsid w:val="0074016F"/>
    <w:rsid w:val="00740574"/>
    <w:rsid w:val="00740AAA"/>
    <w:rsid w:val="00740BC2"/>
    <w:rsid w:val="00740CD7"/>
    <w:rsid w:val="00740E43"/>
    <w:rsid w:val="007410C2"/>
    <w:rsid w:val="00741798"/>
    <w:rsid w:val="0074183F"/>
    <w:rsid w:val="00741D72"/>
    <w:rsid w:val="00742028"/>
    <w:rsid w:val="007420C7"/>
    <w:rsid w:val="00742541"/>
    <w:rsid w:val="007428C8"/>
    <w:rsid w:val="00742B4A"/>
    <w:rsid w:val="007434CA"/>
    <w:rsid w:val="0074369C"/>
    <w:rsid w:val="007436DB"/>
    <w:rsid w:val="00743AC7"/>
    <w:rsid w:val="00743FA6"/>
    <w:rsid w:val="007441FC"/>
    <w:rsid w:val="007442E0"/>
    <w:rsid w:val="0074466A"/>
    <w:rsid w:val="00744BE6"/>
    <w:rsid w:val="00744C93"/>
    <w:rsid w:val="00744CD0"/>
    <w:rsid w:val="00744D90"/>
    <w:rsid w:val="007450AF"/>
    <w:rsid w:val="00745129"/>
    <w:rsid w:val="00745271"/>
    <w:rsid w:val="007452CF"/>
    <w:rsid w:val="0074533B"/>
    <w:rsid w:val="007454BD"/>
    <w:rsid w:val="007459D4"/>
    <w:rsid w:val="00745C8A"/>
    <w:rsid w:val="00745C8E"/>
    <w:rsid w:val="00745DA8"/>
    <w:rsid w:val="00745E93"/>
    <w:rsid w:val="007460CB"/>
    <w:rsid w:val="00746321"/>
    <w:rsid w:val="00746509"/>
    <w:rsid w:val="00746732"/>
    <w:rsid w:val="00746850"/>
    <w:rsid w:val="007469A3"/>
    <w:rsid w:val="00746B8A"/>
    <w:rsid w:val="00746C35"/>
    <w:rsid w:val="00746F5B"/>
    <w:rsid w:val="007471F6"/>
    <w:rsid w:val="00747545"/>
    <w:rsid w:val="0074771F"/>
    <w:rsid w:val="007500C7"/>
    <w:rsid w:val="00750A2D"/>
    <w:rsid w:val="007511B5"/>
    <w:rsid w:val="0075166F"/>
    <w:rsid w:val="007517C8"/>
    <w:rsid w:val="00751E00"/>
    <w:rsid w:val="007520F8"/>
    <w:rsid w:val="00752330"/>
    <w:rsid w:val="007523E1"/>
    <w:rsid w:val="007525EA"/>
    <w:rsid w:val="0075264A"/>
    <w:rsid w:val="00752A67"/>
    <w:rsid w:val="00752C73"/>
    <w:rsid w:val="00752D3E"/>
    <w:rsid w:val="00752EF8"/>
    <w:rsid w:val="00752F2A"/>
    <w:rsid w:val="00753078"/>
    <w:rsid w:val="00753117"/>
    <w:rsid w:val="00753285"/>
    <w:rsid w:val="007532BB"/>
    <w:rsid w:val="007534BD"/>
    <w:rsid w:val="007538FE"/>
    <w:rsid w:val="0075393B"/>
    <w:rsid w:val="00753B9A"/>
    <w:rsid w:val="00754204"/>
    <w:rsid w:val="007543C7"/>
    <w:rsid w:val="007547E7"/>
    <w:rsid w:val="00754A92"/>
    <w:rsid w:val="00754BFA"/>
    <w:rsid w:val="00754CDE"/>
    <w:rsid w:val="00754CE0"/>
    <w:rsid w:val="00755176"/>
    <w:rsid w:val="00755180"/>
    <w:rsid w:val="007559F7"/>
    <w:rsid w:val="00755C40"/>
    <w:rsid w:val="00755F2E"/>
    <w:rsid w:val="00756FDD"/>
    <w:rsid w:val="007571E8"/>
    <w:rsid w:val="0075783A"/>
    <w:rsid w:val="00757A94"/>
    <w:rsid w:val="00757F18"/>
    <w:rsid w:val="00757F46"/>
    <w:rsid w:val="00757F99"/>
    <w:rsid w:val="007602FF"/>
    <w:rsid w:val="00760418"/>
    <w:rsid w:val="007605F2"/>
    <w:rsid w:val="00760B8B"/>
    <w:rsid w:val="00760BA0"/>
    <w:rsid w:val="00760CEB"/>
    <w:rsid w:val="0076116F"/>
    <w:rsid w:val="00761557"/>
    <w:rsid w:val="0076158B"/>
    <w:rsid w:val="00761701"/>
    <w:rsid w:val="00761B09"/>
    <w:rsid w:val="00761F32"/>
    <w:rsid w:val="0076206E"/>
    <w:rsid w:val="0076275B"/>
    <w:rsid w:val="0076278C"/>
    <w:rsid w:val="00762D51"/>
    <w:rsid w:val="00763039"/>
    <w:rsid w:val="0076354F"/>
    <w:rsid w:val="0076388F"/>
    <w:rsid w:val="007638C9"/>
    <w:rsid w:val="00763954"/>
    <w:rsid w:val="00763D32"/>
    <w:rsid w:val="0076426E"/>
    <w:rsid w:val="00764374"/>
    <w:rsid w:val="007643BC"/>
    <w:rsid w:val="00764538"/>
    <w:rsid w:val="00764623"/>
    <w:rsid w:val="007646ED"/>
    <w:rsid w:val="007646F5"/>
    <w:rsid w:val="0076486C"/>
    <w:rsid w:val="00764F83"/>
    <w:rsid w:val="00765181"/>
    <w:rsid w:val="007652B4"/>
    <w:rsid w:val="0076535A"/>
    <w:rsid w:val="007657AC"/>
    <w:rsid w:val="00765CB9"/>
    <w:rsid w:val="00765CE1"/>
    <w:rsid w:val="00765E8F"/>
    <w:rsid w:val="00766469"/>
    <w:rsid w:val="0076656D"/>
    <w:rsid w:val="0076659F"/>
    <w:rsid w:val="007668DC"/>
    <w:rsid w:val="00766F49"/>
    <w:rsid w:val="00766F69"/>
    <w:rsid w:val="0076714F"/>
    <w:rsid w:val="00767333"/>
    <w:rsid w:val="00767601"/>
    <w:rsid w:val="00767603"/>
    <w:rsid w:val="007679F1"/>
    <w:rsid w:val="00767AF7"/>
    <w:rsid w:val="00767B21"/>
    <w:rsid w:val="00767DCF"/>
    <w:rsid w:val="007704BD"/>
    <w:rsid w:val="00770927"/>
    <w:rsid w:val="00770A0F"/>
    <w:rsid w:val="007712C1"/>
    <w:rsid w:val="007712D2"/>
    <w:rsid w:val="0077186C"/>
    <w:rsid w:val="00771BD4"/>
    <w:rsid w:val="00772265"/>
    <w:rsid w:val="00772630"/>
    <w:rsid w:val="00772BF1"/>
    <w:rsid w:val="00772CCC"/>
    <w:rsid w:val="00773199"/>
    <w:rsid w:val="0077328D"/>
    <w:rsid w:val="007741A2"/>
    <w:rsid w:val="007742E0"/>
    <w:rsid w:val="007744DB"/>
    <w:rsid w:val="00774591"/>
    <w:rsid w:val="00774998"/>
    <w:rsid w:val="00774AA8"/>
    <w:rsid w:val="00774BCF"/>
    <w:rsid w:val="00774F17"/>
    <w:rsid w:val="00775133"/>
    <w:rsid w:val="00775654"/>
    <w:rsid w:val="0077567B"/>
    <w:rsid w:val="007759E9"/>
    <w:rsid w:val="00775A77"/>
    <w:rsid w:val="00775B0B"/>
    <w:rsid w:val="00775C5C"/>
    <w:rsid w:val="00775FC5"/>
    <w:rsid w:val="00776548"/>
    <w:rsid w:val="00776752"/>
    <w:rsid w:val="00776922"/>
    <w:rsid w:val="00776926"/>
    <w:rsid w:val="00776930"/>
    <w:rsid w:val="00777362"/>
    <w:rsid w:val="007779BB"/>
    <w:rsid w:val="00777D95"/>
    <w:rsid w:val="00777E52"/>
    <w:rsid w:val="00777EA6"/>
    <w:rsid w:val="00777EAA"/>
    <w:rsid w:val="00780285"/>
    <w:rsid w:val="00780320"/>
    <w:rsid w:val="00780386"/>
    <w:rsid w:val="007803C5"/>
    <w:rsid w:val="007806F3"/>
    <w:rsid w:val="0078080B"/>
    <w:rsid w:val="00780931"/>
    <w:rsid w:val="00780C68"/>
    <w:rsid w:val="00780CF7"/>
    <w:rsid w:val="00780D46"/>
    <w:rsid w:val="00780DCF"/>
    <w:rsid w:val="00780F3E"/>
    <w:rsid w:val="00781DDF"/>
    <w:rsid w:val="00781E7F"/>
    <w:rsid w:val="0078217D"/>
    <w:rsid w:val="007822E7"/>
    <w:rsid w:val="007824A3"/>
    <w:rsid w:val="00782523"/>
    <w:rsid w:val="007828B7"/>
    <w:rsid w:val="00782D0B"/>
    <w:rsid w:val="00782DD4"/>
    <w:rsid w:val="00782FAC"/>
    <w:rsid w:val="00782FE1"/>
    <w:rsid w:val="0078308B"/>
    <w:rsid w:val="007831BC"/>
    <w:rsid w:val="007836F1"/>
    <w:rsid w:val="00783A36"/>
    <w:rsid w:val="00783A76"/>
    <w:rsid w:val="00783CC3"/>
    <w:rsid w:val="00783F36"/>
    <w:rsid w:val="00784090"/>
    <w:rsid w:val="007849ED"/>
    <w:rsid w:val="00784BD4"/>
    <w:rsid w:val="00784F16"/>
    <w:rsid w:val="0078510C"/>
    <w:rsid w:val="007851F6"/>
    <w:rsid w:val="00785429"/>
    <w:rsid w:val="00785557"/>
    <w:rsid w:val="007858F3"/>
    <w:rsid w:val="007859B4"/>
    <w:rsid w:val="00786916"/>
    <w:rsid w:val="00786B65"/>
    <w:rsid w:val="00786D47"/>
    <w:rsid w:val="00787917"/>
    <w:rsid w:val="007900F0"/>
    <w:rsid w:val="007901F0"/>
    <w:rsid w:val="0079082E"/>
    <w:rsid w:val="0079088B"/>
    <w:rsid w:val="0079094E"/>
    <w:rsid w:val="007910A3"/>
    <w:rsid w:val="0079111D"/>
    <w:rsid w:val="00791609"/>
    <w:rsid w:val="00791749"/>
    <w:rsid w:val="0079179F"/>
    <w:rsid w:val="00791B3C"/>
    <w:rsid w:val="00792226"/>
    <w:rsid w:val="00792AF7"/>
    <w:rsid w:val="00792CFD"/>
    <w:rsid w:val="0079305F"/>
    <w:rsid w:val="0079351C"/>
    <w:rsid w:val="007935CF"/>
    <w:rsid w:val="00793795"/>
    <w:rsid w:val="007937B3"/>
    <w:rsid w:val="007937BB"/>
    <w:rsid w:val="00793AAC"/>
    <w:rsid w:val="00793AEA"/>
    <w:rsid w:val="00793B6D"/>
    <w:rsid w:val="00794286"/>
    <w:rsid w:val="00794511"/>
    <w:rsid w:val="00794641"/>
    <w:rsid w:val="007947F2"/>
    <w:rsid w:val="00794A42"/>
    <w:rsid w:val="00794CDD"/>
    <w:rsid w:val="00794D0D"/>
    <w:rsid w:val="00794EBB"/>
    <w:rsid w:val="007950CB"/>
    <w:rsid w:val="0079515D"/>
    <w:rsid w:val="007954BC"/>
    <w:rsid w:val="0079563D"/>
    <w:rsid w:val="0079593E"/>
    <w:rsid w:val="007959FE"/>
    <w:rsid w:val="00795BF0"/>
    <w:rsid w:val="00795F7F"/>
    <w:rsid w:val="007961AA"/>
    <w:rsid w:val="007962E0"/>
    <w:rsid w:val="00796430"/>
    <w:rsid w:val="00796720"/>
    <w:rsid w:val="00796845"/>
    <w:rsid w:val="007968A6"/>
    <w:rsid w:val="00796968"/>
    <w:rsid w:val="00796A67"/>
    <w:rsid w:val="00796B0A"/>
    <w:rsid w:val="0079750B"/>
    <w:rsid w:val="00797615"/>
    <w:rsid w:val="0079774A"/>
    <w:rsid w:val="00797938"/>
    <w:rsid w:val="00797A60"/>
    <w:rsid w:val="00797B95"/>
    <w:rsid w:val="007A01B9"/>
    <w:rsid w:val="007A05BC"/>
    <w:rsid w:val="007A07D8"/>
    <w:rsid w:val="007A0845"/>
    <w:rsid w:val="007A0CF1"/>
    <w:rsid w:val="007A0D90"/>
    <w:rsid w:val="007A0DDB"/>
    <w:rsid w:val="007A0E2D"/>
    <w:rsid w:val="007A1244"/>
    <w:rsid w:val="007A13B6"/>
    <w:rsid w:val="007A1B20"/>
    <w:rsid w:val="007A20E9"/>
    <w:rsid w:val="007A2156"/>
    <w:rsid w:val="007A2582"/>
    <w:rsid w:val="007A2AC5"/>
    <w:rsid w:val="007A2DF6"/>
    <w:rsid w:val="007A2F6F"/>
    <w:rsid w:val="007A3026"/>
    <w:rsid w:val="007A33A3"/>
    <w:rsid w:val="007A3D33"/>
    <w:rsid w:val="007A40BE"/>
    <w:rsid w:val="007A416A"/>
    <w:rsid w:val="007A4834"/>
    <w:rsid w:val="007A4A21"/>
    <w:rsid w:val="007A4A8C"/>
    <w:rsid w:val="007A4F11"/>
    <w:rsid w:val="007A5321"/>
    <w:rsid w:val="007A536E"/>
    <w:rsid w:val="007A5637"/>
    <w:rsid w:val="007A58BB"/>
    <w:rsid w:val="007A60CE"/>
    <w:rsid w:val="007A6196"/>
    <w:rsid w:val="007A61A1"/>
    <w:rsid w:val="007A62F6"/>
    <w:rsid w:val="007A6424"/>
    <w:rsid w:val="007A6687"/>
    <w:rsid w:val="007A68EE"/>
    <w:rsid w:val="007A69A4"/>
    <w:rsid w:val="007A69D3"/>
    <w:rsid w:val="007A6B0B"/>
    <w:rsid w:val="007A6B43"/>
    <w:rsid w:val="007A70BA"/>
    <w:rsid w:val="007A70FE"/>
    <w:rsid w:val="007A72EC"/>
    <w:rsid w:val="007A7634"/>
    <w:rsid w:val="007A766B"/>
    <w:rsid w:val="007A7E11"/>
    <w:rsid w:val="007B0147"/>
    <w:rsid w:val="007B01F4"/>
    <w:rsid w:val="007B03A0"/>
    <w:rsid w:val="007B0565"/>
    <w:rsid w:val="007B0BFE"/>
    <w:rsid w:val="007B0D97"/>
    <w:rsid w:val="007B0EDA"/>
    <w:rsid w:val="007B0FB4"/>
    <w:rsid w:val="007B1032"/>
    <w:rsid w:val="007B1425"/>
    <w:rsid w:val="007B14C1"/>
    <w:rsid w:val="007B1513"/>
    <w:rsid w:val="007B18A9"/>
    <w:rsid w:val="007B1A5B"/>
    <w:rsid w:val="007B220C"/>
    <w:rsid w:val="007B23E8"/>
    <w:rsid w:val="007B2511"/>
    <w:rsid w:val="007B2714"/>
    <w:rsid w:val="007B2806"/>
    <w:rsid w:val="007B2D5E"/>
    <w:rsid w:val="007B2FC9"/>
    <w:rsid w:val="007B343A"/>
    <w:rsid w:val="007B3561"/>
    <w:rsid w:val="007B3774"/>
    <w:rsid w:val="007B38B8"/>
    <w:rsid w:val="007B39E3"/>
    <w:rsid w:val="007B3B94"/>
    <w:rsid w:val="007B3C18"/>
    <w:rsid w:val="007B4041"/>
    <w:rsid w:val="007B45C2"/>
    <w:rsid w:val="007B468B"/>
    <w:rsid w:val="007B4BBC"/>
    <w:rsid w:val="007B4C43"/>
    <w:rsid w:val="007B50EB"/>
    <w:rsid w:val="007B539E"/>
    <w:rsid w:val="007B59F3"/>
    <w:rsid w:val="007B5A6E"/>
    <w:rsid w:val="007B5B0C"/>
    <w:rsid w:val="007B5F6B"/>
    <w:rsid w:val="007B6305"/>
    <w:rsid w:val="007B63E2"/>
    <w:rsid w:val="007B6663"/>
    <w:rsid w:val="007B66F1"/>
    <w:rsid w:val="007B6824"/>
    <w:rsid w:val="007B69B6"/>
    <w:rsid w:val="007B6BA5"/>
    <w:rsid w:val="007B6BCC"/>
    <w:rsid w:val="007B6CC4"/>
    <w:rsid w:val="007B7391"/>
    <w:rsid w:val="007B75A5"/>
    <w:rsid w:val="007B7A36"/>
    <w:rsid w:val="007B7B2A"/>
    <w:rsid w:val="007B7CFE"/>
    <w:rsid w:val="007B7EAB"/>
    <w:rsid w:val="007C00A2"/>
    <w:rsid w:val="007C011E"/>
    <w:rsid w:val="007C0350"/>
    <w:rsid w:val="007C09A2"/>
    <w:rsid w:val="007C0FA1"/>
    <w:rsid w:val="007C11FA"/>
    <w:rsid w:val="007C139D"/>
    <w:rsid w:val="007C13AD"/>
    <w:rsid w:val="007C164A"/>
    <w:rsid w:val="007C1700"/>
    <w:rsid w:val="007C181B"/>
    <w:rsid w:val="007C19EC"/>
    <w:rsid w:val="007C27A9"/>
    <w:rsid w:val="007C287A"/>
    <w:rsid w:val="007C28E5"/>
    <w:rsid w:val="007C2950"/>
    <w:rsid w:val="007C2AB4"/>
    <w:rsid w:val="007C2F71"/>
    <w:rsid w:val="007C307C"/>
    <w:rsid w:val="007C31BB"/>
    <w:rsid w:val="007C3390"/>
    <w:rsid w:val="007C3B97"/>
    <w:rsid w:val="007C40C5"/>
    <w:rsid w:val="007C41D0"/>
    <w:rsid w:val="007C4259"/>
    <w:rsid w:val="007C42D8"/>
    <w:rsid w:val="007C43AA"/>
    <w:rsid w:val="007C464E"/>
    <w:rsid w:val="007C46C4"/>
    <w:rsid w:val="007C476E"/>
    <w:rsid w:val="007C492B"/>
    <w:rsid w:val="007C4C46"/>
    <w:rsid w:val="007C4F4B"/>
    <w:rsid w:val="007C4F85"/>
    <w:rsid w:val="007C5698"/>
    <w:rsid w:val="007C58C5"/>
    <w:rsid w:val="007C5A86"/>
    <w:rsid w:val="007C6433"/>
    <w:rsid w:val="007C6B47"/>
    <w:rsid w:val="007C6D33"/>
    <w:rsid w:val="007C6F16"/>
    <w:rsid w:val="007C7041"/>
    <w:rsid w:val="007C7422"/>
    <w:rsid w:val="007C7BB5"/>
    <w:rsid w:val="007C7C26"/>
    <w:rsid w:val="007C7CD9"/>
    <w:rsid w:val="007C7D6A"/>
    <w:rsid w:val="007C7DE6"/>
    <w:rsid w:val="007C7F79"/>
    <w:rsid w:val="007D0574"/>
    <w:rsid w:val="007D068C"/>
    <w:rsid w:val="007D0830"/>
    <w:rsid w:val="007D0D38"/>
    <w:rsid w:val="007D0D4F"/>
    <w:rsid w:val="007D0EA4"/>
    <w:rsid w:val="007D1739"/>
    <w:rsid w:val="007D1848"/>
    <w:rsid w:val="007D194C"/>
    <w:rsid w:val="007D1BD5"/>
    <w:rsid w:val="007D259F"/>
    <w:rsid w:val="007D276E"/>
    <w:rsid w:val="007D29D3"/>
    <w:rsid w:val="007D2AA0"/>
    <w:rsid w:val="007D2B76"/>
    <w:rsid w:val="007D2E79"/>
    <w:rsid w:val="007D32CF"/>
    <w:rsid w:val="007D3308"/>
    <w:rsid w:val="007D330F"/>
    <w:rsid w:val="007D3327"/>
    <w:rsid w:val="007D3335"/>
    <w:rsid w:val="007D3554"/>
    <w:rsid w:val="007D35A6"/>
    <w:rsid w:val="007D3993"/>
    <w:rsid w:val="007D3ACA"/>
    <w:rsid w:val="007D3E06"/>
    <w:rsid w:val="007D4154"/>
    <w:rsid w:val="007D41E9"/>
    <w:rsid w:val="007D4401"/>
    <w:rsid w:val="007D44E7"/>
    <w:rsid w:val="007D46C2"/>
    <w:rsid w:val="007D46C9"/>
    <w:rsid w:val="007D4772"/>
    <w:rsid w:val="007D48F0"/>
    <w:rsid w:val="007D49C2"/>
    <w:rsid w:val="007D4BA2"/>
    <w:rsid w:val="007D4D55"/>
    <w:rsid w:val="007D4DA4"/>
    <w:rsid w:val="007D4F0F"/>
    <w:rsid w:val="007D5255"/>
    <w:rsid w:val="007D533E"/>
    <w:rsid w:val="007D59E4"/>
    <w:rsid w:val="007D5BE4"/>
    <w:rsid w:val="007D5E01"/>
    <w:rsid w:val="007D6201"/>
    <w:rsid w:val="007D6388"/>
    <w:rsid w:val="007D6652"/>
    <w:rsid w:val="007D6C92"/>
    <w:rsid w:val="007D6D65"/>
    <w:rsid w:val="007D6F87"/>
    <w:rsid w:val="007D70DA"/>
    <w:rsid w:val="007D7248"/>
    <w:rsid w:val="007D7362"/>
    <w:rsid w:val="007D73B9"/>
    <w:rsid w:val="007D749D"/>
    <w:rsid w:val="007D7500"/>
    <w:rsid w:val="007D78F7"/>
    <w:rsid w:val="007D7A13"/>
    <w:rsid w:val="007D7B1B"/>
    <w:rsid w:val="007D7E60"/>
    <w:rsid w:val="007D7F39"/>
    <w:rsid w:val="007E0042"/>
    <w:rsid w:val="007E0252"/>
    <w:rsid w:val="007E0308"/>
    <w:rsid w:val="007E0B8D"/>
    <w:rsid w:val="007E0D19"/>
    <w:rsid w:val="007E0E9A"/>
    <w:rsid w:val="007E11E5"/>
    <w:rsid w:val="007E12FD"/>
    <w:rsid w:val="007E167A"/>
    <w:rsid w:val="007E172D"/>
    <w:rsid w:val="007E1AC9"/>
    <w:rsid w:val="007E1ADF"/>
    <w:rsid w:val="007E1B0D"/>
    <w:rsid w:val="007E1E67"/>
    <w:rsid w:val="007E1E9F"/>
    <w:rsid w:val="007E1FBD"/>
    <w:rsid w:val="007E2021"/>
    <w:rsid w:val="007E211C"/>
    <w:rsid w:val="007E2AB3"/>
    <w:rsid w:val="007E2B92"/>
    <w:rsid w:val="007E2BEF"/>
    <w:rsid w:val="007E3030"/>
    <w:rsid w:val="007E3121"/>
    <w:rsid w:val="007E3B57"/>
    <w:rsid w:val="007E3B8B"/>
    <w:rsid w:val="007E3EAF"/>
    <w:rsid w:val="007E4223"/>
    <w:rsid w:val="007E436B"/>
    <w:rsid w:val="007E4523"/>
    <w:rsid w:val="007E49C3"/>
    <w:rsid w:val="007E4AB6"/>
    <w:rsid w:val="007E4B42"/>
    <w:rsid w:val="007E5393"/>
    <w:rsid w:val="007E5891"/>
    <w:rsid w:val="007E58B4"/>
    <w:rsid w:val="007E5E1B"/>
    <w:rsid w:val="007E5EBA"/>
    <w:rsid w:val="007E6647"/>
    <w:rsid w:val="007E6A8B"/>
    <w:rsid w:val="007E6D41"/>
    <w:rsid w:val="007E6E1A"/>
    <w:rsid w:val="007E6E69"/>
    <w:rsid w:val="007E6EA8"/>
    <w:rsid w:val="007E6ED0"/>
    <w:rsid w:val="007E72D5"/>
    <w:rsid w:val="007E7B4E"/>
    <w:rsid w:val="007E7E4E"/>
    <w:rsid w:val="007E7E8A"/>
    <w:rsid w:val="007E7FC7"/>
    <w:rsid w:val="007F02F4"/>
    <w:rsid w:val="007F03FB"/>
    <w:rsid w:val="007F0A1F"/>
    <w:rsid w:val="007F0E25"/>
    <w:rsid w:val="007F0E8E"/>
    <w:rsid w:val="007F0F50"/>
    <w:rsid w:val="007F103D"/>
    <w:rsid w:val="007F1102"/>
    <w:rsid w:val="007F1137"/>
    <w:rsid w:val="007F11EE"/>
    <w:rsid w:val="007F1368"/>
    <w:rsid w:val="007F145F"/>
    <w:rsid w:val="007F15F2"/>
    <w:rsid w:val="007F1659"/>
    <w:rsid w:val="007F1A1E"/>
    <w:rsid w:val="007F1A2A"/>
    <w:rsid w:val="007F1A9D"/>
    <w:rsid w:val="007F1AB1"/>
    <w:rsid w:val="007F2283"/>
    <w:rsid w:val="007F2C49"/>
    <w:rsid w:val="007F2DC0"/>
    <w:rsid w:val="007F2FEF"/>
    <w:rsid w:val="007F34A4"/>
    <w:rsid w:val="007F3595"/>
    <w:rsid w:val="007F3627"/>
    <w:rsid w:val="007F3AD3"/>
    <w:rsid w:val="007F3C9F"/>
    <w:rsid w:val="007F3CE1"/>
    <w:rsid w:val="007F3D48"/>
    <w:rsid w:val="007F4125"/>
    <w:rsid w:val="007F42AC"/>
    <w:rsid w:val="007F4306"/>
    <w:rsid w:val="007F4379"/>
    <w:rsid w:val="007F443F"/>
    <w:rsid w:val="007F480D"/>
    <w:rsid w:val="007F4CA8"/>
    <w:rsid w:val="007F51BF"/>
    <w:rsid w:val="007F538A"/>
    <w:rsid w:val="007F54F4"/>
    <w:rsid w:val="007F579C"/>
    <w:rsid w:val="007F5A5E"/>
    <w:rsid w:val="007F5B23"/>
    <w:rsid w:val="007F5CE2"/>
    <w:rsid w:val="007F63B8"/>
    <w:rsid w:val="007F6611"/>
    <w:rsid w:val="007F6724"/>
    <w:rsid w:val="007F67F3"/>
    <w:rsid w:val="007F6A8A"/>
    <w:rsid w:val="007F6B17"/>
    <w:rsid w:val="007F7455"/>
    <w:rsid w:val="007F7917"/>
    <w:rsid w:val="007F795A"/>
    <w:rsid w:val="007F7D18"/>
    <w:rsid w:val="00800083"/>
    <w:rsid w:val="00800574"/>
    <w:rsid w:val="00800AC0"/>
    <w:rsid w:val="00800B1A"/>
    <w:rsid w:val="00800BD6"/>
    <w:rsid w:val="00800DB8"/>
    <w:rsid w:val="00800E6D"/>
    <w:rsid w:val="0080101B"/>
    <w:rsid w:val="00801226"/>
    <w:rsid w:val="00801620"/>
    <w:rsid w:val="00801633"/>
    <w:rsid w:val="0080169A"/>
    <w:rsid w:val="008018D9"/>
    <w:rsid w:val="008019CF"/>
    <w:rsid w:val="00801A3D"/>
    <w:rsid w:val="00803344"/>
    <w:rsid w:val="00803381"/>
    <w:rsid w:val="00803547"/>
    <w:rsid w:val="00803851"/>
    <w:rsid w:val="00803FFF"/>
    <w:rsid w:val="008044E6"/>
    <w:rsid w:val="0080480D"/>
    <w:rsid w:val="00804BBC"/>
    <w:rsid w:val="00804DBB"/>
    <w:rsid w:val="00804F10"/>
    <w:rsid w:val="00804F81"/>
    <w:rsid w:val="00805016"/>
    <w:rsid w:val="0080512F"/>
    <w:rsid w:val="0080539C"/>
    <w:rsid w:val="0080560D"/>
    <w:rsid w:val="00805677"/>
    <w:rsid w:val="00805B6F"/>
    <w:rsid w:val="00805C58"/>
    <w:rsid w:val="00805CEA"/>
    <w:rsid w:val="00805DEA"/>
    <w:rsid w:val="00805EF9"/>
    <w:rsid w:val="008062B0"/>
    <w:rsid w:val="008062E5"/>
    <w:rsid w:val="008063B3"/>
    <w:rsid w:val="00806650"/>
    <w:rsid w:val="00806751"/>
    <w:rsid w:val="00806865"/>
    <w:rsid w:val="00806F23"/>
    <w:rsid w:val="00806F5D"/>
    <w:rsid w:val="00807247"/>
    <w:rsid w:val="00807B38"/>
    <w:rsid w:val="00810180"/>
    <w:rsid w:val="00810562"/>
    <w:rsid w:val="00810B88"/>
    <w:rsid w:val="00810BAC"/>
    <w:rsid w:val="00810E0E"/>
    <w:rsid w:val="0081103D"/>
    <w:rsid w:val="008111D1"/>
    <w:rsid w:val="00811940"/>
    <w:rsid w:val="00811C30"/>
    <w:rsid w:val="00811CE0"/>
    <w:rsid w:val="00811D8A"/>
    <w:rsid w:val="00811DC3"/>
    <w:rsid w:val="00811E7E"/>
    <w:rsid w:val="00811F14"/>
    <w:rsid w:val="0081221A"/>
    <w:rsid w:val="00812378"/>
    <w:rsid w:val="0081237C"/>
    <w:rsid w:val="00812704"/>
    <w:rsid w:val="0081287C"/>
    <w:rsid w:val="00812915"/>
    <w:rsid w:val="00812BBA"/>
    <w:rsid w:val="00812C65"/>
    <w:rsid w:val="00812C94"/>
    <w:rsid w:val="00812DB0"/>
    <w:rsid w:val="00812EC6"/>
    <w:rsid w:val="008135BD"/>
    <w:rsid w:val="008142D1"/>
    <w:rsid w:val="00814F70"/>
    <w:rsid w:val="008151E3"/>
    <w:rsid w:val="0081550E"/>
    <w:rsid w:val="008155B9"/>
    <w:rsid w:val="0081587C"/>
    <w:rsid w:val="008158E0"/>
    <w:rsid w:val="0081593F"/>
    <w:rsid w:val="00815A72"/>
    <w:rsid w:val="00815ACD"/>
    <w:rsid w:val="00815B33"/>
    <w:rsid w:val="00815BB1"/>
    <w:rsid w:val="00815F6A"/>
    <w:rsid w:val="00815F90"/>
    <w:rsid w:val="0081642A"/>
    <w:rsid w:val="008169A9"/>
    <w:rsid w:val="00816C0E"/>
    <w:rsid w:val="0081733A"/>
    <w:rsid w:val="008175E9"/>
    <w:rsid w:val="008177A1"/>
    <w:rsid w:val="008177CA"/>
    <w:rsid w:val="00817B85"/>
    <w:rsid w:val="00817CA4"/>
    <w:rsid w:val="00817EDF"/>
    <w:rsid w:val="008200B3"/>
    <w:rsid w:val="0082028E"/>
    <w:rsid w:val="008202F1"/>
    <w:rsid w:val="00820597"/>
    <w:rsid w:val="00820812"/>
    <w:rsid w:val="00820FBA"/>
    <w:rsid w:val="0082142C"/>
    <w:rsid w:val="0082166F"/>
    <w:rsid w:val="00821810"/>
    <w:rsid w:val="0082184E"/>
    <w:rsid w:val="008218B3"/>
    <w:rsid w:val="00821C4A"/>
    <w:rsid w:val="0082200F"/>
    <w:rsid w:val="00822738"/>
    <w:rsid w:val="00822915"/>
    <w:rsid w:val="00822C83"/>
    <w:rsid w:val="00822E32"/>
    <w:rsid w:val="00823019"/>
    <w:rsid w:val="00823566"/>
    <w:rsid w:val="00824068"/>
    <w:rsid w:val="008241C8"/>
    <w:rsid w:val="00824256"/>
    <w:rsid w:val="008242D7"/>
    <w:rsid w:val="008247B7"/>
    <w:rsid w:val="00824953"/>
    <w:rsid w:val="00824BC7"/>
    <w:rsid w:val="00824D8B"/>
    <w:rsid w:val="00825094"/>
    <w:rsid w:val="008250F8"/>
    <w:rsid w:val="008256C9"/>
    <w:rsid w:val="008256F2"/>
    <w:rsid w:val="0082577B"/>
    <w:rsid w:val="00825ACC"/>
    <w:rsid w:val="00825C59"/>
    <w:rsid w:val="00825D11"/>
    <w:rsid w:val="00826297"/>
    <w:rsid w:val="008262DC"/>
    <w:rsid w:val="008263AD"/>
    <w:rsid w:val="008263F5"/>
    <w:rsid w:val="008264ED"/>
    <w:rsid w:val="008266C8"/>
    <w:rsid w:val="008269A4"/>
    <w:rsid w:val="00826B21"/>
    <w:rsid w:val="00826FDE"/>
    <w:rsid w:val="00827250"/>
    <w:rsid w:val="00827349"/>
    <w:rsid w:val="0082750C"/>
    <w:rsid w:val="00827688"/>
    <w:rsid w:val="00827822"/>
    <w:rsid w:val="00827ADC"/>
    <w:rsid w:val="00827B63"/>
    <w:rsid w:val="00827E55"/>
    <w:rsid w:val="0083034A"/>
    <w:rsid w:val="008303BE"/>
    <w:rsid w:val="008303F5"/>
    <w:rsid w:val="00830664"/>
    <w:rsid w:val="008309BD"/>
    <w:rsid w:val="00830BF3"/>
    <w:rsid w:val="00830FF4"/>
    <w:rsid w:val="008310C8"/>
    <w:rsid w:val="008311D8"/>
    <w:rsid w:val="008312B9"/>
    <w:rsid w:val="0083154E"/>
    <w:rsid w:val="00831628"/>
    <w:rsid w:val="0083165E"/>
    <w:rsid w:val="008316BA"/>
    <w:rsid w:val="00831870"/>
    <w:rsid w:val="00831C48"/>
    <w:rsid w:val="00832402"/>
    <w:rsid w:val="00832507"/>
    <w:rsid w:val="00832531"/>
    <w:rsid w:val="0083261D"/>
    <w:rsid w:val="0083267B"/>
    <w:rsid w:val="008326E4"/>
    <w:rsid w:val="0083270F"/>
    <w:rsid w:val="00832808"/>
    <w:rsid w:val="00832B0B"/>
    <w:rsid w:val="00832B7E"/>
    <w:rsid w:val="00833136"/>
    <w:rsid w:val="0083356D"/>
    <w:rsid w:val="00833840"/>
    <w:rsid w:val="00833ACA"/>
    <w:rsid w:val="00833D41"/>
    <w:rsid w:val="00833E72"/>
    <w:rsid w:val="008340D6"/>
    <w:rsid w:val="00834531"/>
    <w:rsid w:val="00834705"/>
    <w:rsid w:val="00834A9F"/>
    <w:rsid w:val="00834C91"/>
    <w:rsid w:val="00834E4E"/>
    <w:rsid w:val="00834EA2"/>
    <w:rsid w:val="00834EBF"/>
    <w:rsid w:val="008350F0"/>
    <w:rsid w:val="008356A1"/>
    <w:rsid w:val="0083572A"/>
    <w:rsid w:val="008358C0"/>
    <w:rsid w:val="00835ACF"/>
    <w:rsid w:val="00835FFC"/>
    <w:rsid w:val="0083608C"/>
    <w:rsid w:val="008360A8"/>
    <w:rsid w:val="0083631D"/>
    <w:rsid w:val="0083660D"/>
    <w:rsid w:val="008367D9"/>
    <w:rsid w:val="00836C9D"/>
    <w:rsid w:val="00836DFC"/>
    <w:rsid w:val="00836F18"/>
    <w:rsid w:val="00836F95"/>
    <w:rsid w:val="0083743B"/>
    <w:rsid w:val="008375C4"/>
    <w:rsid w:val="008375E7"/>
    <w:rsid w:val="0083765E"/>
    <w:rsid w:val="008379E4"/>
    <w:rsid w:val="00837EAA"/>
    <w:rsid w:val="00840291"/>
    <w:rsid w:val="0084032A"/>
    <w:rsid w:val="00840538"/>
    <w:rsid w:val="0084071E"/>
    <w:rsid w:val="0084082F"/>
    <w:rsid w:val="0084097A"/>
    <w:rsid w:val="00840A12"/>
    <w:rsid w:val="00840AB5"/>
    <w:rsid w:val="00840C27"/>
    <w:rsid w:val="00840D48"/>
    <w:rsid w:val="00840DBC"/>
    <w:rsid w:val="0084119E"/>
    <w:rsid w:val="0084146A"/>
    <w:rsid w:val="00841C05"/>
    <w:rsid w:val="00841E2D"/>
    <w:rsid w:val="00842215"/>
    <w:rsid w:val="00842BEA"/>
    <w:rsid w:val="00842DD7"/>
    <w:rsid w:val="00843199"/>
    <w:rsid w:val="00843240"/>
    <w:rsid w:val="00843573"/>
    <w:rsid w:val="00843AB6"/>
    <w:rsid w:val="00843F0E"/>
    <w:rsid w:val="00844191"/>
    <w:rsid w:val="008441B8"/>
    <w:rsid w:val="008441FF"/>
    <w:rsid w:val="0084430E"/>
    <w:rsid w:val="0084438D"/>
    <w:rsid w:val="008444E2"/>
    <w:rsid w:val="0084452E"/>
    <w:rsid w:val="008449EF"/>
    <w:rsid w:val="00844C09"/>
    <w:rsid w:val="00844D13"/>
    <w:rsid w:val="00844D5C"/>
    <w:rsid w:val="00844F64"/>
    <w:rsid w:val="0084530B"/>
    <w:rsid w:val="00845430"/>
    <w:rsid w:val="0084551E"/>
    <w:rsid w:val="008455DC"/>
    <w:rsid w:val="008455E2"/>
    <w:rsid w:val="00845883"/>
    <w:rsid w:val="008458D5"/>
    <w:rsid w:val="00845900"/>
    <w:rsid w:val="00845AD6"/>
    <w:rsid w:val="00845AF5"/>
    <w:rsid w:val="00845B9B"/>
    <w:rsid w:val="00845F41"/>
    <w:rsid w:val="00845F84"/>
    <w:rsid w:val="008465B7"/>
    <w:rsid w:val="008465E9"/>
    <w:rsid w:val="008465F5"/>
    <w:rsid w:val="00846753"/>
    <w:rsid w:val="008468E4"/>
    <w:rsid w:val="00846C91"/>
    <w:rsid w:val="00846CA8"/>
    <w:rsid w:val="00846E0C"/>
    <w:rsid w:val="0084730C"/>
    <w:rsid w:val="00847390"/>
    <w:rsid w:val="00847441"/>
    <w:rsid w:val="00847443"/>
    <w:rsid w:val="008475A4"/>
    <w:rsid w:val="0085000D"/>
    <w:rsid w:val="00850190"/>
    <w:rsid w:val="00850CB1"/>
    <w:rsid w:val="008514D5"/>
    <w:rsid w:val="00851787"/>
    <w:rsid w:val="00851A03"/>
    <w:rsid w:val="00851D12"/>
    <w:rsid w:val="00852743"/>
    <w:rsid w:val="00852AB3"/>
    <w:rsid w:val="00852F77"/>
    <w:rsid w:val="0085318C"/>
    <w:rsid w:val="00853840"/>
    <w:rsid w:val="008539D6"/>
    <w:rsid w:val="00853CB5"/>
    <w:rsid w:val="00853D00"/>
    <w:rsid w:val="00854002"/>
    <w:rsid w:val="00854072"/>
    <w:rsid w:val="008546F8"/>
    <w:rsid w:val="00854A38"/>
    <w:rsid w:val="00854C84"/>
    <w:rsid w:val="0085507B"/>
    <w:rsid w:val="008551FB"/>
    <w:rsid w:val="008553E5"/>
    <w:rsid w:val="0085563F"/>
    <w:rsid w:val="00855696"/>
    <w:rsid w:val="0085589B"/>
    <w:rsid w:val="00855B53"/>
    <w:rsid w:val="00855B5B"/>
    <w:rsid w:val="00855CE7"/>
    <w:rsid w:val="00855F9D"/>
    <w:rsid w:val="00856086"/>
    <w:rsid w:val="008568CA"/>
    <w:rsid w:val="0085699E"/>
    <w:rsid w:val="00856C4C"/>
    <w:rsid w:val="00856C80"/>
    <w:rsid w:val="00857008"/>
    <w:rsid w:val="0085761D"/>
    <w:rsid w:val="00857713"/>
    <w:rsid w:val="0085793E"/>
    <w:rsid w:val="00857999"/>
    <w:rsid w:val="00857CA1"/>
    <w:rsid w:val="00860089"/>
    <w:rsid w:val="00860112"/>
    <w:rsid w:val="008602F3"/>
    <w:rsid w:val="00860585"/>
    <w:rsid w:val="00860A4F"/>
    <w:rsid w:val="00860A7A"/>
    <w:rsid w:val="00860A9C"/>
    <w:rsid w:val="00860EB9"/>
    <w:rsid w:val="008611A4"/>
    <w:rsid w:val="008612D6"/>
    <w:rsid w:val="008612FB"/>
    <w:rsid w:val="00861665"/>
    <w:rsid w:val="00861725"/>
    <w:rsid w:val="0086173D"/>
    <w:rsid w:val="008618B7"/>
    <w:rsid w:val="00861AC7"/>
    <w:rsid w:val="00861F92"/>
    <w:rsid w:val="00862093"/>
    <w:rsid w:val="00862334"/>
    <w:rsid w:val="008626BB"/>
    <w:rsid w:val="00862C08"/>
    <w:rsid w:val="00863134"/>
    <w:rsid w:val="00863257"/>
    <w:rsid w:val="00863529"/>
    <w:rsid w:val="008636F2"/>
    <w:rsid w:val="00863898"/>
    <w:rsid w:val="00864B80"/>
    <w:rsid w:val="00864FF9"/>
    <w:rsid w:val="00865417"/>
    <w:rsid w:val="00865478"/>
    <w:rsid w:val="00865BB8"/>
    <w:rsid w:val="00865E59"/>
    <w:rsid w:val="00865EC3"/>
    <w:rsid w:val="00865FB3"/>
    <w:rsid w:val="00866729"/>
    <w:rsid w:val="0086674B"/>
    <w:rsid w:val="00866878"/>
    <w:rsid w:val="00866893"/>
    <w:rsid w:val="008668D0"/>
    <w:rsid w:val="00866A3B"/>
    <w:rsid w:val="00866DA4"/>
    <w:rsid w:val="00866F02"/>
    <w:rsid w:val="00866F03"/>
    <w:rsid w:val="00866FB4"/>
    <w:rsid w:val="008673E1"/>
    <w:rsid w:val="008675E5"/>
    <w:rsid w:val="00867689"/>
    <w:rsid w:val="00867954"/>
    <w:rsid w:val="008679A1"/>
    <w:rsid w:val="008679C3"/>
    <w:rsid w:val="00867AD7"/>
    <w:rsid w:val="00867D18"/>
    <w:rsid w:val="0087000D"/>
    <w:rsid w:val="00870177"/>
    <w:rsid w:val="00870295"/>
    <w:rsid w:val="008706F8"/>
    <w:rsid w:val="008709C5"/>
    <w:rsid w:val="00871105"/>
    <w:rsid w:val="008711D1"/>
    <w:rsid w:val="00871943"/>
    <w:rsid w:val="008719B0"/>
    <w:rsid w:val="00871D07"/>
    <w:rsid w:val="00871F45"/>
    <w:rsid w:val="00871F9A"/>
    <w:rsid w:val="00871FD5"/>
    <w:rsid w:val="00872295"/>
    <w:rsid w:val="00872969"/>
    <w:rsid w:val="00873036"/>
    <w:rsid w:val="008731BC"/>
    <w:rsid w:val="00873324"/>
    <w:rsid w:val="00873445"/>
    <w:rsid w:val="00873775"/>
    <w:rsid w:val="00873E41"/>
    <w:rsid w:val="00874089"/>
    <w:rsid w:val="008740A1"/>
    <w:rsid w:val="0087494B"/>
    <w:rsid w:val="00874F31"/>
    <w:rsid w:val="00875144"/>
    <w:rsid w:val="00875B88"/>
    <w:rsid w:val="00875F2A"/>
    <w:rsid w:val="00876214"/>
    <w:rsid w:val="0087654E"/>
    <w:rsid w:val="00876949"/>
    <w:rsid w:val="00877478"/>
    <w:rsid w:val="0087763B"/>
    <w:rsid w:val="00877680"/>
    <w:rsid w:val="0087769D"/>
    <w:rsid w:val="008778C5"/>
    <w:rsid w:val="008778CC"/>
    <w:rsid w:val="008778E8"/>
    <w:rsid w:val="008779B5"/>
    <w:rsid w:val="00877EC6"/>
    <w:rsid w:val="00877EC9"/>
    <w:rsid w:val="00877F31"/>
    <w:rsid w:val="00877FBA"/>
    <w:rsid w:val="00877FF0"/>
    <w:rsid w:val="008801E6"/>
    <w:rsid w:val="0088021A"/>
    <w:rsid w:val="00880776"/>
    <w:rsid w:val="00880866"/>
    <w:rsid w:val="00880962"/>
    <w:rsid w:val="00880A6B"/>
    <w:rsid w:val="00880CAF"/>
    <w:rsid w:val="00880EC8"/>
    <w:rsid w:val="00880FFF"/>
    <w:rsid w:val="008811C4"/>
    <w:rsid w:val="008815AA"/>
    <w:rsid w:val="008815DA"/>
    <w:rsid w:val="0088172E"/>
    <w:rsid w:val="00881735"/>
    <w:rsid w:val="008817A2"/>
    <w:rsid w:val="00881C82"/>
    <w:rsid w:val="00881EFA"/>
    <w:rsid w:val="00881F87"/>
    <w:rsid w:val="0088219C"/>
    <w:rsid w:val="008821C6"/>
    <w:rsid w:val="00882329"/>
    <w:rsid w:val="00882537"/>
    <w:rsid w:val="00882765"/>
    <w:rsid w:val="00882AE0"/>
    <w:rsid w:val="00882AE1"/>
    <w:rsid w:val="00882B43"/>
    <w:rsid w:val="00882E26"/>
    <w:rsid w:val="008831A3"/>
    <w:rsid w:val="00883218"/>
    <w:rsid w:val="008834DC"/>
    <w:rsid w:val="00883883"/>
    <w:rsid w:val="0088388D"/>
    <w:rsid w:val="00883959"/>
    <w:rsid w:val="00883AAF"/>
    <w:rsid w:val="008844F1"/>
    <w:rsid w:val="0088474B"/>
    <w:rsid w:val="008848DD"/>
    <w:rsid w:val="00884910"/>
    <w:rsid w:val="0088491F"/>
    <w:rsid w:val="00884BEB"/>
    <w:rsid w:val="0088549E"/>
    <w:rsid w:val="00885898"/>
    <w:rsid w:val="00885C89"/>
    <w:rsid w:val="00885F00"/>
    <w:rsid w:val="00886437"/>
    <w:rsid w:val="0088644D"/>
    <w:rsid w:val="00886493"/>
    <w:rsid w:val="008864F5"/>
    <w:rsid w:val="0088656F"/>
    <w:rsid w:val="00886580"/>
    <w:rsid w:val="00886747"/>
    <w:rsid w:val="00886774"/>
    <w:rsid w:val="0088686D"/>
    <w:rsid w:val="00886E29"/>
    <w:rsid w:val="00886E30"/>
    <w:rsid w:val="0088700A"/>
    <w:rsid w:val="008874A6"/>
    <w:rsid w:val="008875D3"/>
    <w:rsid w:val="0088764B"/>
    <w:rsid w:val="008878F4"/>
    <w:rsid w:val="00887907"/>
    <w:rsid w:val="008879CB"/>
    <w:rsid w:val="00887CF5"/>
    <w:rsid w:val="00887FFE"/>
    <w:rsid w:val="0089003C"/>
    <w:rsid w:val="00890462"/>
    <w:rsid w:val="008909CD"/>
    <w:rsid w:val="008912CA"/>
    <w:rsid w:val="008917D7"/>
    <w:rsid w:val="00891ADD"/>
    <w:rsid w:val="00891AE5"/>
    <w:rsid w:val="00891BA2"/>
    <w:rsid w:val="00891F24"/>
    <w:rsid w:val="00892047"/>
    <w:rsid w:val="008920F9"/>
    <w:rsid w:val="0089242C"/>
    <w:rsid w:val="00892A82"/>
    <w:rsid w:val="00892FF4"/>
    <w:rsid w:val="0089333A"/>
    <w:rsid w:val="00893428"/>
    <w:rsid w:val="008934B6"/>
    <w:rsid w:val="00893683"/>
    <w:rsid w:val="00893A84"/>
    <w:rsid w:val="00894A94"/>
    <w:rsid w:val="00894D79"/>
    <w:rsid w:val="00894DC9"/>
    <w:rsid w:val="008950D4"/>
    <w:rsid w:val="008952A3"/>
    <w:rsid w:val="0089539B"/>
    <w:rsid w:val="008955F3"/>
    <w:rsid w:val="00895932"/>
    <w:rsid w:val="00895B99"/>
    <w:rsid w:val="00895C0B"/>
    <w:rsid w:val="00895E64"/>
    <w:rsid w:val="0089612B"/>
    <w:rsid w:val="008964B3"/>
    <w:rsid w:val="008965D2"/>
    <w:rsid w:val="00896757"/>
    <w:rsid w:val="0089702D"/>
    <w:rsid w:val="00897470"/>
    <w:rsid w:val="00897723"/>
    <w:rsid w:val="008979B1"/>
    <w:rsid w:val="008979FE"/>
    <w:rsid w:val="00897C2C"/>
    <w:rsid w:val="00897C4B"/>
    <w:rsid w:val="00897CEC"/>
    <w:rsid w:val="008A00B2"/>
    <w:rsid w:val="008A0450"/>
    <w:rsid w:val="008A06D4"/>
    <w:rsid w:val="008A07F2"/>
    <w:rsid w:val="008A0D13"/>
    <w:rsid w:val="008A0E31"/>
    <w:rsid w:val="008A0F12"/>
    <w:rsid w:val="008A10D1"/>
    <w:rsid w:val="008A10F7"/>
    <w:rsid w:val="008A1298"/>
    <w:rsid w:val="008A15A2"/>
    <w:rsid w:val="008A191F"/>
    <w:rsid w:val="008A1956"/>
    <w:rsid w:val="008A1BCE"/>
    <w:rsid w:val="008A1DFD"/>
    <w:rsid w:val="008A2549"/>
    <w:rsid w:val="008A2557"/>
    <w:rsid w:val="008A26B1"/>
    <w:rsid w:val="008A27FE"/>
    <w:rsid w:val="008A2A8B"/>
    <w:rsid w:val="008A3264"/>
    <w:rsid w:val="008A3475"/>
    <w:rsid w:val="008A3537"/>
    <w:rsid w:val="008A38A4"/>
    <w:rsid w:val="008A38E6"/>
    <w:rsid w:val="008A3AF3"/>
    <w:rsid w:val="008A3BF4"/>
    <w:rsid w:val="008A43F0"/>
    <w:rsid w:val="008A4498"/>
    <w:rsid w:val="008A4532"/>
    <w:rsid w:val="008A4607"/>
    <w:rsid w:val="008A4856"/>
    <w:rsid w:val="008A4DED"/>
    <w:rsid w:val="008A4FF7"/>
    <w:rsid w:val="008A5007"/>
    <w:rsid w:val="008A558C"/>
    <w:rsid w:val="008A5B84"/>
    <w:rsid w:val="008A5DBD"/>
    <w:rsid w:val="008A5E6C"/>
    <w:rsid w:val="008A6058"/>
    <w:rsid w:val="008A614A"/>
    <w:rsid w:val="008A62CB"/>
    <w:rsid w:val="008A6450"/>
    <w:rsid w:val="008A64BF"/>
    <w:rsid w:val="008A67B3"/>
    <w:rsid w:val="008A6A80"/>
    <w:rsid w:val="008A6B25"/>
    <w:rsid w:val="008A6B63"/>
    <w:rsid w:val="008A6B7D"/>
    <w:rsid w:val="008A6C4F"/>
    <w:rsid w:val="008A6CB4"/>
    <w:rsid w:val="008A700E"/>
    <w:rsid w:val="008A7254"/>
    <w:rsid w:val="008A7493"/>
    <w:rsid w:val="008A74E5"/>
    <w:rsid w:val="008A7AA4"/>
    <w:rsid w:val="008A7D00"/>
    <w:rsid w:val="008A7EDD"/>
    <w:rsid w:val="008A7F97"/>
    <w:rsid w:val="008B012C"/>
    <w:rsid w:val="008B054A"/>
    <w:rsid w:val="008B0A31"/>
    <w:rsid w:val="008B0CB1"/>
    <w:rsid w:val="008B0CDF"/>
    <w:rsid w:val="008B0F08"/>
    <w:rsid w:val="008B1094"/>
    <w:rsid w:val="008B1303"/>
    <w:rsid w:val="008B1888"/>
    <w:rsid w:val="008B202D"/>
    <w:rsid w:val="008B259E"/>
    <w:rsid w:val="008B292E"/>
    <w:rsid w:val="008B328F"/>
    <w:rsid w:val="008B36CA"/>
    <w:rsid w:val="008B3816"/>
    <w:rsid w:val="008B389E"/>
    <w:rsid w:val="008B3B61"/>
    <w:rsid w:val="008B3EED"/>
    <w:rsid w:val="008B3F9D"/>
    <w:rsid w:val="008B4469"/>
    <w:rsid w:val="008B44E1"/>
    <w:rsid w:val="008B4535"/>
    <w:rsid w:val="008B4AA8"/>
    <w:rsid w:val="008B548E"/>
    <w:rsid w:val="008B5748"/>
    <w:rsid w:val="008B5797"/>
    <w:rsid w:val="008B5CFD"/>
    <w:rsid w:val="008B5FFB"/>
    <w:rsid w:val="008B63B6"/>
    <w:rsid w:val="008B65BE"/>
    <w:rsid w:val="008B65F3"/>
    <w:rsid w:val="008B688B"/>
    <w:rsid w:val="008B6AA7"/>
    <w:rsid w:val="008B6EA8"/>
    <w:rsid w:val="008B6EF2"/>
    <w:rsid w:val="008B7362"/>
    <w:rsid w:val="008B7412"/>
    <w:rsid w:val="008B742A"/>
    <w:rsid w:val="008B748C"/>
    <w:rsid w:val="008B74E5"/>
    <w:rsid w:val="008B74E9"/>
    <w:rsid w:val="008B7748"/>
    <w:rsid w:val="008B7A2C"/>
    <w:rsid w:val="008B7AB4"/>
    <w:rsid w:val="008B7BCD"/>
    <w:rsid w:val="008B7ED6"/>
    <w:rsid w:val="008C00B6"/>
    <w:rsid w:val="008C0387"/>
    <w:rsid w:val="008C06A3"/>
    <w:rsid w:val="008C06D6"/>
    <w:rsid w:val="008C099F"/>
    <w:rsid w:val="008C0E07"/>
    <w:rsid w:val="008C15E9"/>
    <w:rsid w:val="008C16D1"/>
    <w:rsid w:val="008C1852"/>
    <w:rsid w:val="008C1869"/>
    <w:rsid w:val="008C1A79"/>
    <w:rsid w:val="008C1E70"/>
    <w:rsid w:val="008C2227"/>
    <w:rsid w:val="008C2473"/>
    <w:rsid w:val="008C2612"/>
    <w:rsid w:val="008C2666"/>
    <w:rsid w:val="008C27C9"/>
    <w:rsid w:val="008C2AA1"/>
    <w:rsid w:val="008C2D24"/>
    <w:rsid w:val="008C2F3E"/>
    <w:rsid w:val="008C370E"/>
    <w:rsid w:val="008C3843"/>
    <w:rsid w:val="008C384E"/>
    <w:rsid w:val="008C3A44"/>
    <w:rsid w:val="008C3AB2"/>
    <w:rsid w:val="008C3C07"/>
    <w:rsid w:val="008C4012"/>
    <w:rsid w:val="008C40F5"/>
    <w:rsid w:val="008C4313"/>
    <w:rsid w:val="008C4391"/>
    <w:rsid w:val="008C445D"/>
    <w:rsid w:val="008C46DF"/>
    <w:rsid w:val="008C47C8"/>
    <w:rsid w:val="008C47F4"/>
    <w:rsid w:val="008C4841"/>
    <w:rsid w:val="008C51C2"/>
    <w:rsid w:val="008C58AB"/>
    <w:rsid w:val="008C58B8"/>
    <w:rsid w:val="008C5A70"/>
    <w:rsid w:val="008C5B50"/>
    <w:rsid w:val="008C5CBB"/>
    <w:rsid w:val="008C5F01"/>
    <w:rsid w:val="008C6010"/>
    <w:rsid w:val="008C6BB4"/>
    <w:rsid w:val="008C6C25"/>
    <w:rsid w:val="008C6C32"/>
    <w:rsid w:val="008C6EA2"/>
    <w:rsid w:val="008C743E"/>
    <w:rsid w:val="008C75D1"/>
    <w:rsid w:val="008C769A"/>
    <w:rsid w:val="008C7980"/>
    <w:rsid w:val="008C7E73"/>
    <w:rsid w:val="008C7FE8"/>
    <w:rsid w:val="008D006C"/>
    <w:rsid w:val="008D045E"/>
    <w:rsid w:val="008D0704"/>
    <w:rsid w:val="008D0858"/>
    <w:rsid w:val="008D0944"/>
    <w:rsid w:val="008D0AB2"/>
    <w:rsid w:val="008D0CDB"/>
    <w:rsid w:val="008D0D99"/>
    <w:rsid w:val="008D0F25"/>
    <w:rsid w:val="008D11F4"/>
    <w:rsid w:val="008D1303"/>
    <w:rsid w:val="008D1412"/>
    <w:rsid w:val="008D14A7"/>
    <w:rsid w:val="008D18EA"/>
    <w:rsid w:val="008D19CE"/>
    <w:rsid w:val="008D1D02"/>
    <w:rsid w:val="008D270D"/>
    <w:rsid w:val="008D2818"/>
    <w:rsid w:val="008D28C6"/>
    <w:rsid w:val="008D29D8"/>
    <w:rsid w:val="008D2A13"/>
    <w:rsid w:val="008D2A31"/>
    <w:rsid w:val="008D2DC8"/>
    <w:rsid w:val="008D2EC6"/>
    <w:rsid w:val="008D2FFD"/>
    <w:rsid w:val="008D3039"/>
    <w:rsid w:val="008D3056"/>
    <w:rsid w:val="008D3317"/>
    <w:rsid w:val="008D37EB"/>
    <w:rsid w:val="008D3C7F"/>
    <w:rsid w:val="008D3E7B"/>
    <w:rsid w:val="008D3F25"/>
    <w:rsid w:val="008D3FEF"/>
    <w:rsid w:val="008D404A"/>
    <w:rsid w:val="008D4085"/>
    <w:rsid w:val="008D41C8"/>
    <w:rsid w:val="008D4254"/>
    <w:rsid w:val="008D4400"/>
    <w:rsid w:val="008D4D82"/>
    <w:rsid w:val="008D4EDD"/>
    <w:rsid w:val="008D5178"/>
    <w:rsid w:val="008D5557"/>
    <w:rsid w:val="008D58FB"/>
    <w:rsid w:val="008D5BF7"/>
    <w:rsid w:val="008D5E81"/>
    <w:rsid w:val="008D5ED3"/>
    <w:rsid w:val="008D603C"/>
    <w:rsid w:val="008D62E5"/>
    <w:rsid w:val="008D648F"/>
    <w:rsid w:val="008D6868"/>
    <w:rsid w:val="008D6CA2"/>
    <w:rsid w:val="008D6DAC"/>
    <w:rsid w:val="008D6E99"/>
    <w:rsid w:val="008D767A"/>
    <w:rsid w:val="008D7A94"/>
    <w:rsid w:val="008D7C22"/>
    <w:rsid w:val="008D7CE6"/>
    <w:rsid w:val="008D7D80"/>
    <w:rsid w:val="008E012B"/>
    <w:rsid w:val="008E024A"/>
    <w:rsid w:val="008E09B2"/>
    <w:rsid w:val="008E0D99"/>
    <w:rsid w:val="008E0DCB"/>
    <w:rsid w:val="008E0E46"/>
    <w:rsid w:val="008E0E67"/>
    <w:rsid w:val="008E0EE7"/>
    <w:rsid w:val="008E1536"/>
    <w:rsid w:val="008E2739"/>
    <w:rsid w:val="008E2A95"/>
    <w:rsid w:val="008E2B45"/>
    <w:rsid w:val="008E3534"/>
    <w:rsid w:val="008E37CF"/>
    <w:rsid w:val="008E3A89"/>
    <w:rsid w:val="008E3C11"/>
    <w:rsid w:val="008E3D5F"/>
    <w:rsid w:val="008E46B0"/>
    <w:rsid w:val="008E4D3A"/>
    <w:rsid w:val="008E530C"/>
    <w:rsid w:val="008E5794"/>
    <w:rsid w:val="008E5A7C"/>
    <w:rsid w:val="008E6023"/>
    <w:rsid w:val="008E64B8"/>
    <w:rsid w:val="008E656D"/>
    <w:rsid w:val="008E65DA"/>
    <w:rsid w:val="008E6798"/>
    <w:rsid w:val="008E682A"/>
    <w:rsid w:val="008E68F7"/>
    <w:rsid w:val="008E691F"/>
    <w:rsid w:val="008E696C"/>
    <w:rsid w:val="008E6B95"/>
    <w:rsid w:val="008E6C6A"/>
    <w:rsid w:val="008E6D5F"/>
    <w:rsid w:val="008E6F49"/>
    <w:rsid w:val="008E6F5B"/>
    <w:rsid w:val="008E6F81"/>
    <w:rsid w:val="008E7116"/>
    <w:rsid w:val="008E7469"/>
    <w:rsid w:val="008E7538"/>
    <w:rsid w:val="008E76A8"/>
    <w:rsid w:val="008E775B"/>
    <w:rsid w:val="008E79AE"/>
    <w:rsid w:val="008E7AE6"/>
    <w:rsid w:val="008E7CBA"/>
    <w:rsid w:val="008F00B4"/>
    <w:rsid w:val="008F0275"/>
    <w:rsid w:val="008F02B1"/>
    <w:rsid w:val="008F04B0"/>
    <w:rsid w:val="008F0501"/>
    <w:rsid w:val="008F052F"/>
    <w:rsid w:val="008F0571"/>
    <w:rsid w:val="008F0593"/>
    <w:rsid w:val="008F06AB"/>
    <w:rsid w:val="008F08CD"/>
    <w:rsid w:val="008F0A62"/>
    <w:rsid w:val="008F10FF"/>
    <w:rsid w:val="008F143B"/>
    <w:rsid w:val="008F1491"/>
    <w:rsid w:val="008F17E2"/>
    <w:rsid w:val="008F1AFA"/>
    <w:rsid w:val="008F205D"/>
    <w:rsid w:val="008F22B5"/>
    <w:rsid w:val="008F2301"/>
    <w:rsid w:val="008F2366"/>
    <w:rsid w:val="008F24A1"/>
    <w:rsid w:val="008F2972"/>
    <w:rsid w:val="008F2F82"/>
    <w:rsid w:val="008F3050"/>
    <w:rsid w:val="008F31CC"/>
    <w:rsid w:val="008F320C"/>
    <w:rsid w:val="008F3623"/>
    <w:rsid w:val="008F3636"/>
    <w:rsid w:val="008F36FF"/>
    <w:rsid w:val="008F378D"/>
    <w:rsid w:val="008F3882"/>
    <w:rsid w:val="008F3D1B"/>
    <w:rsid w:val="008F4073"/>
    <w:rsid w:val="008F4196"/>
    <w:rsid w:val="008F4545"/>
    <w:rsid w:val="008F468D"/>
    <w:rsid w:val="008F4693"/>
    <w:rsid w:val="008F46C4"/>
    <w:rsid w:val="008F4B3E"/>
    <w:rsid w:val="008F4B7C"/>
    <w:rsid w:val="008F54C3"/>
    <w:rsid w:val="008F572C"/>
    <w:rsid w:val="008F5DB0"/>
    <w:rsid w:val="008F5E76"/>
    <w:rsid w:val="008F610F"/>
    <w:rsid w:val="008F6146"/>
    <w:rsid w:val="008F61F1"/>
    <w:rsid w:val="008F635E"/>
    <w:rsid w:val="008F6521"/>
    <w:rsid w:val="008F65A4"/>
    <w:rsid w:val="008F6795"/>
    <w:rsid w:val="008F69B5"/>
    <w:rsid w:val="008F6E55"/>
    <w:rsid w:val="008F6F38"/>
    <w:rsid w:val="008F6FE1"/>
    <w:rsid w:val="008F7286"/>
    <w:rsid w:val="008F73B1"/>
    <w:rsid w:val="008F7B4D"/>
    <w:rsid w:val="0090014E"/>
    <w:rsid w:val="00900278"/>
    <w:rsid w:val="009004DB"/>
    <w:rsid w:val="00900700"/>
    <w:rsid w:val="00900C49"/>
    <w:rsid w:val="00900CF8"/>
    <w:rsid w:val="00900E30"/>
    <w:rsid w:val="00900EAD"/>
    <w:rsid w:val="00901661"/>
    <w:rsid w:val="00901815"/>
    <w:rsid w:val="00901AF7"/>
    <w:rsid w:val="00901CE3"/>
    <w:rsid w:val="00901CE9"/>
    <w:rsid w:val="00901F0D"/>
    <w:rsid w:val="009022A8"/>
    <w:rsid w:val="009029AA"/>
    <w:rsid w:val="00902A67"/>
    <w:rsid w:val="00902F3C"/>
    <w:rsid w:val="00903221"/>
    <w:rsid w:val="00903968"/>
    <w:rsid w:val="00903980"/>
    <w:rsid w:val="009039A7"/>
    <w:rsid w:val="009039F2"/>
    <w:rsid w:val="00903BB5"/>
    <w:rsid w:val="00903BBD"/>
    <w:rsid w:val="00903C46"/>
    <w:rsid w:val="00903D7A"/>
    <w:rsid w:val="00904259"/>
    <w:rsid w:val="009043E9"/>
    <w:rsid w:val="00904776"/>
    <w:rsid w:val="00904952"/>
    <w:rsid w:val="00904F69"/>
    <w:rsid w:val="009051F5"/>
    <w:rsid w:val="00905361"/>
    <w:rsid w:val="00905648"/>
    <w:rsid w:val="00905674"/>
    <w:rsid w:val="00905942"/>
    <w:rsid w:val="00905C45"/>
    <w:rsid w:val="00905CD3"/>
    <w:rsid w:val="00905D57"/>
    <w:rsid w:val="00905EC1"/>
    <w:rsid w:val="00905EFD"/>
    <w:rsid w:val="009060B2"/>
    <w:rsid w:val="009061D5"/>
    <w:rsid w:val="00906592"/>
    <w:rsid w:val="00906A77"/>
    <w:rsid w:val="00906D4C"/>
    <w:rsid w:val="00906E5A"/>
    <w:rsid w:val="009070ED"/>
    <w:rsid w:val="009072E1"/>
    <w:rsid w:val="0090738C"/>
    <w:rsid w:val="0090745E"/>
    <w:rsid w:val="0090751E"/>
    <w:rsid w:val="00907642"/>
    <w:rsid w:val="009076CD"/>
    <w:rsid w:val="009079A7"/>
    <w:rsid w:val="00907CA4"/>
    <w:rsid w:val="0091018F"/>
    <w:rsid w:val="0091062C"/>
    <w:rsid w:val="00910860"/>
    <w:rsid w:val="00910AAF"/>
    <w:rsid w:val="00910FE5"/>
    <w:rsid w:val="0091155A"/>
    <w:rsid w:val="00911980"/>
    <w:rsid w:val="00911CBF"/>
    <w:rsid w:val="00911D36"/>
    <w:rsid w:val="009123D8"/>
    <w:rsid w:val="009126EA"/>
    <w:rsid w:val="009129F2"/>
    <w:rsid w:val="00912BBD"/>
    <w:rsid w:val="00913232"/>
    <w:rsid w:val="00913423"/>
    <w:rsid w:val="00913586"/>
    <w:rsid w:val="009135C9"/>
    <w:rsid w:val="0091364E"/>
    <w:rsid w:val="009138A5"/>
    <w:rsid w:val="0091396B"/>
    <w:rsid w:val="00913D4E"/>
    <w:rsid w:val="00914062"/>
    <w:rsid w:val="009143B0"/>
    <w:rsid w:val="0091491B"/>
    <w:rsid w:val="00914BF1"/>
    <w:rsid w:val="00914D94"/>
    <w:rsid w:val="00914FDB"/>
    <w:rsid w:val="0091502B"/>
    <w:rsid w:val="009154A4"/>
    <w:rsid w:val="009154B5"/>
    <w:rsid w:val="00915A31"/>
    <w:rsid w:val="00916065"/>
    <w:rsid w:val="0091625D"/>
    <w:rsid w:val="0091664D"/>
    <w:rsid w:val="0091685E"/>
    <w:rsid w:val="00916895"/>
    <w:rsid w:val="00916973"/>
    <w:rsid w:val="00916994"/>
    <w:rsid w:val="00916AA7"/>
    <w:rsid w:val="00916AE5"/>
    <w:rsid w:val="00916DDE"/>
    <w:rsid w:val="00917207"/>
    <w:rsid w:val="009173BA"/>
    <w:rsid w:val="0091755F"/>
    <w:rsid w:val="0091759B"/>
    <w:rsid w:val="0091780A"/>
    <w:rsid w:val="009178F3"/>
    <w:rsid w:val="00917A0A"/>
    <w:rsid w:val="00917BF2"/>
    <w:rsid w:val="00917E42"/>
    <w:rsid w:val="00917F05"/>
    <w:rsid w:val="009203DB"/>
    <w:rsid w:val="0092079C"/>
    <w:rsid w:val="0092097E"/>
    <w:rsid w:val="00920C6A"/>
    <w:rsid w:val="0092191E"/>
    <w:rsid w:val="00921DEC"/>
    <w:rsid w:val="00921ECE"/>
    <w:rsid w:val="00921F90"/>
    <w:rsid w:val="00922049"/>
    <w:rsid w:val="00922087"/>
    <w:rsid w:val="009220B4"/>
    <w:rsid w:val="0092211B"/>
    <w:rsid w:val="00922122"/>
    <w:rsid w:val="0092266D"/>
    <w:rsid w:val="009229F5"/>
    <w:rsid w:val="00922F46"/>
    <w:rsid w:val="00922FC9"/>
    <w:rsid w:val="00923053"/>
    <w:rsid w:val="0092336D"/>
    <w:rsid w:val="00923444"/>
    <w:rsid w:val="0092353C"/>
    <w:rsid w:val="00923C99"/>
    <w:rsid w:val="00923E41"/>
    <w:rsid w:val="00923FBD"/>
    <w:rsid w:val="0092440E"/>
    <w:rsid w:val="00924542"/>
    <w:rsid w:val="009245D8"/>
    <w:rsid w:val="00924658"/>
    <w:rsid w:val="0092475D"/>
    <w:rsid w:val="009248E0"/>
    <w:rsid w:val="00924A17"/>
    <w:rsid w:val="00924B8B"/>
    <w:rsid w:val="00924D55"/>
    <w:rsid w:val="00924E5D"/>
    <w:rsid w:val="00925460"/>
    <w:rsid w:val="0092567B"/>
    <w:rsid w:val="009258AA"/>
    <w:rsid w:val="009258CB"/>
    <w:rsid w:val="009258E4"/>
    <w:rsid w:val="00925C14"/>
    <w:rsid w:val="00925E67"/>
    <w:rsid w:val="00925FE5"/>
    <w:rsid w:val="009260AA"/>
    <w:rsid w:val="00926554"/>
    <w:rsid w:val="0092667A"/>
    <w:rsid w:val="009267D2"/>
    <w:rsid w:val="00926904"/>
    <w:rsid w:val="00926A4F"/>
    <w:rsid w:val="00926E47"/>
    <w:rsid w:val="00926EDA"/>
    <w:rsid w:val="00926FD7"/>
    <w:rsid w:val="009272EE"/>
    <w:rsid w:val="0092735B"/>
    <w:rsid w:val="009273AE"/>
    <w:rsid w:val="00927706"/>
    <w:rsid w:val="00927CD1"/>
    <w:rsid w:val="00927D5E"/>
    <w:rsid w:val="00927D7B"/>
    <w:rsid w:val="00927FC3"/>
    <w:rsid w:val="0093000C"/>
    <w:rsid w:val="00930219"/>
    <w:rsid w:val="00930244"/>
    <w:rsid w:val="00930564"/>
    <w:rsid w:val="009307E3"/>
    <w:rsid w:val="00930AA1"/>
    <w:rsid w:val="00930B27"/>
    <w:rsid w:val="00930BA7"/>
    <w:rsid w:val="00930BD4"/>
    <w:rsid w:val="00930EA4"/>
    <w:rsid w:val="00931093"/>
    <w:rsid w:val="0093119F"/>
    <w:rsid w:val="009313D6"/>
    <w:rsid w:val="00931510"/>
    <w:rsid w:val="009318B9"/>
    <w:rsid w:val="00931B10"/>
    <w:rsid w:val="00932176"/>
    <w:rsid w:val="009322C9"/>
    <w:rsid w:val="009324DC"/>
    <w:rsid w:val="0093276A"/>
    <w:rsid w:val="00932DBF"/>
    <w:rsid w:val="00933136"/>
    <w:rsid w:val="009335AC"/>
    <w:rsid w:val="00933624"/>
    <w:rsid w:val="009337FD"/>
    <w:rsid w:val="00933824"/>
    <w:rsid w:val="009339FD"/>
    <w:rsid w:val="00933D67"/>
    <w:rsid w:val="0093408E"/>
    <w:rsid w:val="00934196"/>
    <w:rsid w:val="009345F5"/>
    <w:rsid w:val="00934757"/>
    <w:rsid w:val="00934BE7"/>
    <w:rsid w:val="00934EB2"/>
    <w:rsid w:val="00935070"/>
    <w:rsid w:val="0093519B"/>
    <w:rsid w:val="00935607"/>
    <w:rsid w:val="009356FA"/>
    <w:rsid w:val="0093577C"/>
    <w:rsid w:val="00935850"/>
    <w:rsid w:val="009359C5"/>
    <w:rsid w:val="009359D1"/>
    <w:rsid w:val="00935E08"/>
    <w:rsid w:val="00935FE2"/>
    <w:rsid w:val="0093610E"/>
    <w:rsid w:val="00936214"/>
    <w:rsid w:val="0093649F"/>
    <w:rsid w:val="00936823"/>
    <w:rsid w:val="009369E1"/>
    <w:rsid w:val="00936C7B"/>
    <w:rsid w:val="00936E17"/>
    <w:rsid w:val="00937244"/>
    <w:rsid w:val="00937725"/>
    <w:rsid w:val="00940273"/>
    <w:rsid w:val="00940456"/>
    <w:rsid w:val="009405D3"/>
    <w:rsid w:val="009406E1"/>
    <w:rsid w:val="00940704"/>
    <w:rsid w:val="009407C7"/>
    <w:rsid w:val="009408AA"/>
    <w:rsid w:val="00940B96"/>
    <w:rsid w:val="00940D25"/>
    <w:rsid w:val="0094127B"/>
    <w:rsid w:val="009415D3"/>
    <w:rsid w:val="00941742"/>
    <w:rsid w:val="0094197C"/>
    <w:rsid w:val="00941E91"/>
    <w:rsid w:val="009420AB"/>
    <w:rsid w:val="009422E1"/>
    <w:rsid w:val="009423E7"/>
    <w:rsid w:val="009429C1"/>
    <w:rsid w:val="00942A1A"/>
    <w:rsid w:val="00942B7E"/>
    <w:rsid w:val="00942C6A"/>
    <w:rsid w:val="00942E55"/>
    <w:rsid w:val="00943019"/>
    <w:rsid w:val="0094337A"/>
    <w:rsid w:val="00943601"/>
    <w:rsid w:val="009436F2"/>
    <w:rsid w:val="00943936"/>
    <w:rsid w:val="00943C8D"/>
    <w:rsid w:val="00943CAF"/>
    <w:rsid w:val="00943DC8"/>
    <w:rsid w:val="00943E03"/>
    <w:rsid w:val="009441B2"/>
    <w:rsid w:val="00944550"/>
    <w:rsid w:val="009445AB"/>
    <w:rsid w:val="00944882"/>
    <w:rsid w:val="009448DD"/>
    <w:rsid w:val="00944CB3"/>
    <w:rsid w:val="009457B2"/>
    <w:rsid w:val="00945A86"/>
    <w:rsid w:val="00945ADA"/>
    <w:rsid w:val="00945B43"/>
    <w:rsid w:val="00945FFE"/>
    <w:rsid w:val="0094611C"/>
    <w:rsid w:val="0094639C"/>
    <w:rsid w:val="009465A1"/>
    <w:rsid w:val="00946A2D"/>
    <w:rsid w:val="00946AB9"/>
    <w:rsid w:val="00946BFD"/>
    <w:rsid w:val="00946E9C"/>
    <w:rsid w:val="00947162"/>
    <w:rsid w:val="009473BA"/>
    <w:rsid w:val="0094749F"/>
    <w:rsid w:val="00947967"/>
    <w:rsid w:val="00947EEF"/>
    <w:rsid w:val="009503E8"/>
    <w:rsid w:val="009504ED"/>
    <w:rsid w:val="00950959"/>
    <w:rsid w:val="00950BAE"/>
    <w:rsid w:val="00950CBC"/>
    <w:rsid w:val="00950DEB"/>
    <w:rsid w:val="00951612"/>
    <w:rsid w:val="009516B5"/>
    <w:rsid w:val="00951E0A"/>
    <w:rsid w:val="00951F4C"/>
    <w:rsid w:val="0095207C"/>
    <w:rsid w:val="00952242"/>
    <w:rsid w:val="009525D3"/>
    <w:rsid w:val="00952646"/>
    <w:rsid w:val="00952881"/>
    <w:rsid w:val="00952936"/>
    <w:rsid w:val="00952B1D"/>
    <w:rsid w:val="00952E32"/>
    <w:rsid w:val="009530FA"/>
    <w:rsid w:val="009532A2"/>
    <w:rsid w:val="009532AC"/>
    <w:rsid w:val="009533EA"/>
    <w:rsid w:val="00953965"/>
    <w:rsid w:val="009539BB"/>
    <w:rsid w:val="00953C8D"/>
    <w:rsid w:val="00953DA4"/>
    <w:rsid w:val="00953F3C"/>
    <w:rsid w:val="0095425E"/>
    <w:rsid w:val="009542A6"/>
    <w:rsid w:val="009547A8"/>
    <w:rsid w:val="00955075"/>
    <w:rsid w:val="00955423"/>
    <w:rsid w:val="0095547A"/>
    <w:rsid w:val="00955A26"/>
    <w:rsid w:val="009560C6"/>
    <w:rsid w:val="00956159"/>
    <w:rsid w:val="00956312"/>
    <w:rsid w:val="009564DE"/>
    <w:rsid w:val="009568EF"/>
    <w:rsid w:val="00956A10"/>
    <w:rsid w:val="00956A44"/>
    <w:rsid w:val="00957858"/>
    <w:rsid w:val="00957888"/>
    <w:rsid w:val="009578D6"/>
    <w:rsid w:val="009579A7"/>
    <w:rsid w:val="00957AB0"/>
    <w:rsid w:val="00957E5F"/>
    <w:rsid w:val="009607F0"/>
    <w:rsid w:val="009607FD"/>
    <w:rsid w:val="00960E65"/>
    <w:rsid w:val="009610D0"/>
    <w:rsid w:val="00961178"/>
    <w:rsid w:val="00961638"/>
    <w:rsid w:val="0096190E"/>
    <w:rsid w:val="00961A81"/>
    <w:rsid w:val="00961BD2"/>
    <w:rsid w:val="00961C88"/>
    <w:rsid w:val="00961D9F"/>
    <w:rsid w:val="009625F2"/>
    <w:rsid w:val="0096261F"/>
    <w:rsid w:val="00962922"/>
    <w:rsid w:val="009629B2"/>
    <w:rsid w:val="00962A66"/>
    <w:rsid w:val="00962D80"/>
    <w:rsid w:val="00962F9B"/>
    <w:rsid w:val="009633EB"/>
    <w:rsid w:val="0096343C"/>
    <w:rsid w:val="009636F9"/>
    <w:rsid w:val="0096375C"/>
    <w:rsid w:val="009637AB"/>
    <w:rsid w:val="00963EFD"/>
    <w:rsid w:val="00963FC7"/>
    <w:rsid w:val="00964490"/>
    <w:rsid w:val="0096467C"/>
    <w:rsid w:val="00964824"/>
    <w:rsid w:val="00964A3C"/>
    <w:rsid w:val="00964B79"/>
    <w:rsid w:val="00964D48"/>
    <w:rsid w:val="00964F79"/>
    <w:rsid w:val="00965184"/>
    <w:rsid w:val="00965221"/>
    <w:rsid w:val="00965402"/>
    <w:rsid w:val="009656EB"/>
    <w:rsid w:val="00965724"/>
    <w:rsid w:val="00965787"/>
    <w:rsid w:val="00965833"/>
    <w:rsid w:val="00965B15"/>
    <w:rsid w:val="009660FB"/>
    <w:rsid w:val="00966262"/>
    <w:rsid w:val="009662E6"/>
    <w:rsid w:val="009665F4"/>
    <w:rsid w:val="00966AE4"/>
    <w:rsid w:val="00967163"/>
    <w:rsid w:val="00967210"/>
    <w:rsid w:val="009673B0"/>
    <w:rsid w:val="00967540"/>
    <w:rsid w:val="00967759"/>
    <w:rsid w:val="00967790"/>
    <w:rsid w:val="009677FB"/>
    <w:rsid w:val="00967C41"/>
    <w:rsid w:val="00967D4C"/>
    <w:rsid w:val="00967F70"/>
    <w:rsid w:val="00970135"/>
    <w:rsid w:val="009705F8"/>
    <w:rsid w:val="0097095E"/>
    <w:rsid w:val="00970EAF"/>
    <w:rsid w:val="00970F57"/>
    <w:rsid w:val="00971081"/>
    <w:rsid w:val="009711B5"/>
    <w:rsid w:val="0097126E"/>
    <w:rsid w:val="00971488"/>
    <w:rsid w:val="009715AB"/>
    <w:rsid w:val="00971986"/>
    <w:rsid w:val="00971C60"/>
    <w:rsid w:val="00971DE4"/>
    <w:rsid w:val="00971ED4"/>
    <w:rsid w:val="0097253C"/>
    <w:rsid w:val="009725A3"/>
    <w:rsid w:val="0097294A"/>
    <w:rsid w:val="00972BA2"/>
    <w:rsid w:val="00972ECD"/>
    <w:rsid w:val="00972F9A"/>
    <w:rsid w:val="00972FA3"/>
    <w:rsid w:val="00973050"/>
    <w:rsid w:val="009730BD"/>
    <w:rsid w:val="009731A2"/>
    <w:rsid w:val="009736DE"/>
    <w:rsid w:val="0097383A"/>
    <w:rsid w:val="009739F8"/>
    <w:rsid w:val="00973C05"/>
    <w:rsid w:val="00973EF8"/>
    <w:rsid w:val="00973FAD"/>
    <w:rsid w:val="009740EA"/>
    <w:rsid w:val="0097446B"/>
    <w:rsid w:val="0097498C"/>
    <w:rsid w:val="00975399"/>
    <w:rsid w:val="00975728"/>
    <w:rsid w:val="009757B7"/>
    <w:rsid w:val="0097584E"/>
    <w:rsid w:val="00975914"/>
    <w:rsid w:val="0097597D"/>
    <w:rsid w:val="009759F7"/>
    <w:rsid w:val="00975C7C"/>
    <w:rsid w:val="0097600F"/>
    <w:rsid w:val="00976423"/>
    <w:rsid w:val="009764B6"/>
    <w:rsid w:val="00976743"/>
    <w:rsid w:val="0097679D"/>
    <w:rsid w:val="009769EA"/>
    <w:rsid w:val="00976A88"/>
    <w:rsid w:val="00976CD6"/>
    <w:rsid w:val="0097759D"/>
    <w:rsid w:val="00977622"/>
    <w:rsid w:val="00977703"/>
    <w:rsid w:val="00977A89"/>
    <w:rsid w:val="00977CB2"/>
    <w:rsid w:val="00980029"/>
    <w:rsid w:val="00980529"/>
    <w:rsid w:val="009807CD"/>
    <w:rsid w:val="00980A8B"/>
    <w:rsid w:val="00980B10"/>
    <w:rsid w:val="00981395"/>
    <w:rsid w:val="0098158E"/>
    <w:rsid w:val="009817C4"/>
    <w:rsid w:val="00981AB7"/>
    <w:rsid w:val="00981F62"/>
    <w:rsid w:val="00982085"/>
    <w:rsid w:val="00982328"/>
    <w:rsid w:val="0098241E"/>
    <w:rsid w:val="0098266D"/>
    <w:rsid w:val="009828B2"/>
    <w:rsid w:val="00982DC8"/>
    <w:rsid w:val="00982FB6"/>
    <w:rsid w:val="009831AC"/>
    <w:rsid w:val="00983567"/>
    <w:rsid w:val="00983B8A"/>
    <w:rsid w:val="00983D70"/>
    <w:rsid w:val="009841D5"/>
    <w:rsid w:val="009844FC"/>
    <w:rsid w:val="00984626"/>
    <w:rsid w:val="0098462C"/>
    <w:rsid w:val="0098469B"/>
    <w:rsid w:val="0098478D"/>
    <w:rsid w:val="009848A2"/>
    <w:rsid w:val="009848DB"/>
    <w:rsid w:val="00984EF6"/>
    <w:rsid w:val="0098500B"/>
    <w:rsid w:val="009850B0"/>
    <w:rsid w:val="009850FC"/>
    <w:rsid w:val="009851BF"/>
    <w:rsid w:val="009855B0"/>
    <w:rsid w:val="0098592B"/>
    <w:rsid w:val="00985FC4"/>
    <w:rsid w:val="00986006"/>
    <w:rsid w:val="009861E7"/>
    <w:rsid w:val="009861EC"/>
    <w:rsid w:val="009864D2"/>
    <w:rsid w:val="00986CAD"/>
    <w:rsid w:val="009871D7"/>
    <w:rsid w:val="00987388"/>
    <w:rsid w:val="00987AA6"/>
    <w:rsid w:val="00987C7F"/>
    <w:rsid w:val="00987C9E"/>
    <w:rsid w:val="00987D14"/>
    <w:rsid w:val="00987D98"/>
    <w:rsid w:val="00987E19"/>
    <w:rsid w:val="00987FB4"/>
    <w:rsid w:val="00987FF3"/>
    <w:rsid w:val="00990041"/>
    <w:rsid w:val="00990207"/>
    <w:rsid w:val="00990766"/>
    <w:rsid w:val="00990923"/>
    <w:rsid w:val="00990DE8"/>
    <w:rsid w:val="00990E09"/>
    <w:rsid w:val="00991090"/>
    <w:rsid w:val="00991261"/>
    <w:rsid w:val="00991541"/>
    <w:rsid w:val="00991781"/>
    <w:rsid w:val="0099187E"/>
    <w:rsid w:val="009919EC"/>
    <w:rsid w:val="00991A17"/>
    <w:rsid w:val="00991BDD"/>
    <w:rsid w:val="00991BFC"/>
    <w:rsid w:val="0099212A"/>
    <w:rsid w:val="009922C4"/>
    <w:rsid w:val="009928B7"/>
    <w:rsid w:val="00992B12"/>
    <w:rsid w:val="0099309F"/>
    <w:rsid w:val="00993484"/>
    <w:rsid w:val="009936F3"/>
    <w:rsid w:val="00993E2C"/>
    <w:rsid w:val="00993F00"/>
    <w:rsid w:val="00993FA7"/>
    <w:rsid w:val="009940B1"/>
    <w:rsid w:val="0099420D"/>
    <w:rsid w:val="00994511"/>
    <w:rsid w:val="0099465F"/>
    <w:rsid w:val="009946D6"/>
    <w:rsid w:val="00994C8F"/>
    <w:rsid w:val="00994CDF"/>
    <w:rsid w:val="00994CF5"/>
    <w:rsid w:val="00995112"/>
    <w:rsid w:val="00995172"/>
    <w:rsid w:val="009954C2"/>
    <w:rsid w:val="00995A1D"/>
    <w:rsid w:val="009961F0"/>
    <w:rsid w:val="009963A9"/>
    <w:rsid w:val="009964C4"/>
    <w:rsid w:val="00996968"/>
    <w:rsid w:val="009969C9"/>
    <w:rsid w:val="00996BAB"/>
    <w:rsid w:val="00996DBA"/>
    <w:rsid w:val="00996F08"/>
    <w:rsid w:val="009975C9"/>
    <w:rsid w:val="009976A4"/>
    <w:rsid w:val="009978FD"/>
    <w:rsid w:val="00997AA0"/>
    <w:rsid w:val="00997D3B"/>
    <w:rsid w:val="009A0328"/>
    <w:rsid w:val="009A0678"/>
    <w:rsid w:val="009A09CD"/>
    <w:rsid w:val="009A0BDA"/>
    <w:rsid w:val="009A0C04"/>
    <w:rsid w:val="009A0E71"/>
    <w:rsid w:val="009A1145"/>
    <w:rsid w:val="009A1224"/>
    <w:rsid w:val="009A13A5"/>
    <w:rsid w:val="009A1405"/>
    <w:rsid w:val="009A14D4"/>
    <w:rsid w:val="009A16DD"/>
    <w:rsid w:val="009A18A8"/>
    <w:rsid w:val="009A1B6F"/>
    <w:rsid w:val="009A1CCC"/>
    <w:rsid w:val="009A1CDA"/>
    <w:rsid w:val="009A1D53"/>
    <w:rsid w:val="009A1F38"/>
    <w:rsid w:val="009A1F47"/>
    <w:rsid w:val="009A24F1"/>
    <w:rsid w:val="009A2679"/>
    <w:rsid w:val="009A2BD8"/>
    <w:rsid w:val="009A2D9A"/>
    <w:rsid w:val="009A2F55"/>
    <w:rsid w:val="009A3342"/>
    <w:rsid w:val="009A3437"/>
    <w:rsid w:val="009A3848"/>
    <w:rsid w:val="009A3A31"/>
    <w:rsid w:val="009A403D"/>
    <w:rsid w:val="009A4541"/>
    <w:rsid w:val="009A4896"/>
    <w:rsid w:val="009A49AE"/>
    <w:rsid w:val="009A49E2"/>
    <w:rsid w:val="009A4D41"/>
    <w:rsid w:val="009A4DB7"/>
    <w:rsid w:val="009A4F7F"/>
    <w:rsid w:val="009A517E"/>
    <w:rsid w:val="009A5183"/>
    <w:rsid w:val="009A56DD"/>
    <w:rsid w:val="009A57E6"/>
    <w:rsid w:val="009A59FE"/>
    <w:rsid w:val="009A5B5C"/>
    <w:rsid w:val="009A5C5C"/>
    <w:rsid w:val="009A5E3C"/>
    <w:rsid w:val="009A5E5A"/>
    <w:rsid w:val="009A5EF8"/>
    <w:rsid w:val="009A6112"/>
    <w:rsid w:val="009A6266"/>
    <w:rsid w:val="009A6443"/>
    <w:rsid w:val="009A652A"/>
    <w:rsid w:val="009A6AD6"/>
    <w:rsid w:val="009A6C25"/>
    <w:rsid w:val="009A70D7"/>
    <w:rsid w:val="009A7394"/>
    <w:rsid w:val="009A744D"/>
    <w:rsid w:val="009A7482"/>
    <w:rsid w:val="009A7524"/>
    <w:rsid w:val="009A79E1"/>
    <w:rsid w:val="009A7B81"/>
    <w:rsid w:val="009B00F9"/>
    <w:rsid w:val="009B0A0A"/>
    <w:rsid w:val="009B0D72"/>
    <w:rsid w:val="009B0E7E"/>
    <w:rsid w:val="009B118D"/>
    <w:rsid w:val="009B13E4"/>
    <w:rsid w:val="009B1BFE"/>
    <w:rsid w:val="009B1C9C"/>
    <w:rsid w:val="009B1FB7"/>
    <w:rsid w:val="009B2023"/>
    <w:rsid w:val="009B2623"/>
    <w:rsid w:val="009B26DE"/>
    <w:rsid w:val="009B28D3"/>
    <w:rsid w:val="009B2AFC"/>
    <w:rsid w:val="009B2BA5"/>
    <w:rsid w:val="009B2D53"/>
    <w:rsid w:val="009B2DBE"/>
    <w:rsid w:val="009B31ED"/>
    <w:rsid w:val="009B3CEE"/>
    <w:rsid w:val="009B3CFC"/>
    <w:rsid w:val="009B463F"/>
    <w:rsid w:val="009B4698"/>
    <w:rsid w:val="009B47F2"/>
    <w:rsid w:val="009B4D45"/>
    <w:rsid w:val="009B4DD8"/>
    <w:rsid w:val="009B4DF6"/>
    <w:rsid w:val="009B517D"/>
    <w:rsid w:val="009B569A"/>
    <w:rsid w:val="009B5786"/>
    <w:rsid w:val="009B595F"/>
    <w:rsid w:val="009B5B5B"/>
    <w:rsid w:val="009B5F42"/>
    <w:rsid w:val="009B622D"/>
    <w:rsid w:val="009B6424"/>
    <w:rsid w:val="009B683B"/>
    <w:rsid w:val="009B6B60"/>
    <w:rsid w:val="009B6C31"/>
    <w:rsid w:val="009B6CF7"/>
    <w:rsid w:val="009B7259"/>
    <w:rsid w:val="009B73C9"/>
    <w:rsid w:val="009B74EF"/>
    <w:rsid w:val="009B7642"/>
    <w:rsid w:val="009B775D"/>
    <w:rsid w:val="009B7AC8"/>
    <w:rsid w:val="009C004F"/>
    <w:rsid w:val="009C01A5"/>
    <w:rsid w:val="009C026C"/>
    <w:rsid w:val="009C0471"/>
    <w:rsid w:val="009C09E4"/>
    <w:rsid w:val="009C0AEB"/>
    <w:rsid w:val="009C0DCB"/>
    <w:rsid w:val="009C0DDE"/>
    <w:rsid w:val="009C109D"/>
    <w:rsid w:val="009C113B"/>
    <w:rsid w:val="009C1334"/>
    <w:rsid w:val="009C1672"/>
    <w:rsid w:val="009C1847"/>
    <w:rsid w:val="009C197E"/>
    <w:rsid w:val="009C1E6E"/>
    <w:rsid w:val="009C1F4A"/>
    <w:rsid w:val="009C1F9C"/>
    <w:rsid w:val="009C261E"/>
    <w:rsid w:val="009C2741"/>
    <w:rsid w:val="009C2781"/>
    <w:rsid w:val="009C288D"/>
    <w:rsid w:val="009C2891"/>
    <w:rsid w:val="009C29B8"/>
    <w:rsid w:val="009C2AC1"/>
    <w:rsid w:val="009C3109"/>
    <w:rsid w:val="009C3AAB"/>
    <w:rsid w:val="009C3B7B"/>
    <w:rsid w:val="009C3E74"/>
    <w:rsid w:val="009C3F74"/>
    <w:rsid w:val="009C4068"/>
    <w:rsid w:val="009C42B0"/>
    <w:rsid w:val="009C4BD1"/>
    <w:rsid w:val="009C4BD9"/>
    <w:rsid w:val="009C4EF6"/>
    <w:rsid w:val="009C5171"/>
    <w:rsid w:val="009C5338"/>
    <w:rsid w:val="009C5CA5"/>
    <w:rsid w:val="009C5E87"/>
    <w:rsid w:val="009C5ED9"/>
    <w:rsid w:val="009C62D5"/>
    <w:rsid w:val="009C6639"/>
    <w:rsid w:val="009C671F"/>
    <w:rsid w:val="009C6806"/>
    <w:rsid w:val="009C68B0"/>
    <w:rsid w:val="009C69E3"/>
    <w:rsid w:val="009C6CC4"/>
    <w:rsid w:val="009C701C"/>
    <w:rsid w:val="009C70E0"/>
    <w:rsid w:val="009C7613"/>
    <w:rsid w:val="009C78B7"/>
    <w:rsid w:val="009C7C3B"/>
    <w:rsid w:val="009C7C83"/>
    <w:rsid w:val="009C7DA2"/>
    <w:rsid w:val="009D0070"/>
    <w:rsid w:val="009D01C0"/>
    <w:rsid w:val="009D06EB"/>
    <w:rsid w:val="009D0711"/>
    <w:rsid w:val="009D07C4"/>
    <w:rsid w:val="009D0ADE"/>
    <w:rsid w:val="009D1256"/>
    <w:rsid w:val="009D16FA"/>
    <w:rsid w:val="009D17BA"/>
    <w:rsid w:val="009D18C9"/>
    <w:rsid w:val="009D1983"/>
    <w:rsid w:val="009D1A38"/>
    <w:rsid w:val="009D1B45"/>
    <w:rsid w:val="009D1F0E"/>
    <w:rsid w:val="009D20C6"/>
    <w:rsid w:val="009D246B"/>
    <w:rsid w:val="009D2616"/>
    <w:rsid w:val="009D270C"/>
    <w:rsid w:val="009D281F"/>
    <w:rsid w:val="009D2CC3"/>
    <w:rsid w:val="009D33C5"/>
    <w:rsid w:val="009D35F4"/>
    <w:rsid w:val="009D3607"/>
    <w:rsid w:val="009D3663"/>
    <w:rsid w:val="009D378A"/>
    <w:rsid w:val="009D3F3D"/>
    <w:rsid w:val="009D40DC"/>
    <w:rsid w:val="009D41A1"/>
    <w:rsid w:val="009D4231"/>
    <w:rsid w:val="009D4306"/>
    <w:rsid w:val="009D4489"/>
    <w:rsid w:val="009D44FC"/>
    <w:rsid w:val="009D4684"/>
    <w:rsid w:val="009D494F"/>
    <w:rsid w:val="009D4CA0"/>
    <w:rsid w:val="009D4E4D"/>
    <w:rsid w:val="009D4E55"/>
    <w:rsid w:val="009D511E"/>
    <w:rsid w:val="009D54EA"/>
    <w:rsid w:val="009D567B"/>
    <w:rsid w:val="009D58EF"/>
    <w:rsid w:val="009D5ABE"/>
    <w:rsid w:val="009D5EBE"/>
    <w:rsid w:val="009D5FAA"/>
    <w:rsid w:val="009D6127"/>
    <w:rsid w:val="009D6260"/>
    <w:rsid w:val="009D62B6"/>
    <w:rsid w:val="009D66D8"/>
    <w:rsid w:val="009D6A08"/>
    <w:rsid w:val="009D6A6B"/>
    <w:rsid w:val="009D6A83"/>
    <w:rsid w:val="009D6C88"/>
    <w:rsid w:val="009D6EEE"/>
    <w:rsid w:val="009D76C7"/>
    <w:rsid w:val="009D7939"/>
    <w:rsid w:val="009D7D84"/>
    <w:rsid w:val="009E01E3"/>
    <w:rsid w:val="009E05A0"/>
    <w:rsid w:val="009E06B1"/>
    <w:rsid w:val="009E07E6"/>
    <w:rsid w:val="009E0A16"/>
    <w:rsid w:val="009E0D8D"/>
    <w:rsid w:val="009E125C"/>
    <w:rsid w:val="009E1593"/>
    <w:rsid w:val="009E1672"/>
    <w:rsid w:val="009E16C8"/>
    <w:rsid w:val="009E16E9"/>
    <w:rsid w:val="009E18AA"/>
    <w:rsid w:val="009E196A"/>
    <w:rsid w:val="009E198F"/>
    <w:rsid w:val="009E1F1A"/>
    <w:rsid w:val="009E1FC0"/>
    <w:rsid w:val="009E2006"/>
    <w:rsid w:val="009E2294"/>
    <w:rsid w:val="009E23B2"/>
    <w:rsid w:val="009E23E0"/>
    <w:rsid w:val="009E25C7"/>
    <w:rsid w:val="009E2A0D"/>
    <w:rsid w:val="009E2C5F"/>
    <w:rsid w:val="009E2E1B"/>
    <w:rsid w:val="009E2EA9"/>
    <w:rsid w:val="009E2EBC"/>
    <w:rsid w:val="009E3509"/>
    <w:rsid w:val="009E353D"/>
    <w:rsid w:val="009E38CA"/>
    <w:rsid w:val="009E3D36"/>
    <w:rsid w:val="009E4524"/>
    <w:rsid w:val="009E4826"/>
    <w:rsid w:val="009E48B0"/>
    <w:rsid w:val="009E4C8A"/>
    <w:rsid w:val="009E537F"/>
    <w:rsid w:val="009E5665"/>
    <w:rsid w:val="009E58E7"/>
    <w:rsid w:val="009E5ED7"/>
    <w:rsid w:val="009E6255"/>
    <w:rsid w:val="009E6411"/>
    <w:rsid w:val="009E67BF"/>
    <w:rsid w:val="009E6B61"/>
    <w:rsid w:val="009E6CB7"/>
    <w:rsid w:val="009E6DB7"/>
    <w:rsid w:val="009E72BD"/>
    <w:rsid w:val="009E753C"/>
    <w:rsid w:val="009E7553"/>
    <w:rsid w:val="009E785A"/>
    <w:rsid w:val="009E7910"/>
    <w:rsid w:val="009E7970"/>
    <w:rsid w:val="009F01B7"/>
    <w:rsid w:val="009F0280"/>
    <w:rsid w:val="009F02C8"/>
    <w:rsid w:val="009F03B2"/>
    <w:rsid w:val="009F060A"/>
    <w:rsid w:val="009F07DD"/>
    <w:rsid w:val="009F0808"/>
    <w:rsid w:val="009F0BAB"/>
    <w:rsid w:val="009F0BBF"/>
    <w:rsid w:val="009F0DC7"/>
    <w:rsid w:val="009F0F0B"/>
    <w:rsid w:val="009F108A"/>
    <w:rsid w:val="009F12EE"/>
    <w:rsid w:val="009F1616"/>
    <w:rsid w:val="009F1779"/>
    <w:rsid w:val="009F1A89"/>
    <w:rsid w:val="009F1F5A"/>
    <w:rsid w:val="009F20CA"/>
    <w:rsid w:val="009F2711"/>
    <w:rsid w:val="009F2D8B"/>
    <w:rsid w:val="009F2DAD"/>
    <w:rsid w:val="009F2EAC"/>
    <w:rsid w:val="009F2FE3"/>
    <w:rsid w:val="009F30CD"/>
    <w:rsid w:val="009F3127"/>
    <w:rsid w:val="009F36F4"/>
    <w:rsid w:val="009F428B"/>
    <w:rsid w:val="009F4337"/>
    <w:rsid w:val="009F438F"/>
    <w:rsid w:val="009F45E7"/>
    <w:rsid w:val="009F4970"/>
    <w:rsid w:val="009F4CB3"/>
    <w:rsid w:val="009F4E92"/>
    <w:rsid w:val="009F5072"/>
    <w:rsid w:val="009F50E6"/>
    <w:rsid w:val="009F514D"/>
    <w:rsid w:val="009F57E3"/>
    <w:rsid w:val="009F5AC4"/>
    <w:rsid w:val="009F5F37"/>
    <w:rsid w:val="009F5FA0"/>
    <w:rsid w:val="009F60C8"/>
    <w:rsid w:val="009F6297"/>
    <w:rsid w:val="009F642A"/>
    <w:rsid w:val="009F656B"/>
    <w:rsid w:val="009F670F"/>
    <w:rsid w:val="009F67CB"/>
    <w:rsid w:val="009F6928"/>
    <w:rsid w:val="009F6B26"/>
    <w:rsid w:val="009F6BBF"/>
    <w:rsid w:val="009F6C2E"/>
    <w:rsid w:val="009F6D42"/>
    <w:rsid w:val="009F7163"/>
    <w:rsid w:val="009F730A"/>
    <w:rsid w:val="009F78AB"/>
    <w:rsid w:val="009F7F05"/>
    <w:rsid w:val="00A0058B"/>
    <w:rsid w:val="00A00593"/>
    <w:rsid w:val="00A0092A"/>
    <w:rsid w:val="00A00CCB"/>
    <w:rsid w:val="00A01895"/>
    <w:rsid w:val="00A01A31"/>
    <w:rsid w:val="00A01B8B"/>
    <w:rsid w:val="00A01F96"/>
    <w:rsid w:val="00A02341"/>
    <w:rsid w:val="00A02462"/>
    <w:rsid w:val="00A02596"/>
    <w:rsid w:val="00A02694"/>
    <w:rsid w:val="00A02AB2"/>
    <w:rsid w:val="00A02EE2"/>
    <w:rsid w:val="00A02F7F"/>
    <w:rsid w:val="00A02F85"/>
    <w:rsid w:val="00A03272"/>
    <w:rsid w:val="00A03415"/>
    <w:rsid w:val="00A0364E"/>
    <w:rsid w:val="00A03980"/>
    <w:rsid w:val="00A03986"/>
    <w:rsid w:val="00A039AF"/>
    <w:rsid w:val="00A03BA4"/>
    <w:rsid w:val="00A03BFA"/>
    <w:rsid w:val="00A03CCF"/>
    <w:rsid w:val="00A03CFE"/>
    <w:rsid w:val="00A03E85"/>
    <w:rsid w:val="00A03F6D"/>
    <w:rsid w:val="00A04A50"/>
    <w:rsid w:val="00A04E10"/>
    <w:rsid w:val="00A04ED7"/>
    <w:rsid w:val="00A04F88"/>
    <w:rsid w:val="00A04FB2"/>
    <w:rsid w:val="00A05207"/>
    <w:rsid w:val="00A05348"/>
    <w:rsid w:val="00A057AA"/>
    <w:rsid w:val="00A05963"/>
    <w:rsid w:val="00A06498"/>
    <w:rsid w:val="00A06615"/>
    <w:rsid w:val="00A06A1E"/>
    <w:rsid w:val="00A06A4A"/>
    <w:rsid w:val="00A06AB4"/>
    <w:rsid w:val="00A06B9D"/>
    <w:rsid w:val="00A06E30"/>
    <w:rsid w:val="00A07217"/>
    <w:rsid w:val="00A0745E"/>
    <w:rsid w:val="00A0758A"/>
    <w:rsid w:val="00A07DBA"/>
    <w:rsid w:val="00A103AD"/>
    <w:rsid w:val="00A1067B"/>
    <w:rsid w:val="00A109B3"/>
    <w:rsid w:val="00A10B9B"/>
    <w:rsid w:val="00A10CC5"/>
    <w:rsid w:val="00A10EB9"/>
    <w:rsid w:val="00A10F4F"/>
    <w:rsid w:val="00A11067"/>
    <w:rsid w:val="00A110F1"/>
    <w:rsid w:val="00A1165C"/>
    <w:rsid w:val="00A119B1"/>
    <w:rsid w:val="00A11D96"/>
    <w:rsid w:val="00A11E71"/>
    <w:rsid w:val="00A11F74"/>
    <w:rsid w:val="00A11F77"/>
    <w:rsid w:val="00A12384"/>
    <w:rsid w:val="00A12507"/>
    <w:rsid w:val="00A12F4D"/>
    <w:rsid w:val="00A13378"/>
    <w:rsid w:val="00A135B6"/>
    <w:rsid w:val="00A1383F"/>
    <w:rsid w:val="00A1385F"/>
    <w:rsid w:val="00A1399D"/>
    <w:rsid w:val="00A13B3B"/>
    <w:rsid w:val="00A14083"/>
    <w:rsid w:val="00A141A1"/>
    <w:rsid w:val="00A141FF"/>
    <w:rsid w:val="00A14500"/>
    <w:rsid w:val="00A1546C"/>
    <w:rsid w:val="00A156AA"/>
    <w:rsid w:val="00A15B34"/>
    <w:rsid w:val="00A15D78"/>
    <w:rsid w:val="00A15F0D"/>
    <w:rsid w:val="00A16283"/>
    <w:rsid w:val="00A1629E"/>
    <w:rsid w:val="00A16483"/>
    <w:rsid w:val="00A165DA"/>
    <w:rsid w:val="00A16863"/>
    <w:rsid w:val="00A168F4"/>
    <w:rsid w:val="00A16ED6"/>
    <w:rsid w:val="00A16FC4"/>
    <w:rsid w:val="00A1704A"/>
    <w:rsid w:val="00A17074"/>
    <w:rsid w:val="00A172A6"/>
    <w:rsid w:val="00A1747E"/>
    <w:rsid w:val="00A201F4"/>
    <w:rsid w:val="00A204B7"/>
    <w:rsid w:val="00A204E6"/>
    <w:rsid w:val="00A2056D"/>
    <w:rsid w:val="00A20946"/>
    <w:rsid w:val="00A20B3E"/>
    <w:rsid w:val="00A21005"/>
    <w:rsid w:val="00A214DF"/>
    <w:rsid w:val="00A217DE"/>
    <w:rsid w:val="00A219C0"/>
    <w:rsid w:val="00A21C88"/>
    <w:rsid w:val="00A21C90"/>
    <w:rsid w:val="00A22037"/>
    <w:rsid w:val="00A2222B"/>
    <w:rsid w:val="00A22237"/>
    <w:rsid w:val="00A2223D"/>
    <w:rsid w:val="00A22725"/>
    <w:rsid w:val="00A22801"/>
    <w:rsid w:val="00A22DD1"/>
    <w:rsid w:val="00A22E16"/>
    <w:rsid w:val="00A22E50"/>
    <w:rsid w:val="00A22F46"/>
    <w:rsid w:val="00A232EC"/>
    <w:rsid w:val="00A234EC"/>
    <w:rsid w:val="00A23662"/>
    <w:rsid w:val="00A2383F"/>
    <w:rsid w:val="00A24469"/>
    <w:rsid w:val="00A24596"/>
    <w:rsid w:val="00A248C8"/>
    <w:rsid w:val="00A248E7"/>
    <w:rsid w:val="00A24B1C"/>
    <w:rsid w:val="00A251B5"/>
    <w:rsid w:val="00A25268"/>
    <w:rsid w:val="00A25445"/>
    <w:rsid w:val="00A25A6D"/>
    <w:rsid w:val="00A25BD0"/>
    <w:rsid w:val="00A25FDD"/>
    <w:rsid w:val="00A261F6"/>
    <w:rsid w:val="00A2627A"/>
    <w:rsid w:val="00A267C2"/>
    <w:rsid w:val="00A268AF"/>
    <w:rsid w:val="00A269A8"/>
    <w:rsid w:val="00A26ABE"/>
    <w:rsid w:val="00A27F57"/>
    <w:rsid w:val="00A27FB2"/>
    <w:rsid w:val="00A30044"/>
    <w:rsid w:val="00A3009E"/>
    <w:rsid w:val="00A3062D"/>
    <w:rsid w:val="00A308A3"/>
    <w:rsid w:val="00A308FF"/>
    <w:rsid w:val="00A30A84"/>
    <w:rsid w:val="00A30E3A"/>
    <w:rsid w:val="00A30E42"/>
    <w:rsid w:val="00A31121"/>
    <w:rsid w:val="00A311C0"/>
    <w:rsid w:val="00A318C2"/>
    <w:rsid w:val="00A31A0B"/>
    <w:rsid w:val="00A31B04"/>
    <w:rsid w:val="00A31CF5"/>
    <w:rsid w:val="00A31DA5"/>
    <w:rsid w:val="00A31F7A"/>
    <w:rsid w:val="00A321F4"/>
    <w:rsid w:val="00A32234"/>
    <w:rsid w:val="00A3279F"/>
    <w:rsid w:val="00A3288B"/>
    <w:rsid w:val="00A3296C"/>
    <w:rsid w:val="00A32997"/>
    <w:rsid w:val="00A32CFB"/>
    <w:rsid w:val="00A32F98"/>
    <w:rsid w:val="00A32FB6"/>
    <w:rsid w:val="00A32FE0"/>
    <w:rsid w:val="00A33234"/>
    <w:rsid w:val="00A336F9"/>
    <w:rsid w:val="00A33984"/>
    <w:rsid w:val="00A339F1"/>
    <w:rsid w:val="00A33E5A"/>
    <w:rsid w:val="00A34201"/>
    <w:rsid w:val="00A3454C"/>
    <w:rsid w:val="00A34731"/>
    <w:rsid w:val="00A348B0"/>
    <w:rsid w:val="00A34C28"/>
    <w:rsid w:val="00A34DDE"/>
    <w:rsid w:val="00A34EB3"/>
    <w:rsid w:val="00A35073"/>
    <w:rsid w:val="00A353FE"/>
    <w:rsid w:val="00A3541F"/>
    <w:rsid w:val="00A35600"/>
    <w:rsid w:val="00A35BAE"/>
    <w:rsid w:val="00A35C3F"/>
    <w:rsid w:val="00A35CE6"/>
    <w:rsid w:val="00A35E0A"/>
    <w:rsid w:val="00A361BD"/>
    <w:rsid w:val="00A36762"/>
    <w:rsid w:val="00A368B5"/>
    <w:rsid w:val="00A368C1"/>
    <w:rsid w:val="00A36EFE"/>
    <w:rsid w:val="00A36FAB"/>
    <w:rsid w:val="00A373E5"/>
    <w:rsid w:val="00A374E3"/>
    <w:rsid w:val="00A37699"/>
    <w:rsid w:val="00A377E9"/>
    <w:rsid w:val="00A37A18"/>
    <w:rsid w:val="00A37BD4"/>
    <w:rsid w:val="00A37DF4"/>
    <w:rsid w:val="00A37F37"/>
    <w:rsid w:val="00A40252"/>
    <w:rsid w:val="00A40463"/>
    <w:rsid w:val="00A40776"/>
    <w:rsid w:val="00A4097D"/>
    <w:rsid w:val="00A40B72"/>
    <w:rsid w:val="00A4127E"/>
    <w:rsid w:val="00A41AFF"/>
    <w:rsid w:val="00A41D2D"/>
    <w:rsid w:val="00A425EB"/>
    <w:rsid w:val="00A42885"/>
    <w:rsid w:val="00A42CC6"/>
    <w:rsid w:val="00A42F1D"/>
    <w:rsid w:val="00A43192"/>
    <w:rsid w:val="00A4376B"/>
    <w:rsid w:val="00A43F04"/>
    <w:rsid w:val="00A4405E"/>
    <w:rsid w:val="00A440F3"/>
    <w:rsid w:val="00A44309"/>
    <w:rsid w:val="00A446CA"/>
    <w:rsid w:val="00A44746"/>
    <w:rsid w:val="00A44C1A"/>
    <w:rsid w:val="00A44D5F"/>
    <w:rsid w:val="00A44F07"/>
    <w:rsid w:val="00A44F7E"/>
    <w:rsid w:val="00A4501A"/>
    <w:rsid w:val="00A4503E"/>
    <w:rsid w:val="00A453BD"/>
    <w:rsid w:val="00A45616"/>
    <w:rsid w:val="00A45E62"/>
    <w:rsid w:val="00A45F20"/>
    <w:rsid w:val="00A461BA"/>
    <w:rsid w:val="00A461D0"/>
    <w:rsid w:val="00A4624B"/>
    <w:rsid w:val="00A46306"/>
    <w:rsid w:val="00A463D4"/>
    <w:rsid w:val="00A46643"/>
    <w:rsid w:val="00A468F0"/>
    <w:rsid w:val="00A46982"/>
    <w:rsid w:val="00A47421"/>
    <w:rsid w:val="00A47E62"/>
    <w:rsid w:val="00A47FE1"/>
    <w:rsid w:val="00A5034B"/>
    <w:rsid w:val="00A5049A"/>
    <w:rsid w:val="00A505BD"/>
    <w:rsid w:val="00A507B2"/>
    <w:rsid w:val="00A5089C"/>
    <w:rsid w:val="00A50C99"/>
    <w:rsid w:val="00A50E4F"/>
    <w:rsid w:val="00A5103E"/>
    <w:rsid w:val="00A513E4"/>
    <w:rsid w:val="00A51C5C"/>
    <w:rsid w:val="00A51FC4"/>
    <w:rsid w:val="00A52030"/>
    <w:rsid w:val="00A523F0"/>
    <w:rsid w:val="00A52712"/>
    <w:rsid w:val="00A52781"/>
    <w:rsid w:val="00A530E0"/>
    <w:rsid w:val="00A53369"/>
    <w:rsid w:val="00A53859"/>
    <w:rsid w:val="00A538D3"/>
    <w:rsid w:val="00A53A6A"/>
    <w:rsid w:val="00A53CB9"/>
    <w:rsid w:val="00A54100"/>
    <w:rsid w:val="00A541D3"/>
    <w:rsid w:val="00A543A4"/>
    <w:rsid w:val="00A5444A"/>
    <w:rsid w:val="00A54470"/>
    <w:rsid w:val="00A54531"/>
    <w:rsid w:val="00A547BA"/>
    <w:rsid w:val="00A547BF"/>
    <w:rsid w:val="00A54AE6"/>
    <w:rsid w:val="00A54B40"/>
    <w:rsid w:val="00A54BB3"/>
    <w:rsid w:val="00A54DD7"/>
    <w:rsid w:val="00A5536E"/>
    <w:rsid w:val="00A554C0"/>
    <w:rsid w:val="00A5550D"/>
    <w:rsid w:val="00A5555C"/>
    <w:rsid w:val="00A557A7"/>
    <w:rsid w:val="00A559AE"/>
    <w:rsid w:val="00A55A55"/>
    <w:rsid w:val="00A55B6B"/>
    <w:rsid w:val="00A55CF8"/>
    <w:rsid w:val="00A5640A"/>
    <w:rsid w:val="00A56B9E"/>
    <w:rsid w:val="00A56BA7"/>
    <w:rsid w:val="00A56DDD"/>
    <w:rsid w:val="00A56EFC"/>
    <w:rsid w:val="00A56FB6"/>
    <w:rsid w:val="00A575D7"/>
    <w:rsid w:val="00A57952"/>
    <w:rsid w:val="00A57A26"/>
    <w:rsid w:val="00A60372"/>
    <w:rsid w:val="00A60413"/>
    <w:rsid w:val="00A604D0"/>
    <w:rsid w:val="00A604E7"/>
    <w:rsid w:val="00A6050D"/>
    <w:rsid w:val="00A608A6"/>
    <w:rsid w:val="00A6095C"/>
    <w:rsid w:val="00A60AA9"/>
    <w:rsid w:val="00A60C13"/>
    <w:rsid w:val="00A60D9D"/>
    <w:rsid w:val="00A60F46"/>
    <w:rsid w:val="00A61415"/>
    <w:rsid w:val="00A615F8"/>
    <w:rsid w:val="00A61876"/>
    <w:rsid w:val="00A6197C"/>
    <w:rsid w:val="00A61BE3"/>
    <w:rsid w:val="00A61C1F"/>
    <w:rsid w:val="00A620C8"/>
    <w:rsid w:val="00A624D3"/>
    <w:rsid w:val="00A6274D"/>
    <w:rsid w:val="00A62904"/>
    <w:rsid w:val="00A62AA3"/>
    <w:rsid w:val="00A62CD2"/>
    <w:rsid w:val="00A62F7D"/>
    <w:rsid w:val="00A63499"/>
    <w:rsid w:val="00A63532"/>
    <w:rsid w:val="00A63639"/>
    <w:rsid w:val="00A63979"/>
    <w:rsid w:val="00A63DFD"/>
    <w:rsid w:val="00A63EC1"/>
    <w:rsid w:val="00A64226"/>
    <w:rsid w:val="00A642C6"/>
    <w:rsid w:val="00A64775"/>
    <w:rsid w:val="00A648E0"/>
    <w:rsid w:val="00A64C0F"/>
    <w:rsid w:val="00A64EBA"/>
    <w:rsid w:val="00A653C7"/>
    <w:rsid w:val="00A65503"/>
    <w:rsid w:val="00A656A0"/>
    <w:rsid w:val="00A65A5C"/>
    <w:rsid w:val="00A65EAE"/>
    <w:rsid w:val="00A65F19"/>
    <w:rsid w:val="00A66050"/>
    <w:rsid w:val="00A6610D"/>
    <w:rsid w:val="00A661E3"/>
    <w:rsid w:val="00A66333"/>
    <w:rsid w:val="00A667C1"/>
    <w:rsid w:val="00A66866"/>
    <w:rsid w:val="00A66965"/>
    <w:rsid w:val="00A66DBF"/>
    <w:rsid w:val="00A66E29"/>
    <w:rsid w:val="00A66EAD"/>
    <w:rsid w:val="00A6701A"/>
    <w:rsid w:val="00A6786F"/>
    <w:rsid w:val="00A67AA2"/>
    <w:rsid w:val="00A67AD0"/>
    <w:rsid w:val="00A67D1F"/>
    <w:rsid w:val="00A67D7A"/>
    <w:rsid w:val="00A67E50"/>
    <w:rsid w:val="00A70069"/>
    <w:rsid w:val="00A70194"/>
    <w:rsid w:val="00A70654"/>
    <w:rsid w:val="00A70A90"/>
    <w:rsid w:val="00A70AA3"/>
    <w:rsid w:val="00A70B14"/>
    <w:rsid w:val="00A70C59"/>
    <w:rsid w:val="00A70CB1"/>
    <w:rsid w:val="00A71113"/>
    <w:rsid w:val="00A7124D"/>
    <w:rsid w:val="00A71274"/>
    <w:rsid w:val="00A715BB"/>
    <w:rsid w:val="00A71950"/>
    <w:rsid w:val="00A71CC5"/>
    <w:rsid w:val="00A7212A"/>
    <w:rsid w:val="00A72155"/>
    <w:rsid w:val="00A72640"/>
    <w:rsid w:val="00A727A7"/>
    <w:rsid w:val="00A72ACC"/>
    <w:rsid w:val="00A72B13"/>
    <w:rsid w:val="00A72BF0"/>
    <w:rsid w:val="00A72F22"/>
    <w:rsid w:val="00A730E1"/>
    <w:rsid w:val="00A7320E"/>
    <w:rsid w:val="00A733BC"/>
    <w:rsid w:val="00A7351E"/>
    <w:rsid w:val="00A736C0"/>
    <w:rsid w:val="00A737D5"/>
    <w:rsid w:val="00A73812"/>
    <w:rsid w:val="00A73854"/>
    <w:rsid w:val="00A73B2F"/>
    <w:rsid w:val="00A73BB0"/>
    <w:rsid w:val="00A73C13"/>
    <w:rsid w:val="00A73DAB"/>
    <w:rsid w:val="00A73E9A"/>
    <w:rsid w:val="00A73EB0"/>
    <w:rsid w:val="00A73FF0"/>
    <w:rsid w:val="00A74393"/>
    <w:rsid w:val="00A748A6"/>
    <w:rsid w:val="00A74B4A"/>
    <w:rsid w:val="00A74F63"/>
    <w:rsid w:val="00A74FFD"/>
    <w:rsid w:val="00A75253"/>
    <w:rsid w:val="00A752DD"/>
    <w:rsid w:val="00A759F7"/>
    <w:rsid w:val="00A75A9E"/>
    <w:rsid w:val="00A75D22"/>
    <w:rsid w:val="00A76554"/>
    <w:rsid w:val="00A76A38"/>
    <w:rsid w:val="00A76A69"/>
    <w:rsid w:val="00A7701C"/>
    <w:rsid w:val="00A77277"/>
    <w:rsid w:val="00A7757C"/>
    <w:rsid w:val="00A776E0"/>
    <w:rsid w:val="00A77A2E"/>
    <w:rsid w:val="00A77C08"/>
    <w:rsid w:val="00A77D58"/>
    <w:rsid w:val="00A808BD"/>
    <w:rsid w:val="00A809C2"/>
    <w:rsid w:val="00A80B9D"/>
    <w:rsid w:val="00A80CB3"/>
    <w:rsid w:val="00A80D86"/>
    <w:rsid w:val="00A81339"/>
    <w:rsid w:val="00A81539"/>
    <w:rsid w:val="00A81757"/>
    <w:rsid w:val="00A82059"/>
    <w:rsid w:val="00A82303"/>
    <w:rsid w:val="00A823EF"/>
    <w:rsid w:val="00A8261D"/>
    <w:rsid w:val="00A82967"/>
    <w:rsid w:val="00A82AE3"/>
    <w:rsid w:val="00A82F13"/>
    <w:rsid w:val="00A8362D"/>
    <w:rsid w:val="00A83699"/>
    <w:rsid w:val="00A837FB"/>
    <w:rsid w:val="00A8395B"/>
    <w:rsid w:val="00A8397D"/>
    <w:rsid w:val="00A8418C"/>
    <w:rsid w:val="00A84642"/>
    <w:rsid w:val="00A84D44"/>
    <w:rsid w:val="00A84E67"/>
    <w:rsid w:val="00A854E1"/>
    <w:rsid w:val="00A85D8D"/>
    <w:rsid w:val="00A85F74"/>
    <w:rsid w:val="00A85FF6"/>
    <w:rsid w:val="00A860B1"/>
    <w:rsid w:val="00A86820"/>
    <w:rsid w:val="00A8696B"/>
    <w:rsid w:val="00A87535"/>
    <w:rsid w:val="00A87832"/>
    <w:rsid w:val="00A879A4"/>
    <w:rsid w:val="00A87D06"/>
    <w:rsid w:val="00A9018A"/>
    <w:rsid w:val="00A90501"/>
    <w:rsid w:val="00A90944"/>
    <w:rsid w:val="00A909F6"/>
    <w:rsid w:val="00A90A03"/>
    <w:rsid w:val="00A90C81"/>
    <w:rsid w:val="00A90D47"/>
    <w:rsid w:val="00A90D4E"/>
    <w:rsid w:val="00A90D51"/>
    <w:rsid w:val="00A90D8F"/>
    <w:rsid w:val="00A912DB"/>
    <w:rsid w:val="00A9197F"/>
    <w:rsid w:val="00A91A0E"/>
    <w:rsid w:val="00A91C6D"/>
    <w:rsid w:val="00A91D75"/>
    <w:rsid w:val="00A91E3E"/>
    <w:rsid w:val="00A9246D"/>
    <w:rsid w:val="00A928C0"/>
    <w:rsid w:val="00A92BD4"/>
    <w:rsid w:val="00A92C65"/>
    <w:rsid w:val="00A92D3C"/>
    <w:rsid w:val="00A92E91"/>
    <w:rsid w:val="00A93278"/>
    <w:rsid w:val="00A93434"/>
    <w:rsid w:val="00A934D8"/>
    <w:rsid w:val="00A9357A"/>
    <w:rsid w:val="00A935EF"/>
    <w:rsid w:val="00A93776"/>
    <w:rsid w:val="00A93B50"/>
    <w:rsid w:val="00A93BB6"/>
    <w:rsid w:val="00A93DD0"/>
    <w:rsid w:val="00A93E04"/>
    <w:rsid w:val="00A93E28"/>
    <w:rsid w:val="00A945C9"/>
    <w:rsid w:val="00A94A1F"/>
    <w:rsid w:val="00A94D5E"/>
    <w:rsid w:val="00A94D80"/>
    <w:rsid w:val="00A9525F"/>
    <w:rsid w:val="00A95281"/>
    <w:rsid w:val="00A956E4"/>
    <w:rsid w:val="00A95B00"/>
    <w:rsid w:val="00A95B5E"/>
    <w:rsid w:val="00A95B86"/>
    <w:rsid w:val="00A96171"/>
    <w:rsid w:val="00A964AF"/>
    <w:rsid w:val="00A96569"/>
    <w:rsid w:val="00A96774"/>
    <w:rsid w:val="00A96E51"/>
    <w:rsid w:val="00A96EB4"/>
    <w:rsid w:val="00A96F95"/>
    <w:rsid w:val="00A9715F"/>
    <w:rsid w:val="00A973ED"/>
    <w:rsid w:val="00A976D9"/>
    <w:rsid w:val="00A97931"/>
    <w:rsid w:val="00A97A9E"/>
    <w:rsid w:val="00A97B59"/>
    <w:rsid w:val="00A97CF9"/>
    <w:rsid w:val="00A97DE8"/>
    <w:rsid w:val="00AA0135"/>
    <w:rsid w:val="00AA02F4"/>
    <w:rsid w:val="00AA0387"/>
    <w:rsid w:val="00AA040C"/>
    <w:rsid w:val="00AA0522"/>
    <w:rsid w:val="00AA0B67"/>
    <w:rsid w:val="00AA0C56"/>
    <w:rsid w:val="00AA0CC2"/>
    <w:rsid w:val="00AA0FF8"/>
    <w:rsid w:val="00AA1910"/>
    <w:rsid w:val="00AA19AB"/>
    <w:rsid w:val="00AA1CC1"/>
    <w:rsid w:val="00AA1CD8"/>
    <w:rsid w:val="00AA2163"/>
    <w:rsid w:val="00AA2583"/>
    <w:rsid w:val="00AA261E"/>
    <w:rsid w:val="00AA2639"/>
    <w:rsid w:val="00AA29E1"/>
    <w:rsid w:val="00AA2EBB"/>
    <w:rsid w:val="00AA2F0D"/>
    <w:rsid w:val="00AA335C"/>
    <w:rsid w:val="00AA3591"/>
    <w:rsid w:val="00AA37E9"/>
    <w:rsid w:val="00AA3876"/>
    <w:rsid w:val="00AA3CC4"/>
    <w:rsid w:val="00AA3D79"/>
    <w:rsid w:val="00AA3F60"/>
    <w:rsid w:val="00AA4048"/>
    <w:rsid w:val="00AA4412"/>
    <w:rsid w:val="00AA4456"/>
    <w:rsid w:val="00AA46CF"/>
    <w:rsid w:val="00AA4CED"/>
    <w:rsid w:val="00AA5136"/>
    <w:rsid w:val="00AA52A6"/>
    <w:rsid w:val="00AA561F"/>
    <w:rsid w:val="00AA5952"/>
    <w:rsid w:val="00AA5C53"/>
    <w:rsid w:val="00AA5EE4"/>
    <w:rsid w:val="00AA6410"/>
    <w:rsid w:val="00AA64DE"/>
    <w:rsid w:val="00AA65B3"/>
    <w:rsid w:val="00AA68C1"/>
    <w:rsid w:val="00AA7638"/>
    <w:rsid w:val="00AA766C"/>
    <w:rsid w:val="00AA77A7"/>
    <w:rsid w:val="00AA78DB"/>
    <w:rsid w:val="00AA7B9B"/>
    <w:rsid w:val="00AA7BC7"/>
    <w:rsid w:val="00AA7ED8"/>
    <w:rsid w:val="00AA7F71"/>
    <w:rsid w:val="00AB00A6"/>
    <w:rsid w:val="00AB048B"/>
    <w:rsid w:val="00AB073C"/>
    <w:rsid w:val="00AB07FE"/>
    <w:rsid w:val="00AB089D"/>
    <w:rsid w:val="00AB0A25"/>
    <w:rsid w:val="00AB0B57"/>
    <w:rsid w:val="00AB10DC"/>
    <w:rsid w:val="00AB117E"/>
    <w:rsid w:val="00AB121E"/>
    <w:rsid w:val="00AB1404"/>
    <w:rsid w:val="00AB1480"/>
    <w:rsid w:val="00AB1953"/>
    <w:rsid w:val="00AB1AFD"/>
    <w:rsid w:val="00AB1B4B"/>
    <w:rsid w:val="00AB1BB4"/>
    <w:rsid w:val="00AB1DF9"/>
    <w:rsid w:val="00AB1F04"/>
    <w:rsid w:val="00AB20F1"/>
    <w:rsid w:val="00AB2595"/>
    <w:rsid w:val="00AB2857"/>
    <w:rsid w:val="00AB2D21"/>
    <w:rsid w:val="00AB2E54"/>
    <w:rsid w:val="00AB2EA4"/>
    <w:rsid w:val="00AB2F1C"/>
    <w:rsid w:val="00AB2FCA"/>
    <w:rsid w:val="00AB2FE6"/>
    <w:rsid w:val="00AB3382"/>
    <w:rsid w:val="00AB351E"/>
    <w:rsid w:val="00AB3596"/>
    <w:rsid w:val="00AB35AF"/>
    <w:rsid w:val="00AB370F"/>
    <w:rsid w:val="00AB3B05"/>
    <w:rsid w:val="00AB3B56"/>
    <w:rsid w:val="00AB3EFE"/>
    <w:rsid w:val="00AB4133"/>
    <w:rsid w:val="00AB431D"/>
    <w:rsid w:val="00AB455A"/>
    <w:rsid w:val="00AB4D03"/>
    <w:rsid w:val="00AB54F8"/>
    <w:rsid w:val="00AB5566"/>
    <w:rsid w:val="00AB565E"/>
    <w:rsid w:val="00AB57C5"/>
    <w:rsid w:val="00AB5925"/>
    <w:rsid w:val="00AB5A29"/>
    <w:rsid w:val="00AB5CDF"/>
    <w:rsid w:val="00AB5D60"/>
    <w:rsid w:val="00AB5F8C"/>
    <w:rsid w:val="00AB6347"/>
    <w:rsid w:val="00AB650F"/>
    <w:rsid w:val="00AB6542"/>
    <w:rsid w:val="00AB6BAB"/>
    <w:rsid w:val="00AB6BAC"/>
    <w:rsid w:val="00AB6C1B"/>
    <w:rsid w:val="00AB6C58"/>
    <w:rsid w:val="00AB6D09"/>
    <w:rsid w:val="00AB6E7B"/>
    <w:rsid w:val="00AB6F6C"/>
    <w:rsid w:val="00AB73D5"/>
    <w:rsid w:val="00AB760C"/>
    <w:rsid w:val="00AB764A"/>
    <w:rsid w:val="00AB7FA1"/>
    <w:rsid w:val="00AB7FDD"/>
    <w:rsid w:val="00AC0028"/>
    <w:rsid w:val="00AC0052"/>
    <w:rsid w:val="00AC010D"/>
    <w:rsid w:val="00AC01A4"/>
    <w:rsid w:val="00AC02B8"/>
    <w:rsid w:val="00AC02C2"/>
    <w:rsid w:val="00AC03DC"/>
    <w:rsid w:val="00AC045D"/>
    <w:rsid w:val="00AC070E"/>
    <w:rsid w:val="00AC0A9B"/>
    <w:rsid w:val="00AC0D42"/>
    <w:rsid w:val="00AC0F2C"/>
    <w:rsid w:val="00AC1125"/>
    <w:rsid w:val="00AC112F"/>
    <w:rsid w:val="00AC13F7"/>
    <w:rsid w:val="00AC153B"/>
    <w:rsid w:val="00AC1687"/>
    <w:rsid w:val="00AC1689"/>
    <w:rsid w:val="00AC170E"/>
    <w:rsid w:val="00AC173D"/>
    <w:rsid w:val="00AC1899"/>
    <w:rsid w:val="00AC1D05"/>
    <w:rsid w:val="00AC1EDD"/>
    <w:rsid w:val="00AC200F"/>
    <w:rsid w:val="00AC20B8"/>
    <w:rsid w:val="00AC22C3"/>
    <w:rsid w:val="00AC27A2"/>
    <w:rsid w:val="00AC2A7B"/>
    <w:rsid w:val="00AC3096"/>
    <w:rsid w:val="00AC3334"/>
    <w:rsid w:val="00AC39A6"/>
    <w:rsid w:val="00AC3A9F"/>
    <w:rsid w:val="00AC3BE9"/>
    <w:rsid w:val="00AC3CE8"/>
    <w:rsid w:val="00AC3E26"/>
    <w:rsid w:val="00AC3F60"/>
    <w:rsid w:val="00AC401C"/>
    <w:rsid w:val="00AC45D5"/>
    <w:rsid w:val="00AC498C"/>
    <w:rsid w:val="00AC4AED"/>
    <w:rsid w:val="00AC4FCC"/>
    <w:rsid w:val="00AC5008"/>
    <w:rsid w:val="00AC502A"/>
    <w:rsid w:val="00AC52D3"/>
    <w:rsid w:val="00AC5540"/>
    <w:rsid w:val="00AC5650"/>
    <w:rsid w:val="00AC57A3"/>
    <w:rsid w:val="00AC5864"/>
    <w:rsid w:val="00AC5A49"/>
    <w:rsid w:val="00AC63EB"/>
    <w:rsid w:val="00AC66A6"/>
    <w:rsid w:val="00AC6C4F"/>
    <w:rsid w:val="00AC6DD6"/>
    <w:rsid w:val="00AC70E1"/>
    <w:rsid w:val="00AC72A0"/>
    <w:rsid w:val="00AC74E5"/>
    <w:rsid w:val="00AC7557"/>
    <w:rsid w:val="00AC75D9"/>
    <w:rsid w:val="00AC7703"/>
    <w:rsid w:val="00AC784F"/>
    <w:rsid w:val="00AD035C"/>
    <w:rsid w:val="00AD0370"/>
    <w:rsid w:val="00AD1026"/>
    <w:rsid w:val="00AD16EC"/>
    <w:rsid w:val="00AD18CA"/>
    <w:rsid w:val="00AD1A8D"/>
    <w:rsid w:val="00AD1A97"/>
    <w:rsid w:val="00AD1EAD"/>
    <w:rsid w:val="00AD20BF"/>
    <w:rsid w:val="00AD20F0"/>
    <w:rsid w:val="00AD2383"/>
    <w:rsid w:val="00AD248D"/>
    <w:rsid w:val="00AD24E3"/>
    <w:rsid w:val="00AD2961"/>
    <w:rsid w:val="00AD297A"/>
    <w:rsid w:val="00AD3120"/>
    <w:rsid w:val="00AD3328"/>
    <w:rsid w:val="00AD3397"/>
    <w:rsid w:val="00AD38D9"/>
    <w:rsid w:val="00AD395E"/>
    <w:rsid w:val="00AD3A93"/>
    <w:rsid w:val="00AD3ABF"/>
    <w:rsid w:val="00AD3B8B"/>
    <w:rsid w:val="00AD3DF2"/>
    <w:rsid w:val="00AD3F50"/>
    <w:rsid w:val="00AD3FE3"/>
    <w:rsid w:val="00AD456D"/>
    <w:rsid w:val="00AD4626"/>
    <w:rsid w:val="00AD463F"/>
    <w:rsid w:val="00AD478D"/>
    <w:rsid w:val="00AD5030"/>
    <w:rsid w:val="00AD5347"/>
    <w:rsid w:val="00AD5530"/>
    <w:rsid w:val="00AD5539"/>
    <w:rsid w:val="00AD59C3"/>
    <w:rsid w:val="00AD5CDF"/>
    <w:rsid w:val="00AD5CF8"/>
    <w:rsid w:val="00AD6485"/>
    <w:rsid w:val="00AD6536"/>
    <w:rsid w:val="00AD683F"/>
    <w:rsid w:val="00AD6875"/>
    <w:rsid w:val="00AD69FA"/>
    <w:rsid w:val="00AD6BE8"/>
    <w:rsid w:val="00AD6C8A"/>
    <w:rsid w:val="00AD6CD9"/>
    <w:rsid w:val="00AD6DE9"/>
    <w:rsid w:val="00AD6EB7"/>
    <w:rsid w:val="00AD6FEE"/>
    <w:rsid w:val="00AD7191"/>
    <w:rsid w:val="00AD7823"/>
    <w:rsid w:val="00AD7B1A"/>
    <w:rsid w:val="00AD7B3D"/>
    <w:rsid w:val="00AD7C42"/>
    <w:rsid w:val="00AD7C8A"/>
    <w:rsid w:val="00AD7D46"/>
    <w:rsid w:val="00AD7F75"/>
    <w:rsid w:val="00AE0632"/>
    <w:rsid w:val="00AE0813"/>
    <w:rsid w:val="00AE099A"/>
    <w:rsid w:val="00AE0C0E"/>
    <w:rsid w:val="00AE0EB6"/>
    <w:rsid w:val="00AE13A8"/>
    <w:rsid w:val="00AE153A"/>
    <w:rsid w:val="00AE15D0"/>
    <w:rsid w:val="00AE16B8"/>
    <w:rsid w:val="00AE1861"/>
    <w:rsid w:val="00AE1D03"/>
    <w:rsid w:val="00AE1F78"/>
    <w:rsid w:val="00AE20C2"/>
    <w:rsid w:val="00AE239D"/>
    <w:rsid w:val="00AE24E9"/>
    <w:rsid w:val="00AE2529"/>
    <w:rsid w:val="00AE277C"/>
    <w:rsid w:val="00AE29BC"/>
    <w:rsid w:val="00AE2BF7"/>
    <w:rsid w:val="00AE333D"/>
    <w:rsid w:val="00AE34E7"/>
    <w:rsid w:val="00AE35FF"/>
    <w:rsid w:val="00AE36EE"/>
    <w:rsid w:val="00AE376E"/>
    <w:rsid w:val="00AE39CF"/>
    <w:rsid w:val="00AE3B91"/>
    <w:rsid w:val="00AE3DF6"/>
    <w:rsid w:val="00AE3E1E"/>
    <w:rsid w:val="00AE3E5A"/>
    <w:rsid w:val="00AE3EFD"/>
    <w:rsid w:val="00AE424E"/>
    <w:rsid w:val="00AE431C"/>
    <w:rsid w:val="00AE463E"/>
    <w:rsid w:val="00AE516C"/>
    <w:rsid w:val="00AE5232"/>
    <w:rsid w:val="00AE52AD"/>
    <w:rsid w:val="00AE54C6"/>
    <w:rsid w:val="00AE5837"/>
    <w:rsid w:val="00AE5AA3"/>
    <w:rsid w:val="00AE5B0B"/>
    <w:rsid w:val="00AE5F07"/>
    <w:rsid w:val="00AE6160"/>
    <w:rsid w:val="00AE6200"/>
    <w:rsid w:val="00AE62A2"/>
    <w:rsid w:val="00AE6401"/>
    <w:rsid w:val="00AE6404"/>
    <w:rsid w:val="00AE67D7"/>
    <w:rsid w:val="00AE686E"/>
    <w:rsid w:val="00AE69CB"/>
    <w:rsid w:val="00AE6A18"/>
    <w:rsid w:val="00AE6A3A"/>
    <w:rsid w:val="00AE743F"/>
    <w:rsid w:val="00AE7A3D"/>
    <w:rsid w:val="00AE7A8A"/>
    <w:rsid w:val="00AE7B07"/>
    <w:rsid w:val="00AF0132"/>
    <w:rsid w:val="00AF027F"/>
    <w:rsid w:val="00AF0383"/>
    <w:rsid w:val="00AF0444"/>
    <w:rsid w:val="00AF0548"/>
    <w:rsid w:val="00AF0728"/>
    <w:rsid w:val="00AF09C4"/>
    <w:rsid w:val="00AF0E8E"/>
    <w:rsid w:val="00AF0FC1"/>
    <w:rsid w:val="00AF0FE8"/>
    <w:rsid w:val="00AF1220"/>
    <w:rsid w:val="00AF12AC"/>
    <w:rsid w:val="00AF1337"/>
    <w:rsid w:val="00AF147F"/>
    <w:rsid w:val="00AF1482"/>
    <w:rsid w:val="00AF1758"/>
    <w:rsid w:val="00AF19F9"/>
    <w:rsid w:val="00AF1C11"/>
    <w:rsid w:val="00AF1D4F"/>
    <w:rsid w:val="00AF1E9A"/>
    <w:rsid w:val="00AF2748"/>
    <w:rsid w:val="00AF290B"/>
    <w:rsid w:val="00AF2B19"/>
    <w:rsid w:val="00AF2E80"/>
    <w:rsid w:val="00AF31BC"/>
    <w:rsid w:val="00AF32D1"/>
    <w:rsid w:val="00AF34B8"/>
    <w:rsid w:val="00AF3749"/>
    <w:rsid w:val="00AF38FE"/>
    <w:rsid w:val="00AF3E31"/>
    <w:rsid w:val="00AF3E5F"/>
    <w:rsid w:val="00AF3F8B"/>
    <w:rsid w:val="00AF40AC"/>
    <w:rsid w:val="00AF40F2"/>
    <w:rsid w:val="00AF4209"/>
    <w:rsid w:val="00AF44F4"/>
    <w:rsid w:val="00AF453F"/>
    <w:rsid w:val="00AF45C0"/>
    <w:rsid w:val="00AF4625"/>
    <w:rsid w:val="00AF4C42"/>
    <w:rsid w:val="00AF4DB3"/>
    <w:rsid w:val="00AF4DD8"/>
    <w:rsid w:val="00AF5089"/>
    <w:rsid w:val="00AF51C6"/>
    <w:rsid w:val="00AF533E"/>
    <w:rsid w:val="00AF53B9"/>
    <w:rsid w:val="00AF557A"/>
    <w:rsid w:val="00AF58C1"/>
    <w:rsid w:val="00AF5967"/>
    <w:rsid w:val="00AF69BD"/>
    <w:rsid w:val="00AF6AF6"/>
    <w:rsid w:val="00AF70A9"/>
    <w:rsid w:val="00AF72A2"/>
    <w:rsid w:val="00AF73DD"/>
    <w:rsid w:val="00AF7834"/>
    <w:rsid w:val="00AF79A4"/>
    <w:rsid w:val="00AF7C3B"/>
    <w:rsid w:val="00AF7D03"/>
    <w:rsid w:val="00B00022"/>
    <w:rsid w:val="00B00066"/>
    <w:rsid w:val="00B002F5"/>
    <w:rsid w:val="00B003DF"/>
    <w:rsid w:val="00B0088B"/>
    <w:rsid w:val="00B008C3"/>
    <w:rsid w:val="00B00FAD"/>
    <w:rsid w:val="00B01085"/>
    <w:rsid w:val="00B010F9"/>
    <w:rsid w:val="00B011AD"/>
    <w:rsid w:val="00B011EB"/>
    <w:rsid w:val="00B0122D"/>
    <w:rsid w:val="00B01482"/>
    <w:rsid w:val="00B01A8A"/>
    <w:rsid w:val="00B01B54"/>
    <w:rsid w:val="00B01FCD"/>
    <w:rsid w:val="00B020AE"/>
    <w:rsid w:val="00B02179"/>
    <w:rsid w:val="00B02315"/>
    <w:rsid w:val="00B0236C"/>
    <w:rsid w:val="00B02551"/>
    <w:rsid w:val="00B02A06"/>
    <w:rsid w:val="00B02E8E"/>
    <w:rsid w:val="00B02F3A"/>
    <w:rsid w:val="00B030A5"/>
    <w:rsid w:val="00B03137"/>
    <w:rsid w:val="00B033B8"/>
    <w:rsid w:val="00B0340C"/>
    <w:rsid w:val="00B03CE7"/>
    <w:rsid w:val="00B03D88"/>
    <w:rsid w:val="00B03E33"/>
    <w:rsid w:val="00B040D5"/>
    <w:rsid w:val="00B0450C"/>
    <w:rsid w:val="00B046D4"/>
    <w:rsid w:val="00B047FC"/>
    <w:rsid w:val="00B04A3F"/>
    <w:rsid w:val="00B04C53"/>
    <w:rsid w:val="00B04F25"/>
    <w:rsid w:val="00B04FB4"/>
    <w:rsid w:val="00B0528B"/>
    <w:rsid w:val="00B053A2"/>
    <w:rsid w:val="00B05AE3"/>
    <w:rsid w:val="00B05E90"/>
    <w:rsid w:val="00B0641A"/>
    <w:rsid w:val="00B06547"/>
    <w:rsid w:val="00B06643"/>
    <w:rsid w:val="00B0668C"/>
    <w:rsid w:val="00B067BC"/>
    <w:rsid w:val="00B0685F"/>
    <w:rsid w:val="00B068DD"/>
    <w:rsid w:val="00B069E1"/>
    <w:rsid w:val="00B06AB3"/>
    <w:rsid w:val="00B06F2B"/>
    <w:rsid w:val="00B07162"/>
    <w:rsid w:val="00B072EE"/>
    <w:rsid w:val="00B07814"/>
    <w:rsid w:val="00B078D9"/>
    <w:rsid w:val="00B07A03"/>
    <w:rsid w:val="00B07DB8"/>
    <w:rsid w:val="00B10A3B"/>
    <w:rsid w:val="00B10B6C"/>
    <w:rsid w:val="00B10C21"/>
    <w:rsid w:val="00B10CBC"/>
    <w:rsid w:val="00B11073"/>
    <w:rsid w:val="00B11266"/>
    <w:rsid w:val="00B114F6"/>
    <w:rsid w:val="00B11698"/>
    <w:rsid w:val="00B11758"/>
    <w:rsid w:val="00B117E6"/>
    <w:rsid w:val="00B11897"/>
    <w:rsid w:val="00B11A09"/>
    <w:rsid w:val="00B11AD7"/>
    <w:rsid w:val="00B11C2C"/>
    <w:rsid w:val="00B11D00"/>
    <w:rsid w:val="00B11DD2"/>
    <w:rsid w:val="00B11E42"/>
    <w:rsid w:val="00B11E5F"/>
    <w:rsid w:val="00B12241"/>
    <w:rsid w:val="00B12836"/>
    <w:rsid w:val="00B12B17"/>
    <w:rsid w:val="00B12BED"/>
    <w:rsid w:val="00B12FF4"/>
    <w:rsid w:val="00B13297"/>
    <w:rsid w:val="00B132A6"/>
    <w:rsid w:val="00B136CF"/>
    <w:rsid w:val="00B13870"/>
    <w:rsid w:val="00B140C7"/>
    <w:rsid w:val="00B14608"/>
    <w:rsid w:val="00B146FF"/>
    <w:rsid w:val="00B1482E"/>
    <w:rsid w:val="00B149C3"/>
    <w:rsid w:val="00B14EEF"/>
    <w:rsid w:val="00B15015"/>
    <w:rsid w:val="00B1503A"/>
    <w:rsid w:val="00B15055"/>
    <w:rsid w:val="00B15311"/>
    <w:rsid w:val="00B15FC8"/>
    <w:rsid w:val="00B163D1"/>
    <w:rsid w:val="00B16515"/>
    <w:rsid w:val="00B16646"/>
    <w:rsid w:val="00B166ED"/>
    <w:rsid w:val="00B16C33"/>
    <w:rsid w:val="00B16D08"/>
    <w:rsid w:val="00B16D32"/>
    <w:rsid w:val="00B16DA2"/>
    <w:rsid w:val="00B17793"/>
    <w:rsid w:val="00B178D8"/>
    <w:rsid w:val="00B1790F"/>
    <w:rsid w:val="00B17973"/>
    <w:rsid w:val="00B17AC9"/>
    <w:rsid w:val="00B17B4A"/>
    <w:rsid w:val="00B17C1A"/>
    <w:rsid w:val="00B17F3B"/>
    <w:rsid w:val="00B20551"/>
    <w:rsid w:val="00B210D2"/>
    <w:rsid w:val="00B21252"/>
    <w:rsid w:val="00B215C2"/>
    <w:rsid w:val="00B21A70"/>
    <w:rsid w:val="00B21BF2"/>
    <w:rsid w:val="00B21E13"/>
    <w:rsid w:val="00B22037"/>
    <w:rsid w:val="00B224C5"/>
    <w:rsid w:val="00B2278F"/>
    <w:rsid w:val="00B227D0"/>
    <w:rsid w:val="00B2288B"/>
    <w:rsid w:val="00B22A0B"/>
    <w:rsid w:val="00B22A14"/>
    <w:rsid w:val="00B22B69"/>
    <w:rsid w:val="00B22C3E"/>
    <w:rsid w:val="00B22D08"/>
    <w:rsid w:val="00B22FAE"/>
    <w:rsid w:val="00B234BD"/>
    <w:rsid w:val="00B234E8"/>
    <w:rsid w:val="00B2361F"/>
    <w:rsid w:val="00B23677"/>
    <w:rsid w:val="00B23D40"/>
    <w:rsid w:val="00B23F33"/>
    <w:rsid w:val="00B24040"/>
    <w:rsid w:val="00B2424C"/>
    <w:rsid w:val="00B248EF"/>
    <w:rsid w:val="00B24959"/>
    <w:rsid w:val="00B24ABD"/>
    <w:rsid w:val="00B24F15"/>
    <w:rsid w:val="00B253B7"/>
    <w:rsid w:val="00B25432"/>
    <w:rsid w:val="00B255A1"/>
    <w:rsid w:val="00B258C1"/>
    <w:rsid w:val="00B25DF2"/>
    <w:rsid w:val="00B26106"/>
    <w:rsid w:val="00B26585"/>
    <w:rsid w:val="00B26AEE"/>
    <w:rsid w:val="00B26C50"/>
    <w:rsid w:val="00B26D0F"/>
    <w:rsid w:val="00B26D94"/>
    <w:rsid w:val="00B26F00"/>
    <w:rsid w:val="00B27156"/>
    <w:rsid w:val="00B272DD"/>
    <w:rsid w:val="00B273F3"/>
    <w:rsid w:val="00B279DE"/>
    <w:rsid w:val="00B27BF6"/>
    <w:rsid w:val="00B300E2"/>
    <w:rsid w:val="00B300F7"/>
    <w:rsid w:val="00B30176"/>
    <w:rsid w:val="00B30179"/>
    <w:rsid w:val="00B30463"/>
    <w:rsid w:val="00B30B9C"/>
    <w:rsid w:val="00B30C99"/>
    <w:rsid w:val="00B30DE5"/>
    <w:rsid w:val="00B30F42"/>
    <w:rsid w:val="00B30FB2"/>
    <w:rsid w:val="00B30FF1"/>
    <w:rsid w:val="00B31151"/>
    <w:rsid w:val="00B311DB"/>
    <w:rsid w:val="00B3147E"/>
    <w:rsid w:val="00B3196E"/>
    <w:rsid w:val="00B31BC1"/>
    <w:rsid w:val="00B320CC"/>
    <w:rsid w:val="00B3249B"/>
    <w:rsid w:val="00B3278B"/>
    <w:rsid w:val="00B327A0"/>
    <w:rsid w:val="00B32908"/>
    <w:rsid w:val="00B32AD9"/>
    <w:rsid w:val="00B32EC2"/>
    <w:rsid w:val="00B32F01"/>
    <w:rsid w:val="00B3305E"/>
    <w:rsid w:val="00B3308A"/>
    <w:rsid w:val="00B3310A"/>
    <w:rsid w:val="00B334CF"/>
    <w:rsid w:val="00B336C2"/>
    <w:rsid w:val="00B339D2"/>
    <w:rsid w:val="00B33EFE"/>
    <w:rsid w:val="00B33FC7"/>
    <w:rsid w:val="00B3424E"/>
    <w:rsid w:val="00B34262"/>
    <w:rsid w:val="00B3428C"/>
    <w:rsid w:val="00B3433C"/>
    <w:rsid w:val="00B343A2"/>
    <w:rsid w:val="00B343C9"/>
    <w:rsid w:val="00B34786"/>
    <w:rsid w:val="00B34938"/>
    <w:rsid w:val="00B34A2E"/>
    <w:rsid w:val="00B3533C"/>
    <w:rsid w:val="00B353EA"/>
    <w:rsid w:val="00B354B1"/>
    <w:rsid w:val="00B354EC"/>
    <w:rsid w:val="00B35815"/>
    <w:rsid w:val="00B3596A"/>
    <w:rsid w:val="00B35CCA"/>
    <w:rsid w:val="00B36A50"/>
    <w:rsid w:val="00B36AB7"/>
    <w:rsid w:val="00B36B8C"/>
    <w:rsid w:val="00B36C66"/>
    <w:rsid w:val="00B36D2C"/>
    <w:rsid w:val="00B36DC5"/>
    <w:rsid w:val="00B36F94"/>
    <w:rsid w:val="00B3702A"/>
    <w:rsid w:val="00B37585"/>
    <w:rsid w:val="00B37B15"/>
    <w:rsid w:val="00B37B32"/>
    <w:rsid w:val="00B402DB"/>
    <w:rsid w:val="00B4099F"/>
    <w:rsid w:val="00B40D2E"/>
    <w:rsid w:val="00B413EC"/>
    <w:rsid w:val="00B414C1"/>
    <w:rsid w:val="00B41595"/>
    <w:rsid w:val="00B416F4"/>
    <w:rsid w:val="00B417B1"/>
    <w:rsid w:val="00B41D2D"/>
    <w:rsid w:val="00B42052"/>
    <w:rsid w:val="00B42BDB"/>
    <w:rsid w:val="00B42ED5"/>
    <w:rsid w:val="00B431EA"/>
    <w:rsid w:val="00B43223"/>
    <w:rsid w:val="00B4332E"/>
    <w:rsid w:val="00B43883"/>
    <w:rsid w:val="00B438F3"/>
    <w:rsid w:val="00B43A08"/>
    <w:rsid w:val="00B43A57"/>
    <w:rsid w:val="00B43E26"/>
    <w:rsid w:val="00B43F96"/>
    <w:rsid w:val="00B44380"/>
    <w:rsid w:val="00B44406"/>
    <w:rsid w:val="00B444FF"/>
    <w:rsid w:val="00B44658"/>
    <w:rsid w:val="00B44788"/>
    <w:rsid w:val="00B44A73"/>
    <w:rsid w:val="00B44D1C"/>
    <w:rsid w:val="00B44F0B"/>
    <w:rsid w:val="00B44F4F"/>
    <w:rsid w:val="00B451A9"/>
    <w:rsid w:val="00B45218"/>
    <w:rsid w:val="00B4574E"/>
    <w:rsid w:val="00B459D7"/>
    <w:rsid w:val="00B45C02"/>
    <w:rsid w:val="00B46141"/>
    <w:rsid w:val="00B465D2"/>
    <w:rsid w:val="00B46699"/>
    <w:rsid w:val="00B46725"/>
    <w:rsid w:val="00B4711E"/>
    <w:rsid w:val="00B473EE"/>
    <w:rsid w:val="00B47727"/>
    <w:rsid w:val="00B477B3"/>
    <w:rsid w:val="00B478F1"/>
    <w:rsid w:val="00B479D3"/>
    <w:rsid w:val="00B47B49"/>
    <w:rsid w:val="00B47E2D"/>
    <w:rsid w:val="00B47E7B"/>
    <w:rsid w:val="00B50255"/>
    <w:rsid w:val="00B50468"/>
    <w:rsid w:val="00B50C64"/>
    <w:rsid w:val="00B50EB0"/>
    <w:rsid w:val="00B510B4"/>
    <w:rsid w:val="00B514D1"/>
    <w:rsid w:val="00B51681"/>
    <w:rsid w:val="00B51757"/>
    <w:rsid w:val="00B517ED"/>
    <w:rsid w:val="00B519D1"/>
    <w:rsid w:val="00B522F5"/>
    <w:rsid w:val="00B5262D"/>
    <w:rsid w:val="00B52708"/>
    <w:rsid w:val="00B528BD"/>
    <w:rsid w:val="00B52E74"/>
    <w:rsid w:val="00B5337B"/>
    <w:rsid w:val="00B53559"/>
    <w:rsid w:val="00B53B4B"/>
    <w:rsid w:val="00B53BE6"/>
    <w:rsid w:val="00B53FB9"/>
    <w:rsid w:val="00B54111"/>
    <w:rsid w:val="00B5435C"/>
    <w:rsid w:val="00B54820"/>
    <w:rsid w:val="00B54908"/>
    <w:rsid w:val="00B54931"/>
    <w:rsid w:val="00B551F6"/>
    <w:rsid w:val="00B556DF"/>
    <w:rsid w:val="00B557C5"/>
    <w:rsid w:val="00B5583D"/>
    <w:rsid w:val="00B55F81"/>
    <w:rsid w:val="00B56160"/>
    <w:rsid w:val="00B56323"/>
    <w:rsid w:val="00B56966"/>
    <w:rsid w:val="00B56B09"/>
    <w:rsid w:val="00B56BFB"/>
    <w:rsid w:val="00B56C64"/>
    <w:rsid w:val="00B56CBC"/>
    <w:rsid w:val="00B56D81"/>
    <w:rsid w:val="00B56DBF"/>
    <w:rsid w:val="00B570A7"/>
    <w:rsid w:val="00B571CD"/>
    <w:rsid w:val="00B57DDC"/>
    <w:rsid w:val="00B57E63"/>
    <w:rsid w:val="00B57F03"/>
    <w:rsid w:val="00B60126"/>
    <w:rsid w:val="00B6088F"/>
    <w:rsid w:val="00B608A4"/>
    <w:rsid w:val="00B60FF6"/>
    <w:rsid w:val="00B614EC"/>
    <w:rsid w:val="00B61716"/>
    <w:rsid w:val="00B618F7"/>
    <w:rsid w:val="00B619FD"/>
    <w:rsid w:val="00B61D12"/>
    <w:rsid w:val="00B61DE0"/>
    <w:rsid w:val="00B61E2A"/>
    <w:rsid w:val="00B62053"/>
    <w:rsid w:val="00B625CD"/>
    <w:rsid w:val="00B626BA"/>
    <w:rsid w:val="00B626DA"/>
    <w:rsid w:val="00B627BD"/>
    <w:rsid w:val="00B62BF3"/>
    <w:rsid w:val="00B62CE8"/>
    <w:rsid w:val="00B637E7"/>
    <w:rsid w:val="00B639FC"/>
    <w:rsid w:val="00B63F24"/>
    <w:rsid w:val="00B64112"/>
    <w:rsid w:val="00B646BE"/>
    <w:rsid w:val="00B64722"/>
    <w:rsid w:val="00B64944"/>
    <w:rsid w:val="00B6494A"/>
    <w:rsid w:val="00B64E89"/>
    <w:rsid w:val="00B656DE"/>
    <w:rsid w:val="00B65F23"/>
    <w:rsid w:val="00B65FFC"/>
    <w:rsid w:val="00B660CB"/>
    <w:rsid w:val="00B66199"/>
    <w:rsid w:val="00B66220"/>
    <w:rsid w:val="00B66750"/>
    <w:rsid w:val="00B667EB"/>
    <w:rsid w:val="00B66A8C"/>
    <w:rsid w:val="00B66EB0"/>
    <w:rsid w:val="00B66F55"/>
    <w:rsid w:val="00B66FBF"/>
    <w:rsid w:val="00B67017"/>
    <w:rsid w:val="00B678C1"/>
    <w:rsid w:val="00B6794B"/>
    <w:rsid w:val="00B67970"/>
    <w:rsid w:val="00B70219"/>
    <w:rsid w:val="00B70876"/>
    <w:rsid w:val="00B70988"/>
    <w:rsid w:val="00B709DE"/>
    <w:rsid w:val="00B70AE7"/>
    <w:rsid w:val="00B70B63"/>
    <w:rsid w:val="00B70F7E"/>
    <w:rsid w:val="00B71243"/>
    <w:rsid w:val="00B71540"/>
    <w:rsid w:val="00B7190B"/>
    <w:rsid w:val="00B71A3E"/>
    <w:rsid w:val="00B71D9E"/>
    <w:rsid w:val="00B72370"/>
    <w:rsid w:val="00B72639"/>
    <w:rsid w:val="00B72734"/>
    <w:rsid w:val="00B72798"/>
    <w:rsid w:val="00B72989"/>
    <w:rsid w:val="00B72A1E"/>
    <w:rsid w:val="00B72BC2"/>
    <w:rsid w:val="00B72FC2"/>
    <w:rsid w:val="00B733A0"/>
    <w:rsid w:val="00B734A4"/>
    <w:rsid w:val="00B73A90"/>
    <w:rsid w:val="00B73A99"/>
    <w:rsid w:val="00B73B12"/>
    <w:rsid w:val="00B73F54"/>
    <w:rsid w:val="00B73FA7"/>
    <w:rsid w:val="00B74168"/>
    <w:rsid w:val="00B7438B"/>
    <w:rsid w:val="00B7440A"/>
    <w:rsid w:val="00B74563"/>
    <w:rsid w:val="00B74679"/>
    <w:rsid w:val="00B74BB2"/>
    <w:rsid w:val="00B74E89"/>
    <w:rsid w:val="00B751EB"/>
    <w:rsid w:val="00B75707"/>
    <w:rsid w:val="00B75755"/>
    <w:rsid w:val="00B759F3"/>
    <w:rsid w:val="00B75AD3"/>
    <w:rsid w:val="00B75AF2"/>
    <w:rsid w:val="00B75E12"/>
    <w:rsid w:val="00B760A3"/>
    <w:rsid w:val="00B763F6"/>
    <w:rsid w:val="00B764C5"/>
    <w:rsid w:val="00B765D9"/>
    <w:rsid w:val="00B7672D"/>
    <w:rsid w:val="00B76795"/>
    <w:rsid w:val="00B76D16"/>
    <w:rsid w:val="00B76F26"/>
    <w:rsid w:val="00B76FA5"/>
    <w:rsid w:val="00B77540"/>
    <w:rsid w:val="00B777AE"/>
    <w:rsid w:val="00B778D1"/>
    <w:rsid w:val="00B77950"/>
    <w:rsid w:val="00B77DBD"/>
    <w:rsid w:val="00B77DE3"/>
    <w:rsid w:val="00B8001F"/>
    <w:rsid w:val="00B8007D"/>
    <w:rsid w:val="00B800DE"/>
    <w:rsid w:val="00B80BB6"/>
    <w:rsid w:val="00B80C7C"/>
    <w:rsid w:val="00B80CF2"/>
    <w:rsid w:val="00B80D1F"/>
    <w:rsid w:val="00B80DBD"/>
    <w:rsid w:val="00B80F3C"/>
    <w:rsid w:val="00B81145"/>
    <w:rsid w:val="00B81210"/>
    <w:rsid w:val="00B81474"/>
    <w:rsid w:val="00B81573"/>
    <w:rsid w:val="00B81C08"/>
    <w:rsid w:val="00B81E12"/>
    <w:rsid w:val="00B82180"/>
    <w:rsid w:val="00B8220E"/>
    <w:rsid w:val="00B827B9"/>
    <w:rsid w:val="00B82C83"/>
    <w:rsid w:val="00B82D2F"/>
    <w:rsid w:val="00B82E7C"/>
    <w:rsid w:val="00B83391"/>
    <w:rsid w:val="00B8343D"/>
    <w:rsid w:val="00B8361A"/>
    <w:rsid w:val="00B83975"/>
    <w:rsid w:val="00B83EFD"/>
    <w:rsid w:val="00B83FFD"/>
    <w:rsid w:val="00B846CE"/>
    <w:rsid w:val="00B84C29"/>
    <w:rsid w:val="00B84E3E"/>
    <w:rsid w:val="00B84EE4"/>
    <w:rsid w:val="00B8509C"/>
    <w:rsid w:val="00B8573C"/>
    <w:rsid w:val="00B85916"/>
    <w:rsid w:val="00B859F6"/>
    <w:rsid w:val="00B85CEF"/>
    <w:rsid w:val="00B85EE0"/>
    <w:rsid w:val="00B862CA"/>
    <w:rsid w:val="00B86405"/>
    <w:rsid w:val="00B86406"/>
    <w:rsid w:val="00B864A7"/>
    <w:rsid w:val="00B86CEA"/>
    <w:rsid w:val="00B87340"/>
    <w:rsid w:val="00B87AA4"/>
    <w:rsid w:val="00B87BEA"/>
    <w:rsid w:val="00B87C3E"/>
    <w:rsid w:val="00B87C6B"/>
    <w:rsid w:val="00B87E2B"/>
    <w:rsid w:val="00B90102"/>
    <w:rsid w:val="00B9024B"/>
    <w:rsid w:val="00B9028D"/>
    <w:rsid w:val="00B90317"/>
    <w:rsid w:val="00B90789"/>
    <w:rsid w:val="00B90CB5"/>
    <w:rsid w:val="00B90D8A"/>
    <w:rsid w:val="00B90E6A"/>
    <w:rsid w:val="00B911D5"/>
    <w:rsid w:val="00B91374"/>
    <w:rsid w:val="00B9182C"/>
    <w:rsid w:val="00B91AA8"/>
    <w:rsid w:val="00B91B04"/>
    <w:rsid w:val="00B91B1E"/>
    <w:rsid w:val="00B91D2D"/>
    <w:rsid w:val="00B91D8E"/>
    <w:rsid w:val="00B91E22"/>
    <w:rsid w:val="00B922A4"/>
    <w:rsid w:val="00B9230A"/>
    <w:rsid w:val="00B923CA"/>
    <w:rsid w:val="00B92650"/>
    <w:rsid w:val="00B92854"/>
    <w:rsid w:val="00B92DBC"/>
    <w:rsid w:val="00B92E17"/>
    <w:rsid w:val="00B92E55"/>
    <w:rsid w:val="00B92FB5"/>
    <w:rsid w:val="00B9337E"/>
    <w:rsid w:val="00B933F7"/>
    <w:rsid w:val="00B93405"/>
    <w:rsid w:val="00B93547"/>
    <w:rsid w:val="00B93C08"/>
    <w:rsid w:val="00B9409C"/>
    <w:rsid w:val="00B940FC"/>
    <w:rsid w:val="00B943D5"/>
    <w:rsid w:val="00B943F0"/>
    <w:rsid w:val="00B94838"/>
    <w:rsid w:val="00B94BA5"/>
    <w:rsid w:val="00B95214"/>
    <w:rsid w:val="00B953BF"/>
    <w:rsid w:val="00B955A4"/>
    <w:rsid w:val="00B95626"/>
    <w:rsid w:val="00B958C0"/>
    <w:rsid w:val="00B95CA5"/>
    <w:rsid w:val="00B95CEC"/>
    <w:rsid w:val="00B95F3E"/>
    <w:rsid w:val="00B96245"/>
    <w:rsid w:val="00B96A1D"/>
    <w:rsid w:val="00B96B8B"/>
    <w:rsid w:val="00B96C34"/>
    <w:rsid w:val="00B9704F"/>
    <w:rsid w:val="00B97509"/>
    <w:rsid w:val="00B9751C"/>
    <w:rsid w:val="00B976A4"/>
    <w:rsid w:val="00B97998"/>
    <w:rsid w:val="00B97EA4"/>
    <w:rsid w:val="00BA0057"/>
    <w:rsid w:val="00BA01A6"/>
    <w:rsid w:val="00BA02AE"/>
    <w:rsid w:val="00BA0619"/>
    <w:rsid w:val="00BA0768"/>
    <w:rsid w:val="00BA0A39"/>
    <w:rsid w:val="00BA0A71"/>
    <w:rsid w:val="00BA0A9C"/>
    <w:rsid w:val="00BA0DC3"/>
    <w:rsid w:val="00BA10A0"/>
    <w:rsid w:val="00BA154D"/>
    <w:rsid w:val="00BA18D3"/>
    <w:rsid w:val="00BA1A90"/>
    <w:rsid w:val="00BA1D45"/>
    <w:rsid w:val="00BA1D9E"/>
    <w:rsid w:val="00BA20D4"/>
    <w:rsid w:val="00BA26C8"/>
    <w:rsid w:val="00BA2C22"/>
    <w:rsid w:val="00BA2D43"/>
    <w:rsid w:val="00BA339B"/>
    <w:rsid w:val="00BA33C1"/>
    <w:rsid w:val="00BA3654"/>
    <w:rsid w:val="00BA38CF"/>
    <w:rsid w:val="00BA3D65"/>
    <w:rsid w:val="00BA3EBE"/>
    <w:rsid w:val="00BA3F0B"/>
    <w:rsid w:val="00BA3F97"/>
    <w:rsid w:val="00BA454F"/>
    <w:rsid w:val="00BA48F1"/>
    <w:rsid w:val="00BA4C20"/>
    <w:rsid w:val="00BA4CB2"/>
    <w:rsid w:val="00BA4F93"/>
    <w:rsid w:val="00BA4FDB"/>
    <w:rsid w:val="00BA532C"/>
    <w:rsid w:val="00BA5C6D"/>
    <w:rsid w:val="00BA5C93"/>
    <w:rsid w:val="00BA5E59"/>
    <w:rsid w:val="00BA5F2D"/>
    <w:rsid w:val="00BA69B9"/>
    <w:rsid w:val="00BA69F4"/>
    <w:rsid w:val="00BA6A2F"/>
    <w:rsid w:val="00BA6AB3"/>
    <w:rsid w:val="00BA6EA1"/>
    <w:rsid w:val="00BA719D"/>
    <w:rsid w:val="00BA72CF"/>
    <w:rsid w:val="00BA736E"/>
    <w:rsid w:val="00BA769A"/>
    <w:rsid w:val="00BA78B2"/>
    <w:rsid w:val="00BA79A8"/>
    <w:rsid w:val="00BA79AC"/>
    <w:rsid w:val="00BA7AAC"/>
    <w:rsid w:val="00BA7E11"/>
    <w:rsid w:val="00BA7E77"/>
    <w:rsid w:val="00BA7EED"/>
    <w:rsid w:val="00BB00E2"/>
    <w:rsid w:val="00BB01BA"/>
    <w:rsid w:val="00BB02A8"/>
    <w:rsid w:val="00BB042A"/>
    <w:rsid w:val="00BB0575"/>
    <w:rsid w:val="00BB091E"/>
    <w:rsid w:val="00BB0AC4"/>
    <w:rsid w:val="00BB0B76"/>
    <w:rsid w:val="00BB0E32"/>
    <w:rsid w:val="00BB101D"/>
    <w:rsid w:val="00BB1371"/>
    <w:rsid w:val="00BB13C5"/>
    <w:rsid w:val="00BB1A27"/>
    <w:rsid w:val="00BB1E63"/>
    <w:rsid w:val="00BB1EDD"/>
    <w:rsid w:val="00BB210C"/>
    <w:rsid w:val="00BB22A6"/>
    <w:rsid w:val="00BB2410"/>
    <w:rsid w:val="00BB25E5"/>
    <w:rsid w:val="00BB2B90"/>
    <w:rsid w:val="00BB2E68"/>
    <w:rsid w:val="00BB3060"/>
    <w:rsid w:val="00BB3494"/>
    <w:rsid w:val="00BB3766"/>
    <w:rsid w:val="00BB3A38"/>
    <w:rsid w:val="00BB3DAB"/>
    <w:rsid w:val="00BB3DAC"/>
    <w:rsid w:val="00BB43C3"/>
    <w:rsid w:val="00BB45AC"/>
    <w:rsid w:val="00BB4607"/>
    <w:rsid w:val="00BB462C"/>
    <w:rsid w:val="00BB4A9A"/>
    <w:rsid w:val="00BB4B7D"/>
    <w:rsid w:val="00BB509B"/>
    <w:rsid w:val="00BB5115"/>
    <w:rsid w:val="00BB51D5"/>
    <w:rsid w:val="00BB5389"/>
    <w:rsid w:val="00BB5452"/>
    <w:rsid w:val="00BB569C"/>
    <w:rsid w:val="00BB598E"/>
    <w:rsid w:val="00BB5CB9"/>
    <w:rsid w:val="00BB5DD6"/>
    <w:rsid w:val="00BB6499"/>
    <w:rsid w:val="00BB6B2E"/>
    <w:rsid w:val="00BB6F37"/>
    <w:rsid w:val="00BB70DB"/>
    <w:rsid w:val="00BB73C8"/>
    <w:rsid w:val="00BB76D1"/>
    <w:rsid w:val="00BB7720"/>
    <w:rsid w:val="00BB7994"/>
    <w:rsid w:val="00BC02BB"/>
    <w:rsid w:val="00BC0400"/>
    <w:rsid w:val="00BC047C"/>
    <w:rsid w:val="00BC0571"/>
    <w:rsid w:val="00BC0600"/>
    <w:rsid w:val="00BC0704"/>
    <w:rsid w:val="00BC102B"/>
    <w:rsid w:val="00BC1104"/>
    <w:rsid w:val="00BC14B2"/>
    <w:rsid w:val="00BC18A4"/>
    <w:rsid w:val="00BC190F"/>
    <w:rsid w:val="00BC1E7B"/>
    <w:rsid w:val="00BC1E7E"/>
    <w:rsid w:val="00BC1EA3"/>
    <w:rsid w:val="00BC20AA"/>
    <w:rsid w:val="00BC21D1"/>
    <w:rsid w:val="00BC2433"/>
    <w:rsid w:val="00BC25DB"/>
    <w:rsid w:val="00BC2644"/>
    <w:rsid w:val="00BC264F"/>
    <w:rsid w:val="00BC28F7"/>
    <w:rsid w:val="00BC2998"/>
    <w:rsid w:val="00BC2C1F"/>
    <w:rsid w:val="00BC2CD4"/>
    <w:rsid w:val="00BC36AA"/>
    <w:rsid w:val="00BC37DF"/>
    <w:rsid w:val="00BC3BFA"/>
    <w:rsid w:val="00BC3CA0"/>
    <w:rsid w:val="00BC3F6D"/>
    <w:rsid w:val="00BC41F3"/>
    <w:rsid w:val="00BC5013"/>
    <w:rsid w:val="00BC5117"/>
    <w:rsid w:val="00BC51C5"/>
    <w:rsid w:val="00BC51D5"/>
    <w:rsid w:val="00BC527A"/>
    <w:rsid w:val="00BC56FA"/>
    <w:rsid w:val="00BC5945"/>
    <w:rsid w:val="00BC599F"/>
    <w:rsid w:val="00BC6404"/>
    <w:rsid w:val="00BC64D3"/>
    <w:rsid w:val="00BC6673"/>
    <w:rsid w:val="00BC66D5"/>
    <w:rsid w:val="00BC672D"/>
    <w:rsid w:val="00BC684F"/>
    <w:rsid w:val="00BC6935"/>
    <w:rsid w:val="00BC69C0"/>
    <w:rsid w:val="00BC6C8D"/>
    <w:rsid w:val="00BC6D16"/>
    <w:rsid w:val="00BC6D96"/>
    <w:rsid w:val="00BC74E9"/>
    <w:rsid w:val="00BC7B40"/>
    <w:rsid w:val="00BC7BC7"/>
    <w:rsid w:val="00BD0096"/>
    <w:rsid w:val="00BD0138"/>
    <w:rsid w:val="00BD0515"/>
    <w:rsid w:val="00BD0797"/>
    <w:rsid w:val="00BD0B69"/>
    <w:rsid w:val="00BD0D62"/>
    <w:rsid w:val="00BD0D6D"/>
    <w:rsid w:val="00BD0F3F"/>
    <w:rsid w:val="00BD1055"/>
    <w:rsid w:val="00BD147B"/>
    <w:rsid w:val="00BD14FD"/>
    <w:rsid w:val="00BD184C"/>
    <w:rsid w:val="00BD193B"/>
    <w:rsid w:val="00BD1977"/>
    <w:rsid w:val="00BD1AAB"/>
    <w:rsid w:val="00BD1BFB"/>
    <w:rsid w:val="00BD1C63"/>
    <w:rsid w:val="00BD224C"/>
    <w:rsid w:val="00BD22CD"/>
    <w:rsid w:val="00BD230E"/>
    <w:rsid w:val="00BD29CC"/>
    <w:rsid w:val="00BD29D3"/>
    <w:rsid w:val="00BD2BA0"/>
    <w:rsid w:val="00BD3221"/>
    <w:rsid w:val="00BD35CB"/>
    <w:rsid w:val="00BD3755"/>
    <w:rsid w:val="00BD3AE9"/>
    <w:rsid w:val="00BD3D90"/>
    <w:rsid w:val="00BD3E02"/>
    <w:rsid w:val="00BD4147"/>
    <w:rsid w:val="00BD4254"/>
    <w:rsid w:val="00BD4613"/>
    <w:rsid w:val="00BD4844"/>
    <w:rsid w:val="00BD4874"/>
    <w:rsid w:val="00BD4949"/>
    <w:rsid w:val="00BD4969"/>
    <w:rsid w:val="00BD4A2C"/>
    <w:rsid w:val="00BD4B82"/>
    <w:rsid w:val="00BD4C5F"/>
    <w:rsid w:val="00BD4C74"/>
    <w:rsid w:val="00BD4D24"/>
    <w:rsid w:val="00BD4DFB"/>
    <w:rsid w:val="00BD4F3C"/>
    <w:rsid w:val="00BD5735"/>
    <w:rsid w:val="00BD5927"/>
    <w:rsid w:val="00BD5BF2"/>
    <w:rsid w:val="00BD5FEE"/>
    <w:rsid w:val="00BD6267"/>
    <w:rsid w:val="00BD636A"/>
    <w:rsid w:val="00BD6475"/>
    <w:rsid w:val="00BD6591"/>
    <w:rsid w:val="00BD6668"/>
    <w:rsid w:val="00BD6784"/>
    <w:rsid w:val="00BD6BE3"/>
    <w:rsid w:val="00BD6D6B"/>
    <w:rsid w:val="00BD6EAD"/>
    <w:rsid w:val="00BD7425"/>
    <w:rsid w:val="00BD7BAA"/>
    <w:rsid w:val="00BD7BF6"/>
    <w:rsid w:val="00BD7D1B"/>
    <w:rsid w:val="00BD7D3F"/>
    <w:rsid w:val="00BE00FF"/>
    <w:rsid w:val="00BE01CA"/>
    <w:rsid w:val="00BE044A"/>
    <w:rsid w:val="00BE068A"/>
    <w:rsid w:val="00BE068F"/>
    <w:rsid w:val="00BE0D1E"/>
    <w:rsid w:val="00BE1487"/>
    <w:rsid w:val="00BE1E76"/>
    <w:rsid w:val="00BE1ECD"/>
    <w:rsid w:val="00BE20EF"/>
    <w:rsid w:val="00BE258D"/>
    <w:rsid w:val="00BE294D"/>
    <w:rsid w:val="00BE2A4C"/>
    <w:rsid w:val="00BE2AEF"/>
    <w:rsid w:val="00BE2D5D"/>
    <w:rsid w:val="00BE2D67"/>
    <w:rsid w:val="00BE2DA1"/>
    <w:rsid w:val="00BE303B"/>
    <w:rsid w:val="00BE36A9"/>
    <w:rsid w:val="00BE384B"/>
    <w:rsid w:val="00BE38BF"/>
    <w:rsid w:val="00BE3F13"/>
    <w:rsid w:val="00BE3FAA"/>
    <w:rsid w:val="00BE44CC"/>
    <w:rsid w:val="00BE465E"/>
    <w:rsid w:val="00BE4869"/>
    <w:rsid w:val="00BE49AD"/>
    <w:rsid w:val="00BE4A98"/>
    <w:rsid w:val="00BE4ABE"/>
    <w:rsid w:val="00BE4B1D"/>
    <w:rsid w:val="00BE4E3F"/>
    <w:rsid w:val="00BE4F98"/>
    <w:rsid w:val="00BE507A"/>
    <w:rsid w:val="00BE50FA"/>
    <w:rsid w:val="00BE553A"/>
    <w:rsid w:val="00BE5638"/>
    <w:rsid w:val="00BE6049"/>
    <w:rsid w:val="00BE618E"/>
    <w:rsid w:val="00BE6513"/>
    <w:rsid w:val="00BE66FB"/>
    <w:rsid w:val="00BE6729"/>
    <w:rsid w:val="00BE6A4D"/>
    <w:rsid w:val="00BE6F58"/>
    <w:rsid w:val="00BE7082"/>
    <w:rsid w:val="00BE73A5"/>
    <w:rsid w:val="00BE7630"/>
    <w:rsid w:val="00BE794F"/>
    <w:rsid w:val="00BE79F9"/>
    <w:rsid w:val="00BE7A5D"/>
    <w:rsid w:val="00BE7BEC"/>
    <w:rsid w:val="00BE7E70"/>
    <w:rsid w:val="00BF0128"/>
    <w:rsid w:val="00BF0641"/>
    <w:rsid w:val="00BF0676"/>
    <w:rsid w:val="00BF0804"/>
    <w:rsid w:val="00BF089E"/>
    <w:rsid w:val="00BF0A5A"/>
    <w:rsid w:val="00BF0B0D"/>
    <w:rsid w:val="00BF0E63"/>
    <w:rsid w:val="00BF12A3"/>
    <w:rsid w:val="00BF1631"/>
    <w:rsid w:val="00BF16D7"/>
    <w:rsid w:val="00BF170E"/>
    <w:rsid w:val="00BF19ED"/>
    <w:rsid w:val="00BF1F19"/>
    <w:rsid w:val="00BF1F2C"/>
    <w:rsid w:val="00BF21D1"/>
    <w:rsid w:val="00BF2373"/>
    <w:rsid w:val="00BF2514"/>
    <w:rsid w:val="00BF2712"/>
    <w:rsid w:val="00BF299A"/>
    <w:rsid w:val="00BF29F7"/>
    <w:rsid w:val="00BF2D53"/>
    <w:rsid w:val="00BF2E4D"/>
    <w:rsid w:val="00BF2E9B"/>
    <w:rsid w:val="00BF3777"/>
    <w:rsid w:val="00BF3929"/>
    <w:rsid w:val="00BF39BD"/>
    <w:rsid w:val="00BF39CA"/>
    <w:rsid w:val="00BF416C"/>
    <w:rsid w:val="00BF4443"/>
    <w:rsid w:val="00BF4576"/>
    <w:rsid w:val="00BF4642"/>
    <w:rsid w:val="00BF470F"/>
    <w:rsid w:val="00BF4720"/>
    <w:rsid w:val="00BF4AD6"/>
    <w:rsid w:val="00BF4CD4"/>
    <w:rsid w:val="00BF5381"/>
    <w:rsid w:val="00BF5517"/>
    <w:rsid w:val="00BF56ED"/>
    <w:rsid w:val="00BF5BDB"/>
    <w:rsid w:val="00BF5CB3"/>
    <w:rsid w:val="00BF611E"/>
    <w:rsid w:val="00BF61B3"/>
    <w:rsid w:val="00BF692D"/>
    <w:rsid w:val="00BF7086"/>
    <w:rsid w:val="00BF7097"/>
    <w:rsid w:val="00BF7820"/>
    <w:rsid w:val="00BF792D"/>
    <w:rsid w:val="00BF7F8D"/>
    <w:rsid w:val="00C000E1"/>
    <w:rsid w:val="00C00491"/>
    <w:rsid w:val="00C00BE4"/>
    <w:rsid w:val="00C0102B"/>
    <w:rsid w:val="00C01765"/>
    <w:rsid w:val="00C01D08"/>
    <w:rsid w:val="00C01F91"/>
    <w:rsid w:val="00C02149"/>
    <w:rsid w:val="00C02A73"/>
    <w:rsid w:val="00C02D34"/>
    <w:rsid w:val="00C037EA"/>
    <w:rsid w:val="00C0393B"/>
    <w:rsid w:val="00C04128"/>
    <w:rsid w:val="00C044E2"/>
    <w:rsid w:val="00C0456F"/>
    <w:rsid w:val="00C0484D"/>
    <w:rsid w:val="00C048CB"/>
    <w:rsid w:val="00C04B23"/>
    <w:rsid w:val="00C04DD2"/>
    <w:rsid w:val="00C0528C"/>
    <w:rsid w:val="00C055E6"/>
    <w:rsid w:val="00C05B11"/>
    <w:rsid w:val="00C05BD4"/>
    <w:rsid w:val="00C05C0B"/>
    <w:rsid w:val="00C0621F"/>
    <w:rsid w:val="00C0634E"/>
    <w:rsid w:val="00C064A5"/>
    <w:rsid w:val="00C065E1"/>
    <w:rsid w:val="00C066F3"/>
    <w:rsid w:val="00C07426"/>
    <w:rsid w:val="00C1006A"/>
    <w:rsid w:val="00C10576"/>
    <w:rsid w:val="00C1077A"/>
    <w:rsid w:val="00C1097D"/>
    <w:rsid w:val="00C10987"/>
    <w:rsid w:val="00C10C2E"/>
    <w:rsid w:val="00C10E81"/>
    <w:rsid w:val="00C11071"/>
    <w:rsid w:val="00C11273"/>
    <w:rsid w:val="00C112C6"/>
    <w:rsid w:val="00C118B3"/>
    <w:rsid w:val="00C11C5E"/>
    <w:rsid w:val="00C11F28"/>
    <w:rsid w:val="00C120B3"/>
    <w:rsid w:val="00C12155"/>
    <w:rsid w:val="00C1243B"/>
    <w:rsid w:val="00C12627"/>
    <w:rsid w:val="00C126E0"/>
    <w:rsid w:val="00C1287D"/>
    <w:rsid w:val="00C1317D"/>
    <w:rsid w:val="00C13684"/>
    <w:rsid w:val="00C136A5"/>
    <w:rsid w:val="00C137DF"/>
    <w:rsid w:val="00C138A8"/>
    <w:rsid w:val="00C13C04"/>
    <w:rsid w:val="00C13DE3"/>
    <w:rsid w:val="00C13FC4"/>
    <w:rsid w:val="00C140B8"/>
    <w:rsid w:val="00C141C2"/>
    <w:rsid w:val="00C1438F"/>
    <w:rsid w:val="00C14715"/>
    <w:rsid w:val="00C147D7"/>
    <w:rsid w:val="00C149D3"/>
    <w:rsid w:val="00C14C21"/>
    <w:rsid w:val="00C1526D"/>
    <w:rsid w:val="00C15311"/>
    <w:rsid w:val="00C1573D"/>
    <w:rsid w:val="00C15AC4"/>
    <w:rsid w:val="00C15BCE"/>
    <w:rsid w:val="00C15E83"/>
    <w:rsid w:val="00C161D3"/>
    <w:rsid w:val="00C16293"/>
    <w:rsid w:val="00C16328"/>
    <w:rsid w:val="00C1632E"/>
    <w:rsid w:val="00C1658A"/>
    <w:rsid w:val="00C16A1E"/>
    <w:rsid w:val="00C16A23"/>
    <w:rsid w:val="00C16C57"/>
    <w:rsid w:val="00C16F66"/>
    <w:rsid w:val="00C16FCA"/>
    <w:rsid w:val="00C16FFD"/>
    <w:rsid w:val="00C17BBA"/>
    <w:rsid w:val="00C17CDB"/>
    <w:rsid w:val="00C17DB2"/>
    <w:rsid w:val="00C17F9F"/>
    <w:rsid w:val="00C17FA6"/>
    <w:rsid w:val="00C20013"/>
    <w:rsid w:val="00C2002A"/>
    <w:rsid w:val="00C20300"/>
    <w:rsid w:val="00C20735"/>
    <w:rsid w:val="00C20E31"/>
    <w:rsid w:val="00C2118A"/>
    <w:rsid w:val="00C21642"/>
    <w:rsid w:val="00C218B2"/>
    <w:rsid w:val="00C21F71"/>
    <w:rsid w:val="00C2207F"/>
    <w:rsid w:val="00C225D1"/>
    <w:rsid w:val="00C22BB1"/>
    <w:rsid w:val="00C22D58"/>
    <w:rsid w:val="00C2304D"/>
    <w:rsid w:val="00C23088"/>
    <w:rsid w:val="00C230B8"/>
    <w:rsid w:val="00C231E3"/>
    <w:rsid w:val="00C238EE"/>
    <w:rsid w:val="00C23ED3"/>
    <w:rsid w:val="00C23F37"/>
    <w:rsid w:val="00C241AA"/>
    <w:rsid w:val="00C24525"/>
    <w:rsid w:val="00C24582"/>
    <w:rsid w:val="00C247BC"/>
    <w:rsid w:val="00C248E6"/>
    <w:rsid w:val="00C2492F"/>
    <w:rsid w:val="00C24B6F"/>
    <w:rsid w:val="00C24EE7"/>
    <w:rsid w:val="00C252C2"/>
    <w:rsid w:val="00C25823"/>
    <w:rsid w:val="00C25847"/>
    <w:rsid w:val="00C25886"/>
    <w:rsid w:val="00C26023"/>
    <w:rsid w:val="00C2605A"/>
    <w:rsid w:val="00C2646D"/>
    <w:rsid w:val="00C268AD"/>
    <w:rsid w:val="00C269BB"/>
    <w:rsid w:val="00C26A6B"/>
    <w:rsid w:val="00C26AB9"/>
    <w:rsid w:val="00C26BE7"/>
    <w:rsid w:val="00C26C54"/>
    <w:rsid w:val="00C26C84"/>
    <w:rsid w:val="00C27131"/>
    <w:rsid w:val="00C276E6"/>
    <w:rsid w:val="00C27DEC"/>
    <w:rsid w:val="00C30161"/>
    <w:rsid w:val="00C3019B"/>
    <w:rsid w:val="00C309FC"/>
    <w:rsid w:val="00C311C7"/>
    <w:rsid w:val="00C31276"/>
    <w:rsid w:val="00C314F3"/>
    <w:rsid w:val="00C31625"/>
    <w:rsid w:val="00C317CA"/>
    <w:rsid w:val="00C31953"/>
    <w:rsid w:val="00C31968"/>
    <w:rsid w:val="00C31A55"/>
    <w:rsid w:val="00C31D16"/>
    <w:rsid w:val="00C31E5B"/>
    <w:rsid w:val="00C3221B"/>
    <w:rsid w:val="00C32388"/>
    <w:rsid w:val="00C323CD"/>
    <w:rsid w:val="00C3259B"/>
    <w:rsid w:val="00C328D2"/>
    <w:rsid w:val="00C32B66"/>
    <w:rsid w:val="00C32B90"/>
    <w:rsid w:val="00C32D9D"/>
    <w:rsid w:val="00C32F24"/>
    <w:rsid w:val="00C32F92"/>
    <w:rsid w:val="00C3317E"/>
    <w:rsid w:val="00C33270"/>
    <w:rsid w:val="00C333F9"/>
    <w:rsid w:val="00C33594"/>
    <w:rsid w:val="00C335E8"/>
    <w:rsid w:val="00C3390F"/>
    <w:rsid w:val="00C33F2E"/>
    <w:rsid w:val="00C34125"/>
    <w:rsid w:val="00C3424B"/>
    <w:rsid w:val="00C347CF"/>
    <w:rsid w:val="00C34A35"/>
    <w:rsid w:val="00C34BD7"/>
    <w:rsid w:val="00C34CD6"/>
    <w:rsid w:val="00C34DF4"/>
    <w:rsid w:val="00C34E71"/>
    <w:rsid w:val="00C34E9C"/>
    <w:rsid w:val="00C34EF3"/>
    <w:rsid w:val="00C3559C"/>
    <w:rsid w:val="00C35731"/>
    <w:rsid w:val="00C35793"/>
    <w:rsid w:val="00C3583B"/>
    <w:rsid w:val="00C35A0D"/>
    <w:rsid w:val="00C35AAE"/>
    <w:rsid w:val="00C35DA5"/>
    <w:rsid w:val="00C363D7"/>
    <w:rsid w:val="00C3652D"/>
    <w:rsid w:val="00C368D1"/>
    <w:rsid w:val="00C3693F"/>
    <w:rsid w:val="00C36A35"/>
    <w:rsid w:val="00C36D1C"/>
    <w:rsid w:val="00C36DD5"/>
    <w:rsid w:val="00C37366"/>
    <w:rsid w:val="00C375C5"/>
    <w:rsid w:val="00C37929"/>
    <w:rsid w:val="00C37C3A"/>
    <w:rsid w:val="00C37CD2"/>
    <w:rsid w:val="00C37EBB"/>
    <w:rsid w:val="00C401CD"/>
    <w:rsid w:val="00C40264"/>
    <w:rsid w:val="00C4078F"/>
    <w:rsid w:val="00C407B8"/>
    <w:rsid w:val="00C407B9"/>
    <w:rsid w:val="00C408F0"/>
    <w:rsid w:val="00C415E2"/>
    <w:rsid w:val="00C41613"/>
    <w:rsid w:val="00C416D2"/>
    <w:rsid w:val="00C4178F"/>
    <w:rsid w:val="00C41CE9"/>
    <w:rsid w:val="00C41F3D"/>
    <w:rsid w:val="00C41FDD"/>
    <w:rsid w:val="00C4244F"/>
    <w:rsid w:val="00C4264B"/>
    <w:rsid w:val="00C427F1"/>
    <w:rsid w:val="00C429AA"/>
    <w:rsid w:val="00C42C9A"/>
    <w:rsid w:val="00C42D67"/>
    <w:rsid w:val="00C43165"/>
    <w:rsid w:val="00C43191"/>
    <w:rsid w:val="00C4358C"/>
    <w:rsid w:val="00C439AF"/>
    <w:rsid w:val="00C43C8B"/>
    <w:rsid w:val="00C43CA1"/>
    <w:rsid w:val="00C44720"/>
    <w:rsid w:val="00C44724"/>
    <w:rsid w:val="00C4475C"/>
    <w:rsid w:val="00C4482E"/>
    <w:rsid w:val="00C44CEF"/>
    <w:rsid w:val="00C44F05"/>
    <w:rsid w:val="00C45539"/>
    <w:rsid w:val="00C45579"/>
    <w:rsid w:val="00C45CA8"/>
    <w:rsid w:val="00C45D11"/>
    <w:rsid w:val="00C45DC7"/>
    <w:rsid w:val="00C45E42"/>
    <w:rsid w:val="00C463DD"/>
    <w:rsid w:val="00C464D7"/>
    <w:rsid w:val="00C4670B"/>
    <w:rsid w:val="00C46746"/>
    <w:rsid w:val="00C46862"/>
    <w:rsid w:val="00C46889"/>
    <w:rsid w:val="00C469D4"/>
    <w:rsid w:val="00C47171"/>
    <w:rsid w:val="00C473DB"/>
    <w:rsid w:val="00C47B17"/>
    <w:rsid w:val="00C47B59"/>
    <w:rsid w:val="00C47B96"/>
    <w:rsid w:val="00C47EDC"/>
    <w:rsid w:val="00C47F0D"/>
    <w:rsid w:val="00C504B8"/>
    <w:rsid w:val="00C5068E"/>
    <w:rsid w:val="00C508EE"/>
    <w:rsid w:val="00C50964"/>
    <w:rsid w:val="00C50CDC"/>
    <w:rsid w:val="00C5150C"/>
    <w:rsid w:val="00C515DF"/>
    <w:rsid w:val="00C5169B"/>
    <w:rsid w:val="00C51763"/>
    <w:rsid w:val="00C51840"/>
    <w:rsid w:val="00C51D73"/>
    <w:rsid w:val="00C51DE8"/>
    <w:rsid w:val="00C5270E"/>
    <w:rsid w:val="00C528AD"/>
    <w:rsid w:val="00C52A02"/>
    <w:rsid w:val="00C52CCE"/>
    <w:rsid w:val="00C52D5B"/>
    <w:rsid w:val="00C5301B"/>
    <w:rsid w:val="00C5360C"/>
    <w:rsid w:val="00C53A44"/>
    <w:rsid w:val="00C53B25"/>
    <w:rsid w:val="00C53BAB"/>
    <w:rsid w:val="00C53FBE"/>
    <w:rsid w:val="00C541C8"/>
    <w:rsid w:val="00C54211"/>
    <w:rsid w:val="00C5434E"/>
    <w:rsid w:val="00C54488"/>
    <w:rsid w:val="00C54640"/>
    <w:rsid w:val="00C546E2"/>
    <w:rsid w:val="00C54958"/>
    <w:rsid w:val="00C54B03"/>
    <w:rsid w:val="00C54D48"/>
    <w:rsid w:val="00C5553C"/>
    <w:rsid w:val="00C55561"/>
    <w:rsid w:val="00C55657"/>
    <w:rsid w:val="00C557F0"/>
    <w:rsid w:val="00C559B6"/>
    <w:rsid w:val="00C55CA1"/>
    <w:rsid w:val="00C55F9B"/>
    <w:rsid w:val="00C5612C"/>
    <w:rsid w:val="00C5614F"/>
    <w:rsid w:val="00C564D7"/>
    <w:rsid w:val="00C5654D"/>
    <w:rsid w:val="00C565F9"/>
    <w:rsid w:val="00C56644"/>
    <w:rsid w:val="00C5679F"/>
    <w:rsid w:val="00C56966"/>
    <w:rsid w:val="00C56A37"/>
    <w:rsid w:val="00C573AF"/>
    <w:rsid w:val="00C574DD"/>
    <w:rsid w:val="00C574E5"/>
    <w:rsid w:val="00C5750C"/>
    <w:rsid w:val="00C57638"/>
    <w:rsid w:val="00C57704"/>
    <w:rsid w:val="00C57735"/>
    <w:rsid w:val="00C578A1"/>
    <w:rsid w:val="00C57A21"/>
    <w:rsid w:val="00C57B41"/>
    <w:rsid w:val="00C57D35"/>
    <w:rsid w:val="00C57EC8"/>
    <w:rsid w:val="00C57F6C"/>
    <w:rsid w:val="00C600DC"/>
    <w:rsid w:val="00C6035C"/>
    <w:rsid w:val="00C60583"/>
    <w:rsid w:val="00C60710"/>
    <w:rsid w:val="00C607D3"/>
    <w:rsid w:val="00C607E5"/>
    <w:rsid w:val="00C60BBB"/>
    <w:rsid w:val="00C610A7"/>
    <w:rsid w:val="00C61391"/>
    <w:rsid w:val="00C619CB"/>
    <w:rsid w:val="00C61B99"/>
    <w:rsid w:val="00C61C6A"/>
    <w:rsid w:val="00C61CFA"/>
    <w:rsid w:val="00C61E6D"/>
    <w:rsid w:val="00C620E2"/>
    <w:rsid w:val="00C626AE"/>
    <w:rsid w:val="00C626DE"/>
    <w:rsid w:val="00C62955"/>
    <w:rsid w:val="00C62F74"/>
    <w:rsid w:val="00C630DA"/>
    <w:rsid w:val="00C633C5"/>
    <w:rsid w:val="00C6417B"/>
    <w:rsid w:val="00C643A9"/>
    <w:rsid w:val="00C649B3"/>
    <w:rsid w:val="00C64A7E"/>
    <w:rsid w:val="00C650BB"/>
    <w:rsid w:val="00C652F5"/>
    <w:rsid w:val="00C654EB"/>
    <w:rsid w:val="00C656C4"/>
    <w:rsid w:val="00C6587C"/>
    <w:rsid w:val="00C658FB"/>
    <w:rsid w:val="00C65B70"/>
    <w:rsid w:val="00C65CB1"/>
    <w:rsid w:val="00C66027"/>
    <w:rsid w:val="00C6628E"/>
    <w:rsid w:val="00C6636E"/>
    <w:rsid w:val="00C66394"/>
    <w:rsid w:val="00C669E1"/>
    <w:rsid w:val="00C66B20"/>
    <w:rsid w:val="00C66BA7"/>
    <w:rsid w:val="00C66D75"/>
    <w:rsid w:val="00C66E29"/>
    <w:rsid w:val="00C66F0D"/>
    <w:rsid w:val="00C66F6C"/>
    <w:rsid w:val="00C67366"/>
    <w:rsid w:val="00C67397"/>
    <w:rsid w:val="00C6750B"/>
    <w:rsid w:val="00C67690"/>
    <w:rsid w:val="00C67B7E"/>
    <w:rsid w:val="00C67C80"/>
    <w:rsid w:val="00C67D3E"/>
    <w:rsid w:val="00C67E23"/>
    <w:rsid w:val="00C702F1"/>
    <w:rsid w:val="00C70362"/>
    <w:rsid w:val="00C70D4C"/>
    <w:rsid w:val="00C70D9A"/>
    <w:rsid w:val="00C70DC2"/>
    <w:rsid w:val="00C70FCD"/>
    <w:rsid w:val="00C710D8"/>
    <w:rsid w:val="00C71213"/>
    <w:rsid w:val="00C71411"/>
    <w:rsid w:val="00C71704"/>
    <w:rsid w:val="00C7190F"/>
    <w:rsid w:val="00C7213A"/>
    <w:rsid w:val="00C7230C"/>
    <w:rsid w:val="00C7292D"/>
    <w:rsid w:val="00C729B4"/>
    <w:rsid w:val="00C72E6A"/>
    <w:rsid w:val="00C73165"/>
    <w:rsid w:val="00C735F0"/>
    <w:rsid w:val="00C73BDC"/>
    <w:rsid w:val="00C745C3"/>
    <w:rsid w:val="00C74656"/>
    <w:rsid w:val="00C74A26"/>
    <w:rsid w:val="00C74C6B"/>
    <w:rsid w:val="00C75BB6"/>
    <w:rsid w:val="00C75CA2"/>
    <w:rsid w:val="00C75CEC"/>
    <w:rsid w:val="00C75E99"/>
    <w:rsid w:val="00C7638E"/>
    <w:rsid w:val="00C763E2"/>
    <w:rsid w:val="00C7649E"/>
    <w:rsid w:val="00C76812"/>
    <w:rsid w:val="00C76B36"/>
    <w:rsid w:val="00C76C90"/>
    <w:rsid w:val="00C76DAC"/>
    <w:rsid w:val="00C76DE3"/>
    <w:rsid w:val="00C773F0"/>
    <w:rsid w:val="00C774A4"/>
    <w:rsid w:val="00C7750E"/>
    <w:rsid w:val="00C77780"/>
    <w:rsid w:val="00C7790B"/>
    <w:rsid w:val="00C803DF"/>
    <w:rsid w:val="00C80766"/>
    <w:rsid w:val="00C807CF"/>
    <w:rsid w:val="00C80937"/>
    <w:rsid w:val="00C80E1D"/>
    <w:rsid w:val="00C80E5D"/>
    <w:rsid w:val="00C80FA8"/>
    <w:rsid w:val="00C81090"/>
    <w:rsid w:val="00C81440"/>
    <w:rsid w:val="00C81545"/>
    <w:rsid w:val="00C81562"/>
    <w:rsid w:val="00C816C4"/>
    <w:rsid w:val="00C8183C"/>
    <w:rsid w:val="00C819DE"/>
    <w:rsid w:val="00C81C45"/>
    <w:rsid w:val="00C8219D"/>
    <w:rsid w:val="00C8221B"/>
    <w:rsid w:val="00C8246A"/>
    <w:rsid w:val="00C828DD"/>
    <w:rsid w:val="00C82E44"/>
    <w:rsid w:val="00C82F9B"/>
    <w:rsid w:val="00C83141"/>
    <w:rsid w:val="00C8340B"/>
    <w:rsid w:val="00C83843"/>
    <w:rsid w:val="00C841DA"/>
    <w:rsid w:val="00C84214"/>
    <w:rsid w:val="00C843C6"/>
    <w:rsid w:val="00C84623"/>
    <w:rsid w:val="00C84736"/>
    <w:rsid w:val="00C85805"/>
    <w:rsid w:val="00C858DB"/>
    <w:rsid w:val="00C85A0E"/>
    <w:rsid w:val="00C85BE4"/>
    <w:rsid w:val="00C864B7"/>
    <w:rsid w:val="00C86701"/>
    <w:rsid w:val="00C86962"/>
    <w:rsid w:val="00C869A2"/>
    <w:rsid w:val="00C86A7A"/>
    <w:rsid w:val="00C872D7"/>
    <w:rsid w:val="00C8734B"/>
    <w:rsid w:val="00C873EB"/>
    <w:rsid w:val="00C8742B"/>
    <w:rsid w:val="00C8758E"/>
    <w:rsid w:val="00C87822"/>
    <w:rsid w:val="00C8784D"/>
    <w:rsid w:val="00C878AA"/>
    <w:rsid w:val="00C87F6D"/>
    <w:rsid w:val="00C90020"/>
    <w:rsid w:val="00C90283"/>
    <w:rsid w:val="00C90AA7"/>
    <w:rsid w:val="00C90B82"/>
    <w:rsid w:val="00C90CE0"/>
    <w:rsid w:val="00C90FAC"/>
    <w:rsid w:val="00C9108C"/>
    <w:rsid w:val="00C91271"/>
    <w:rsid w:val="00C9133B"/>
    <w:rsid w:val="00C9185F"/>
    <w:rsid w:val="00C91BC2"/>
    <w:rsid w:val="00C91C78"/>
    <w:rsid w:val="00C91D0F"/>
    <w:rsid w:val="00C92427"/>
    <w:rsid w:val="00C926A0"/>
    <w:rsid w:val="00C926AD"/>
    <w:rsid w:val="00C92F7A"/>
    <w:rsid w:val="00C93240"/>
    <w:rsid w:val="00C932F6"/>
    <w:rsid w:val="00C93356"/>
    <w:rsid w:val="00C933F9"/>
    <w:rsid w:val="00C9347E"/>
    <w:rsid w:val="00C93893"/>
    <w:rsid w:val="00C93E5B"/>
    <w:rsid w:val="00C94164"/>
    <w:rsid w:val="00C942EB"/>
    <w:rsid w:val="00C944A0"/>
    <w:rsid w:val="00C94570"/>
    <w:rsid w:val="00C949D3"/>
    <w:rsid w:val="00C94B28"/>
    <w:rsid w:val="00C94E01"/>
    <w:rsid w:val="00C94FAE"/>
    <w:rsid w:val="00C9533D"/>
    <w:rsid w:val="00C95525"/>
    <w:rsid w:val="00C95732"/>
    <w:rsid w:val="00C9586D"/>
    <w:rsid w:val="00C958BE"/>
    <w:rsid w:val="00C95A01"/>
    <w:rsid w:val="00C95B4B"/>
    <w:rsid w:val="00C95C13"/>
    <w:rsid w:val="00C9615D"/>
    <w:rsid w:val="00C9657F"/>
    <w:rsid w:val="00C96662"/>
    <w:rsid w:val="00C96907"/>
    <w:rsid w:val="00C96D8D"/>
    <w:rsid w:val="00C97018"/>
    <w:rsid w:val="00C9704B"/>
    <w:rsid w:val="00C9712C"/>
    <w:rsid w:val="00C9714F"/>
    <w:rsid w:val="00C972F8"/>
    <w:rsid w:val="00C978F5"/>
    <w:rsid w:val="00C97BF8"/>
    <w:rsid w:val="00C97C1D"/>
    <w:rsid w:val="00C97E70"/>
    <w:rsid w:val="00CA0067"/>
    <w:rsid w:val="00CA02EA"/>
    <w:rsid w:val="00CA0329"/>
    <w:rsid w:val="00CA0822"/>
    <w:rsid w:val="00CA08CD"/>
    <w:rsid w:val="00CA093C"/>
    <w:rsid w:val="00CA0F78"/>
    <w:rsid w:val="00CA110D"/>
    <w:rsid w:val="00CA1219"/>
    <w:rsid w:val="00CA1229"/>
    <w:rsid w:val="00CA1A7D"/>
    <w:rsid w:val="00CA20EC"/>
    <w:rsid w:val="00CA24A4"/>
    <w:rsid w:val="00CA3109"/>
    <w:rsid w:val="00CA3722"/>
    <w:rsid w:val="00CA3759"/>
    <w:rsid w:val="00CA397A"/>
    <w:rsid w:val="00CA39E8"/>
    <w:rsid w:val="00CA3A2C"/>
    <w:rsid w:val="00CA3E45"/>
    <w:rsid w:val="00CA40C5"/>
    <w:rsid w:val="00CA4132"/>
    <w:rsid w:val="00CA4203"/>
    <w:rsid w:val="00CA44BB"/>
    <w:rsid w:val="00CA4ACA"/>
    <w:rsid w:val="00CA4C23"/>
    <w:rsid w:val="00CA5E2F"/>
    <w:rsid w:val="00CA611D"/>
    <w:rsid w:val="00CA6453"/>
    <w:rsid w:val="00CA6571"/>
    <w:rsid w:val="00CA6718"/>
    <w:rsid w:val="00CA6ADE"/>
    <w:rsid w:val="00CA6AF8"/>
    <w:rsid w:val="00CA6C43"/>
    <w:rsid w:val="00CA6D53"/>
    <w:rsid w:val="00CA7163"/>
    <w:rsid w:val="00CA7174"/>
    <w:rsid w:val="00CA763F"/>
    <w:rsid w:val="00CA7644"/>
    <w:rsid w:val="00CA77EB"/>
    <w:rsid w:val="00CA7D5E"/>
    <w:rsid w:val="00CA7D5F"/>
    <w:rsid w:val="00CA7DC2"/>
    <w:rsid w:val="00CB0A4C"/>
    <w:rsid w:val="00CB1013"/>
    <w:rsid w:val="00CB16B1"/>
    <w:rsid w:val="00CB1F10"/>
    <w:rsid w:val="00CB1FBE"/>
    <w:rsid w:val="00CB2092"/>
    <w:rsid w:val="00CB2437"/>
    <w:rsid w:val="00CB26E1"/>
    <w:rsid w:val="00CB2870"/>
    <w:rsid w:val="00CB2B1A"/>
    <w:rsid w:val="00CB2CE5"/>
    <w:rsid w:val="00CB2F18"/>
    <w:rsid w:val="00CB344A"/>
    <w:rsid w:val="00CB348D"/>
    <w:rsid w:val="00CB375B"/>
    <w:rsid w:val="00CB38A8"/>
    <w:rsid w:val="00CB38F6"/>
    <w:rsid w:val="00CB45EC"/>
    <w:rsid w:val="00CB481C"/>
    <w:rsid w:val="00CB4833"/>
    <w:rsid w:val="00CB4E76"/>
    <w:rsid w:val="00CB5491"/>
    <w:rsid w:val="00CB5512"/>
    <w:rsid w:val="00CB598F"/>
    <w:rsid w:val="00CB5D3B"/>
    <w:rsid w:val="00CB620E"/>
    <w:rsid w:val="00CB62F6"/>
    <w:rsid w:val="00CB62F9"/>
    <w:rsid w:val="00CB6402"/>
    <w:rsid w:val="00CB65FB"/>
    <w:rsid w:val="00CB6818"/>
    <w:rsid w:val="00CB68DD"/>
    <w:rsid w:val="00CB69D3"/>
    <w:rsid w:val="00CB6A3E"/>
    <w:rsid w:val="00CB6EBB"/>
    <w:rsid w:val="00CB7140"/>
    <w:rsid w:val="00CB7411"/>
    <w:rsid w:val="00CB7413"/>
    <w:rsid w:val="00CB7AC4"/>
    <w:rsid w:val="00CB7BFE"/>
    <w:rsid w:val="00CC0246"/>
    <w:rsid w:val="00CC02D5"/>
    <w:rsid w:val="00CC0559"/>
    <w:rsid w:val="00CC06E2"/>
    <w:rsid w:val="00CC08FB"/>
    <w:rsid w:val="00CC0E3D"/>
    <w:rsid w:val="00CC1090"/>
    <w:rsid w:val="00CC13BA"/>
    <w:rsid w:val="00CC17BB"/>
    <w:rsid w:val="00CC18E6"/>
    <w:rsid w:val="00CC1930"/>
    <w:rsid w:val="00CC1C48"/>
    <w:rsid w:val="00CC1D2E"/>
    <w:rsid w:val="00CC1D9D"/>
    <w:rsid w:val="00CC1DE8"/>
    <w:rsid w:val="00CC1F0A"/>
    <w:rsid w:val="00CC1F14"/>
    <w:rsid w:val="00CC1FA4"/>
    <w:rsid w:val="00CC2170"/>
    <w:rsid w:val="00CC218F"/>
    <w:rsid w:val="00CC230F"/>
    <w:rsid w:val="00CC2311"/>
    <w:rsid w:val="00CC2476"/>
    <w:rsid w:val="00CC24E1"/>
    <w:rsid w:val="00CC2626"/>
    <w:rsid w:val="00CC2938"/>
    <w:rsid w:val="00CC2B12"/>
    <w:rsid w:val="00CC2BA5"/>
    <w:rsid w:val="00CC2D2D"/>
    <w:rsid w:val="00CC2E18"/>
    <w:rsid w:val="00CC32B1"/>
    <w:rsid w:val="00CC3322"/>
    <w:rsid w:val="00CC33D2"/>
    <w:rsid w:val="00CC346B"/>
    <w:rsid w:val="00CC35C8"/>
    <w:rsid w:val="00CC3606"/>
    <w:rsid w:val="00CC3619"/>
    <w:rsid w:val="00CC361B"/>
    <w:rsid w:val="00CC36EC"/>
    <w:rsid w:val="00CC3CA4"/>
    <w:rsid w:val="00CC3E43"/>
    <w:rsid w:val="00CC41DF"/>
    <w:rsid w:val="00CC4210"/>
    <w:rsid w:val="00CC43DB"/>
    <w:rsid w:val="00CC44FE"/>
    <w:rsid w:val="00CC48B4"/>
    <w:rsid w:val="00CC48C4"/>
    <w:rsid w:val="00CC4E18"/>
    <w:rsid w:val="00CC5015"/>
    <w:rsid w:val="00CC5340"/>
    <w:rsid w:val="00CC53E3"/>
    <w:rsid w:val="00CC5C51"/>
    <w:rsid w:val="00CC5CA1"/>
    <w:rsid w:val="00CC5D99"/>
    <w:rsid w:val="00CC5EF8"/>
    <w:rsid w:val="00CC5F2E"/>
    <w:rsid w:val="00CC5F85"/>
    <w:rsid w:val="00CC62D3"/>
    <w:rsid w:val="00CC63AA"/>
    <w:rsid w:val="00CC640B"/>
    <w:rsid w:val="00CC65A0"/>
    <w:rsid w:val="00CC671E"/>
    <w:rsid w:val="00CC68A2"/>
    <w:rsid w:val="00CC6950"/>
    <w:rsid w:val="00CC6C60"/>
    <w:rsid w:val="00CC6F02"/>
    <w:rsid w:val="00CC7074"/>
    <w:rsid w:val="00CC74A5"/>
    <w:rsid w:val="00CC7533"/>
    <w:rsid w:val="00CC7595"/>
    <w:rsid w:val="00CC770D"/>
    <w:rsid w:val="00CC7733"/>
    <w:rsid w:val="00CC777A"/>
    <w:rsid w:val="00CC7AE7"/>
    <w:rsid w:val="00CC7C4C"/>
    <w:rsid w:val="00CC7DDC"/>
    <w:rsid w:val="00CC7ED0"/>
    <w:rsid w:val="00CD0111"/>
    <w:rsid w:val="00CD0195"/>
    <w:rsid w:val="00CD09AF"/>
    <w:rsid w:val="00CD0C6E"/>
    <w:rsid w:val="00CD0DAB"/>
    <w:rsid w:val="00CD0FFE"/>
    <w:rsid w:val="00CD157F"/>
    <w:rsid w:val="00CD1611"/>
    <w:rsid w:val="00CD165A"/>
    <w:rsid w:val="00CD1B54"/>
    <w:rsid w:val="00CD1E06"/>
    <w:rsid w:val="00CD1F38"/>
    <w:rsid w:val="00CD1FF1"/>
    <w:rsid w:val="00CD27E4"/>
    <w:rsid w:val="00CD2809"/>
    <w:rsid w:val="00CD29AA"/>
    <w:rsid w:val="00CD2AFD"/>
    <w:rsid w:val="00CD2C40"/>
    <w:rsid w:val="00CD307E"/>
    <w:rsid w:val="00CD331A"/>
    <w:rsid w:val="00CD33CB"/>
    <w:rsid w:val="00CD345A"/>
    <w:rsid w:val="00CD35A1"/>
    <w:rsid w:val="00CD3BEF"/>
    <w:rsid w:val="00CD3D5C"/>
    <w:rsid w:val="00CD3D5F"/>
    <w:rsid w:val="00CD4147"/>
    <w:rsid w:val="00CD415D"/>
    <w:rsid w:val="00CD42B7"/>
    <w:rsid w:val="00CD453A"/>
    <w:rsid w:val="00CD460C"/>
    <w:rsid w:val="00CD46DB"/>
    <w:rsid w:val="00CD46F5"/>
    <w:rsid w:val="00CD476D"/>
    <w:rsid w:val="00CD4876"/>
    <w:rsid w:val="00CD4A7F"/>
    <w:rsid w:val="00CD51C9"/>
    <w:rsid w:val="00CD5268"/>
    <w:rsid w:val="00CD55FF"/>
    <w:rsid w:val="00CD5A6C"/>
    <w:rsid w:val="00CD5AAB"/>
    <w:rsid w:val="00CD5AB5"/>
    <w:rsid w:val="00CD5C24"/>
    <w:rsid w:val="00CD5DE4"/>
    <w:rsid w:val="00CD5EC7"/>
    <w:rsid w:val="00CD6047"/>
    <w:rsid w:val="00CD61F3"/>
    <w:rsid w:val="00CD68C8"/>
    <w:rsid w:val="00CD72F9"/>
    <w:rsid w:val="00CD7331"/>
    <w:rsid w:val="00CD768B"/>
    <w:rsid w:val="00CD7A10"/>
    <w:rsid w:val="00CD7C17"/>
    <w:rsid w:val="00CD7E42"/>
    <w:rsid w:val="00CD7F19"/>
    <w:rsid w:val="00CE006A"/>
    <w:rsid w:val="00CE0569"/>
    <w:rsid w:val="00CE08D2"/>
    <w:rsid w:val="00CE0B67"/>
    <w:rsid w:val="00CE0E45"/>
    <w:rsid w:val="00CE0EB4"/>
    <w:rsid w:val="00CE0F91"/>
    <w:rsid w:val="00CE12C3"/>
    <w:rsid w:val="00CE1389"/>
    <w:rsid w:val="00CE1421"/>
    <w:rsid w:val="00CE1429"/>
    <w:rsid w:val="00CE1950"/>
    <w:rsid w:val="00CE19A5"/>
    <w:rsid w:val="00CE1A43"/>
    <w:rsid w:val="00CE1C0B"/>
    <w:rsid w:val="00CE1D0B"/>
    <w:rsid w:val="00CE2383"/>
    <w:rsid w:val="00CE2461"/>
    <w:rsid w:val="00CE2AE5"/>
    <w:rsid w:val="00CE34A0"/>
    <w:rsid w:val="00CE3745"/>
    <w:rsid w:val="00CE39BA"/>
    <w:rsid w:val="00CE39CA"/>
    <w:rsid w:val="00CE3B95"/>
    <w:rsid w:val="00CE3CB7"/>
    <w:rsid w:val="00CE41CD"/>
    <w:rsid w:val="00CE4A8F"/>
    <w:rsid w:val="00CE4BA3"/>
    <w:rsid w:val="00CE4F9E"/>
    <w:rsid w:val="00CE4FF2"/>
    <w:rsid w:val="00CE51B1"/>
    <w:rsid w:val="00CE531F"/>
    <w:rsid w:val="00CE5449"/>
    <w:rsid w:val="00CE549C"/>
    <w:rsid w:val="00CE55A0"/>
    <w:rsid w:val="00CE567B"/>
    <w:rsid w:val="00CE591F"/>
    <w:rsid w:val="00CE594C"/>
    <w:rsid w:val="00CE5B86"/>
    <w:rsid w:val="00CE660B"/>
    <w:rsid w:val="00CE6696"/>
    <w:rsid w:val="00CE6E1F"/>
    <w:rsid w:val="00CE71ED"/>
    <w:rsid w:val="00CE748C"/>
    <w:rsid w:val="00CE74D6"/>
    <w:rsid w:val="00CE7537"/>
    <w:rsid w:val="00CE7830"/>
    <w:rsid w:val="00CE78B8"/>
    <w:rsid w:val="00CE7B71"/>
    <w:rsid w:val="00CE7D4C"/>
    <w:rsid w:val="00CE7E81"/>
    <w:rsid w:val="00CE7EB4"/>
    <w:rsid w:val="00CE7EE3"/>
    <w:rsid w:val="00CE7F9A"/>
    <w:rsid w:val="00CF0626"/>
    <w:rsid w:val="00CF071D"/>
    <w:rsid w:val="00CF0769"/>
    <w:rsid w:val="00CF0839"/>
    <w:rsid w:val="00CF0EE6"/>
    <w:rsid w:val="00CF11CC"/>
    <w:rsid w:val="00CF12BE"/>
    <w:rsid w:val="00CF148E"/>
    <w:rsid w:val="00CF1ABF"/>
    <w:rsid w:val="00CF1B04"/>
    <w:rsid w:val="00CF1D57"/>
    <w:rsid w:val="00CF1DA6"/>
    <w:rsid w:val="00CF1F72"/>
    <w:rsid w:val="00CF239F"/>
    <w:rsid w:val="00CF2446"/>
    <w:rsid w:val="00CF2564"/>
    <w:rsid w:val="00CF2724"/>
    <w:rsid w:val="00CF2A2E"/>
    <w:rsid w:val="00CF2FC6"/>
    <w:rsid w:val="00CF2FD2"/>
    <w:rsid w:val="00CF33C1"/>
    <w:rsid w:val="00CF33E2"/>
    <w:rsid w:val="00CF34E9"/>
    <w:rsid w:val="00CF3787"/>
    <w:rsid w:val="00CF393D"/>
    <w:rsid w:val="00CF3A8C"/>
    <w:rsid w:val="00CF3C61"/>
    <w:rsid w:val="00CF3CA8"/>
    <w:rsid w:val="00CF3CEF"/>
    <w:rsid w:val="00CF3D8A"/>
    <w:rsid w:val="00CF3EFC"/>
    <w:rsid w:val="00CF4015"/>
    <w:rsid w:val="00CF438C"/>
    <w:rsid w:val="00CF44FB"/>
    <w:rsid w:val="00CF47F1"/>
    <w:rsid w:val="00CF482A"/>
    <w:rsid w:val="00CF4859"/>
    <w:rsid w:val="00CF4CF0"/>
    <w:rsid w:val="00CF4D67"/>
    <w:rsid w:val="00CF4F31"/>
    <w:rsid w:val="00CF54B3"/>
    <w:rsid w:val="00CF57F0"/>
    <w:rsid w:val="00CF582A"/>
    <w:rsid w:val="00CF5873"/>
    <w:rsid w:val="00CF5B0A"/>
    <w:rsid w:val="00CF62F7"/>
    <w:rsid w:val="00CF6596"/>
    <w:rsid w:val="00CF678B"/>
    <w:rsid w:val="00CF67DF"/>
    <w:rsid w:val="00CF685C"/>
    <w:rsid w:val="00CF6AAD"/>
    <w:rsid w:val="00CF6BBD"/>
    <w:rsid w:val="00CF6CEA"/>
    <w:rsid w:val="00CF6FFA"/>
    <w:rsid w:val="00CF71B0"/>
    <w:rsid w:val="00CF7200"/>
    <w:rsid w:val="00CF72D7"/>
    <w:rsid w:val="00CF7300"/>
    <w:rsid w:val="00CF743F"/>
    <w:rsid w:val="00CF75D4"/>
    <w:rsid w:val="00CF7734"/>
    <w:rsid w:val="00CF7842"/>
    <w:rsid w:val="00CF7A60"/>
    <w:rsid w:val="00CF7C3D"/>
    <w:rsid w:val="00D00044"/>
    <w:rsid w:val="00D0009A"/>
    <w:rsid w:val="00D00283"/>
    <w:rsid w:val="00D002CD"/>
    <w:rsid w:val="00D006FD"/>
    <w:rsid w:val="00D0085E"/>
    <w:rsid w:val="00D00FDA"/>
    <w:rsid w:val="00D0123D"/>
    <w:rsid w:val="00D01764"/>
    <w:rsid w:val="00D0178F"/>
    <w:rsid w:val="00D01B7E"/>
    <w:rsid w:val="00D01C35"/>
    <w:rsid w:val="00D02209"/>
    <w:rsid w:val="00D02226"/>
    <w:rsid w:val="00D022A1"/>
    <w:rsid w:val="00D022BC"/>
    <w:rsid w:val="00D02A5F"/>
    <w:rsid w:val="00D02B1E"/>
    <w:rsid w:val="00D030A3"/>
    <w:rsid w:val="00D0340D"/>
    <w:rsid w:val="00D034E3"/>
    <w:rsid w:val="00D038F9"/>
    <w:rsid w:val="00D03936"/>
    <w:rsid w:val="00D03999"/>
    <w:rsid w:val="00D03A17"/>
    <w:rsid w:val="00D03C01"/>
    <w:rsid w:val="00D04640"/>
    <w:rsid w:val="00D0485D"/>
    <w:rsid w:val="00D04E62"/>
    <w:rsid w:val="00D04F54"/>
    <w:rsid w:val="00D052DD"/>
    <w:rsid w:val="00D05BBE"/>
    <w:rsid w:val="00D05C87"/>
    <w:rsid w:val="00D0606B"/>
    <w:rsid w:val="00D06239"/>
    <w:rsid w:val="00D06C27"/>
    <w:rsid w:val="00D073E0"/>
    <w:rsid w:val="00D074F8"/>
    <w:rsid w:val="00D076AA"/>
    <w:rsid w:val="00D0798F"/>
    <w:rsid w:val="00D07DEC"/>
    <w:rsid w:val="00D10150"/>
    <w:rsid w:val="00D1025A"/>
    <w:rsid w:val="00D103DF"/>
    <w:rsid w:val="00D1041D"/>
    <w:rsid w:val="00D104D6"/>
    <w:rsid w:val="00D10591"/>
    <w:rsid w:val="00D10C11"/>
    <w:rsid w:val="00D11151"/>
    <w:rsid w:val="00D1121B"/>
    <w:rsid w:val="00D12270"/>
    <w:rsid w:val="00D127F1"/>
    <w:rsid w:val="00D1295A"/>
    <w:rsid w:val="00D12B50"/>
    <w:rsid w:val="00D1390D"/>
    <w:rsid w:val="00D13E55"/>
    <w:rsid w:val="00D1410E"/>
    <w:rsid w:val="00D1446F"/>
    <w:rsid w:val="00D14D41"/>
    <w:rsid w:val="00D14F04"/>
    <w:rsid w:val="00D14FFD"/>
    <w:rsid w:val="00D153A7"/>
    <w:rsid w:val="00D15407"/>
    <w:rsid w:val="00D15430"/>
    <w:rsid w:val="00D1580F"/>
    <w:rsid w:val="00D15A81"/>
    <w:rsid w:val="00D15B04"/>
    <w:rsid w:val="00D15F08"/>
    <w:rsid w:val="00D16490"/>
    <w:rsid w:val="00D166AB"/>
    <w:rsid w:val="00D16722"/>
    <w:rsid w:val="00D1677B"/>
    <w:rsid w:val="00D16956"/>
    <w:rsid w:val="00D169DD"/>
    <w:rsid w:val="00D16F01"/>
    <w:rsid w:val="00D17266"/>
    <w:rsid w:val="00D1732A"/>
    <w:rsid w:val="00D1733D"/>
    <w:rsid w:val="00D1777B"/>
    <w:rsid w:val="00D17D70"/>
    <w:rsid w:val="00D17E33"/>
    <w:rsid w:val="00D17F0F"/>
    <w:rsid w:val="00D200DB"/>
    <w:rsid w:val="00D2018F"/>
    <w:rsid w:val="00D2031B"/>
    <w:rsid w:val="00D2097F"/>
    <w:rsid w:val="00D20B5E"/>
    <w:rsid w:val="00D21114"/>
    <w:rsid w:val="00D21275"/>
    <w:rsid w:val="00D214B2"/>
    <w:rsid w:val="00D21A49"/>
    <w:rsid w:val="00D21CB3"/>
    <w:rsid w:val="00D21E2E"/>
    <w:rsid w:val="00D21F3B"/>
    <w:rsid w:val="00D224A5"/>
    <w:rsid w:val="00D2265C"/>
    <w:rsid w:val="00D22981"/>
    <w:rsid w:val="00D22AD8"/>
    <w:rsid w:val="00D22DDD"/>
    <w:rsid w:val="00D2308A"/>
    <w:rsid w:val="00D232D2"/>
    <w:rsid w:val="00D236EF"/>
    <w:rsid w:val="00D238C0"/>
    <w:rsid w:val="00D23A03"/>
    <w:rsid w:val="00D23CCB"/>
    <w:rsid w:val="00D2414D"/>
    <w:rsid w:val="00D2415D"/>
    <w:rsid w:val="00D24297"/>
    <w:rsid w:val="00D2456F"/>
    <w:rsid w:val="00D246D9"/>
    <w:rsid w:val="00D24A69"/>
    <w:rsid w:val="00D24D17"/>
    <w:rsid w:val="00D24F01"/>
    <w:rsid w:val="00D24FFC"/>
    <w:rsid w:val="00D251C3"/>
    <w:rsid w:val="00D25378"/>
    <w:rsid w:val="00D256FE"/>
    <w:rsid w:val="00D259AB"/>
    <w:rsid w:val="00D25FE2"/>
    <w:rsid w:val="00D263B5"/>
    <w:rsid w:val="00D26483"/>
    <w:rsid w:val="00D26885"/>
    <w:rsid w:val="00D26A78"/>
    <w:rsid w:val="00D26FAA"/>
    <w:rsid w:val="00D27132"/>
    <w:rsid w:val="00D271CB"/>
    <w:rsid w:val="00D27524"/>
    <w:rsid w:val="00D275E5"/>
    <w:rsid w:val="00D27931"/>
    <w:rsid w:val="00D27AB2"/>
    <w:rsid w:val="00D300CB"/>
    <w:rsid w:val="00D30424"/>
    <w:rsid w:val="00D304FD"/>
    <w:rsid w:val="00D30E09"/>
    <w:rsid w:val="00D30EEE"/>
    <w:rsid w:val="00D31314"/>
    <w:rsid w:val="00D3151B"/>
    <w:rsid w:val="00D315C9"/>
    <w:rsid w:val="00D315E9"/>
    <w:rsid w:val="00D31968"/>
    <w:rsid w:val="00D31D3D"/>
    <w:rsid w:val="00D32C97"/>
    <w:rsid w:val="00D33023"/>
    <w:rsid w:val="00D3322A"/>
    <w:rsid w:val="00D332AD"/>
    <w:rsid w:val="00D33315"/>
    <w:rsid w:val="00D3354D"/>
    <w:rsid w:val="00D336DE"/>
    <w:rsid w:val="00D337F8"/>
    <w:rsid w:val="00D33B37"/>
    <w:rsid w:val="00D341F9"/>
    <w:rsid w:val="00D3484C"/>
    <w:rsid w:val="00D34905"/>
    <w:rsid w:val="00D349AF"/>
    <w:rsid w:val="00D34B73"/>
    <w:rsid w:val="00D34ED2"/>
    <w:rsid w:val="00D356EE"/>
    <w:rsid w:val="00D359B5"/>
    <w:rsid w:val="00D359F3"/>
    <w:rsid w:val="00D35E84"/>
    <w:rsid w:val="00D3604C"/>
    <w:rsid w:val="00D369BE"/>
    <w:rsid w:val="00D36B21"/>
    <w:rsid w:val="00D372EE"/>
    <w:rsid w:val="00D37346"/>
    <w:rsid w:val="00D376B9"/>
    <w:rsid w:val="00D37741"/>
    <w:rsid w:val="00D37BDD"/>
    <w:rsid w:val="00D37C49"/>
    <w:rsid w:val="00D37DA9"/>
    <w:rsid w:val="00D4007D"/>
    <w:rsid w:val="00D403B4"/>
    <w:rsid w:val="00D4046F"/>
    <w:rsid w:val="00D406A7"/>
    <w:rsid w:val="00D40796"/>
    <w:rsid w:val="00D40B69"/>
    <w:rsid w:val="00D40D66"/>
    <w:rsid w:val="00D40D95"/>
    <w:rsid w:val="00D41014"/>
    <w:rsid w:val="00D41230"/>
    <w:rsid w:val="00D4135E"/>
    <w:rsid w:val="00D41810"/>
    <w:rsid w:val="00D41EE7"/>
    <w:rsid w:val="00D42580"/>
    <w:rsid w:val="00D4278D"/>
    <w:rsid w:val="00D42990"/>
    <w:rsid w:val="00D42A2D"/>
    <w:rsid w:val="00D42A68"/>
    <w:rsid w:val="00D43252"/>
    <w:rsid w:val="00D432B5"/>
    <w:rsid w:val="00D433D2"/>
    <w:rsid w:val="00D4369B"/>
    <w:rsid w:val="00D43CF6"/>
    <w:rsid w:val="00D43EEF"/>
    <w:rsid w:val="00D440A2"/>
    <w:rsid w:val="00D44502"/>
    <w:rsid w:val="00D4462C"/>
    <w:rsid w:val="00D44902"/>
    <w:rsid w:val="00D44AE6"/>
    <w:rsid w:val="00D44C4B"/>
    <w:rsid w:val="00D44C69"/>
    <w:rsid w:val="00D44C83"/>
    <w:rsid w:val="00D44D86"/>
    <w:rsid w:val="00D44E17"/>
    <w:rsid w:val="00D45137"/>
    <w:rsid w:val="00D452E8"/>
    <w:rsid w:val="00D455BA"/>
    <w:rsid w:val="00D455C8"/>
    <w:rsid w:val="00D45E4A"/>
    <w:rsid w:val="00D464EE"/>
    <w:rsid w:val="00D46647"/>
    <w:rsid w:val="00D46839"/>
    <w:rsid w:val="00D469BF"/>
    <w:rsid w:val="00D46CD3"/>
    <w:rsid w:val="00D46DCD"/>
    <w:rsid w:val="00D47017"/>
    <w:rsid w:val="00D470B1"/>
    <w:rsid w:val="00D47177"/>
    <w:rsid w:val="00D473C4"/>
    <w:rsid w:val="00D474DC"/>
    <w:rsid w:val="00D47552"/>
    <w:rsid w:val="00D4757A"/>
    <w:rsid w:val="00D478C4"/>
    <w:rsid w:val="00D47AA1"/>
    <w:rsid w:val="00D47B61"/>
    <w:rsid w:val="00D47C85"/>
    <w:rsid w:val="00D47D9F"/>
    <w:rsid w:val="00D47E2F"/>
    <w:rsid w:val="00D500C8"/>
    <w:rsid w:val="00D501AB"/>
    <w:rsid w:val="00D502CF"/>
    <w:rsid w:val="00D50435"/>
    <w:rsid w:val="00D50491"/>
    <w:rsid w:val="00D50897"/>
    <w:rsid w:val="00D50942"/>
    <w:rsid w:val="00D50B69"/>
    <w:rsid w:val="00D50B7D"/>
    <w:rsid w:val="00D50DE7"/>
    <w:rsid w:val="00D51284"/>
    <w:rsid w:val="00D51580"/>
    <w:rsid w:val="00D519E3"/>
    <w:rsid w:val="00D51BA7"/>
    <w:rsid w:val="00D51BFD"/>
    <w:rsid w:val="00D51CC2"/>
    <w:rsid w:val="00D51CD7"/>
    <w:rsid w:val="00D52012"/>
    <w:rsid w:val="00D5213E"/>
    <w:rsid w:val="00D52760"/>
    <w:rsid w:val="00D528A6"/>
    <w:rsid w:val="00D52EAC"/>
    <w:rsid w:val="00D52EC3"/>
    <w:rsid w:val="00D531FB"/>
    <w:rsid w:val="00D533BE"/>
    <w:rsid w:val="00D535AE"/>
    <w:rsid w:val="00D53641"/>
    <w:rsid w:val="00D5399C"/>
    <w:rsid w:val="00D5399D"/>
    <w:rsid w:val="00D53E38"/>
    <w:rsid w:val="00D53EA4"/>
    <w:rsid w:val="00D544B6"/>
    <w:rsid w:val="00D546CE"/>
    <w:rsid w:val="00D546F1"/>
    <w:rsid w:val="00D54783"/>
    <w:rsid w:val="00D54AEE"/>
    <w:rsid w:val="00D54F52"/>
    <w:rsid w:val="00D55071"/>
    <w:rsid w:val="00D5542C"/>
    <w:rsid w:val="00D55440"/>
    <w:rsid w:val="00D554C7"/>
    <w:rsid w:val="00D554EC"/>
    <w:rsid w:val="00D55703"/>
    <w:rsid w:val="00D55798"/>
    <w:rsid w:val="00D55973"/>
    <w:rsid w:val="00D55A91"/>
    <w:rsid w:val="00D55BAC"/>
    <w:rsid w:val="00D55FB1"/>
    <w:rsid w:val="00D56350"/>
    <w:rsid w:val="00D56459"/>
    <w:rsid w:val="00D56462"/>
    <w:rsid w:val="00D5668D"/>
    <w:rsid w:val="00D56745"/>
    <w:rsid w:val="00D56795"/>
    <w:rsid w:val="00D567E7"/>
    <w:rsid w:val="00D569C6"/>
    <w:rsid w:val="00D56E8A"/>
    <w:rsid w:val="00D574AA"/>
    <w:rsid w:val="00D57506"/>
    <w:rsid w:val="00D57AF2"/>
    <w:rsid w:val="00D60155"/>
    <w:rsid w:val="00D6031C"/>
    <w:rsid w:val="00D60482"/>
    <w:rsid w:val="00D604D6"/>
    <w:rsid w:val="00D604FD"/>
    <w:rsid w:val="00D60560"/>
    <w:rsid w:val="00D60746"/>
    <w:rsid w:val="00D60E54"/>
    <w:rsid w:val="00D60FBA"/>
    <w:rsid w:val="00D611C7"/>
    <w:rsid w:val="00D612A1"/>
    <w:rsid w:val="00D619A0"/>
    <w:rsid w:val="00D61A76"/>
    <w:rsid w:val="00D61A88"/>
    <w:rsid w:val="00D61CAA"/>
    <w:rsid w:val="00D61EBA"/>
    <w:rsid w:val="00D627E0"/>
    <w:rsid w:val="00D62B74"/>
    <w:rsid w:val="00D62F59"/>
    <w:rsid w:val="00D6308C"/>
    <w:rsid w:val="00D63208"/>
    <w:rsid w:val="00D632B2"/>
    <w:rsid w:val="00D63657"/>
    <w:rsid w:val="00D6449D"/>
    <w:rsid w:val="00D6452C"/>
    <w:rsid w:val="00D64624"/>
    <w:rsid w:val="00D64750"/>
    <w:rsid w:val="00D64759"/>
    <w:rsid w:val="00D64A98"/>
    <w:rsid w:val="00D64CA7"/>
    <w:rsid w:val="00D64D10"/>
    <w:rsid w:val="00D64D1A"/>
    <w:rsid w:val="00D64D58"/>
    <w:rsid w:val="00D64E3A"/>
    <w:rsid w:val="00D64F38"/>
    <w:rsid w:val="00D64F70"/>
    <w:rsid w:val="00D65199"/>
    <w:rsid w:val="00D65224"/>
    <w:rsid w:val="00D65524"/>
    <w:rsid w:val="00D657E1"/>
    <w:rsid w:val="00D65A66"/>
    <w:rsid w:val="00D65CE3"/>
    <w:rsid w:val="00D66003"/>
    <w:rsid w:val="00D6621E"/>
    <w:rsid w:val="00D66922"/>
    <w:rsid w:val="00D66992"/>
    <w:rsid w:val="00D672DC"/>
    <w:rsid w:val="00D673A4"/>
    <w:rsid w:val="00D67898"/>
    <w:rsid w:val="00D67F29"/>
    <w:rsid w:val="00D7004F"/>
    <w:rsid w:val="00D70394"/>
    <w:rsid w:val="00D704E5"/>
    <w:rsid w:val="00D705AA"/>
    <w:rsid w:val="00D707B0"/>
    <w:rsid w:val="00D71707"/>
    <w:rsid w:val="00D717F3"/>
    <w:rsid w:val="00D7191B"/>
    <w:rsid w:val="00D71B9F"/>
    <w:rsid w:val="00D71EF8"/>
    <w:rsid w:val="00D72002"/>
    <w:rsid w:val="00D72711"/>
    <w:rsid w:val="00D72727"/>
    <w:rsid w:val="00D72880"/>
    <w:rsid w:val="00D72B5D"/>
    <w:rsid w:val="00D72BB3"/>
    <w:rsid w:val="00D72E3D"/>
    <w:rsid w:val="00D72E53"/>
    <w:rsid w:val="00D73404"/>
    <w:rsid w:val="00D73543"/>
    <w:rsid w:val="00D737C5"/>
    <w:rsid w:val="00D7383F"/>
    <w:rsid w:val="00D73A90"/>
    <w:rsid w:val="00D74170"/>
    <w:rsid w:val="00D745E4"/>
    <w:rsid w:val="00D74635"/>
    <w:rsid w:val="00D746B6"/>
    <w:rsid w:val="00D7486C"/>
    <w:rsid w:val="00D7496E"/>
    <w:rsid w:val="00D74ADC"/>
    <w:rsid w:val="00D74C10"/>
    <w:rsid w:val="00D74C96"/>
    <w:rsid w:val="00D74DBF"/>
    <w:rsid w:val="00D74F94"/>
    <w:rsid w:val="00D750EB"/>
    <w:rsid w:val="00D7511E"/>
    <w:rsid w:val="00D75285"/>
    <w:rsid w:val="00D753D1"/>
    <w:rsid w:val="00D756AC"/>
    <w:rsid w:val="00D756D8"/>
    <w:rsid w:val="00D75906"/>
    <w:rsid w:val="00D75C2B"/>
    <w:rsid w:val="00D762E9"/>
    <w:rsid w:val="00D764B8"/>
    <w:rsid w:val="00D76676"/>
    <w:rsid w:val="00D767A1"/>
    <w:rsid w:val="00D7687E"/>
    <w:rsid w:val="00D76925"/>
    <w:rsid w:val="00D76C39"/>
    <w:rsid w:val="00D76CBC"/>
    <w:rsid w:val="00D76D34"/>
    <w:rsid w:val="00D771FC"/>
    <w:rsid w:val="00D77398"/>
    <w:rsid w:val="00D779D3"/>
    <w:rsid w:val="00D80333"/>
    <w:rsid w:val="00D804A7"/>
    <w:rsid w:val="00D8094A"/>
    <w:rsid w:val="00D80F4E"/>
    <w:rsid w:val="00D81507"/>
    <w:rsid w:val="00D81730"/>
    <w:rsid w:val="00D82091"/>
    <w:rsid w:val="00D82135"/>
    <w:rsid w:val="00D8262F"/>
    <w:rsid w:val="00D82ADD"/>
    <w:rsid w:val="00D82D8E"/>
    <w:rsid w:val="00D82F98"/>
    <w:rsid w:val="00D82FD6"/>
    <w:rsid w:val="00D830A0"/>
    <w:rsid w:val="00D83231"/>
    <w:rsid w:val="00D8354F"/>
    <w:rsid w:val="00D83E96"/>
    <w:rsid w:val="00D83EA8"/>
    <w:rsid w:val="00D84180"/>
    <w:rsid w:val="00D842C7"/>
    <w:rsid w:val="00D845A5"/>
    <w:rsid w:val="00D84736"/>
    <w:rsid w:val="00D848CF"/>
    <w:rsid w:val="00D84BB8"/>
    <w:rsid w:val="00D84F77"/>
    <w:rsid w:val="00D851C3"/>
    <w:rsid w:val="00D85225"/>
    <w:rsid w:val="00D85798"/>
    <w:rsid w:val="00D85805"/>
    <w:rsid w:val="00D858DF"/>
    <w:rsid w:val="00D8599E"/>
    <w:rsid w:val="00D85B91"/>
    <w:rsid w:val="00D85C3A"/>
    <w:rsid w:val="00D85F71"/>
    <w:rsid w:val="00D86104"/>
    <w:rsid w:val="00D869DD"/>
    <w:rsid w:val="00D86FC3"/>
    <w:rsid w:val="00D873E4"/>
    <w:rsid w:val="00D8766B"/>
    <w:rsid w:val="00D876C6"/>
    <w:rsid w:val="00D87770"/>
    <w:rsid w:val="00D87F15"/>
    <w:rsid w:val="00D9042E"/>
    <w:rsid w:val="00D905E9"/>
    <w:rsid w:val="00D907D5"/>
    <w:rsid w:val="00D90959"/>
    <w:rsid w:val="00D9096B"/>
    <w:rsid w:val="00D90A2E"/>
    <w:rsid w:val="00D90B2D"/>
    <w:rsid w:val="00D90CE9"/>
    <w:rsid w:val="00D911B1"/>
    <w:rsid w:val="00D9192F"/>
    <w:rsid w:val="00D9193C"/>
    <w:rsid w:val="00D91952"/>
    <w:rsid w:val="00D91A28"/>
    <w:rsid w:val="00D91E8C"/>
    <w:rsid w:val="00D92096"/>
    <w:rsid w:val="00D921A4"/>
    <w:rsid w:val="00D9223B"/>
    <w:rsid w:val="00D92678"/>
    <w:rsid w:val="00D926BF"/>
    <w:rsid w:val="00D9281F"/>
    <w:rsid w:val="00D92957"/>
    <w:rsid w:val="00D92B28"/>
    <w:rsid w:val="00D92E47"/>
    <w:rsid w:val="00D92F3C"/>
    <w:rsid w:val="00D92FB2"/>
    <w:rsid w:val="00D931EB"/>
    <w:rsid w:val="00D93313"/>
    <w:rsid w:val="00D93964"/>
    <w:rsid w:val="00D93D27"/>
    <w:rsid w:val="00D93D42"/>
    <w:rsid w:val="00D9421A"/>
    <w:rsid w:val="00D94248"/>
    <w:rsid w:val="00D94307"/>
    <w:rsid w:val="00D9462E"/>
    <w:rsid w:val="00D94A28"/>
    <w:rsid w:val="00D94C1D"/>
    <w:rsid w:val="00D94FA8"/>
    <w:rsid w:val="00D95229"/>
    <w:rsid w:val="00D957A4"/>
    <w:rsid w:val="00D95B51"/>
    <w:rsid w:val="00D96224"/>
    <w:rsid w:val="00D96788"/>
    <w:rsid w:val="00D9682F"/>
    <w:rsid w:val="00D96F30"/>
    <w:rsid w:val="00D9725F"/>
    <w:rsid w:val="00D97540"/>
    <w:rsid w:val="00D97548"/>
    <w:rsid w:val="00D97809"/>
    <w:rsid w:val="00D978C6"/>
    <w:rsid w:val="00DA003B"/>
    <w:rsid w:val="00DA0166"/>
    <w:rsid w:val="00DA01C3"/>
    <w:rsid w:val="00DA0590"/>
    <w:rsid w:val="00DA066F"/>
    <w:rsid w:val="00DA0744"/>
    <w:rsid w:val="00DA088B"/>
    <w:rsid w:val="00DA0956"/>
    <w:rsid w:val="00DA0C46"/>
    <w:rsid w:val="00DA0D62"/>
    <w:rsid w:val="00DA10AC"/>
    <w:rsid w:val="00DA1AA8"/>
    <w:rsid w:val="00DA1B8A"/>
    <w:rsid w:val="00DA1C0F"/>
    <w:rsid w:val="00DA1CAA"/>
    <w:rsid w:val="00DA1F32"/>
    <w:rsid w:val="00DA20FB"/>
    <w:rsid w:val="00DA232A"/>
    <w:rsid w:val="00DA2617"/>
    <w:rsid w:val="00DA2D9A"/>
    <w:rsid w:val="00DA3002"/>
    <w:rsid w:val="00DA34C2"/>
    <w:rsid w:val="00DA357F"/>
    <w:rsid w:val="00DA395E"/>
    <w:rsid w:val="00DA3DB3"/>
    <w:rsid w:val="00DA3E12"/>
    <w:rsid w:val="00DA3E60"/>
    <w:rsid w:val="00DA4212"/>
    <w:rsid w:val="00DA421D"/>
    <w:rsid w:val="00DA43C0"/>
    <w:rsid w:val="00DA4584"/>
    <w:rsid w:val="00DA49DE"/>
    <w:rsid w:val="00DA4DF1"/>
    <w:rsid w:val="00DA51C2"/>
    <w:rsid w:val="00DA51F5"/>
    <w:rsid w:val="00DA52D6"/>
    <w:rsid w:val="00DA547F"/>
    <w:rsid w:val="00DA5717"/>
    <w:rsid w:val="00DA5743"/>
    <w:rsid w:val="00DA57B1"/>
    <w:rsid w:val="00DA5AB1"/>
    <w:rsid w:val="00DA5C28"/>
    <w:rsid w:val="00DA5C33"/>
    <w:rsid w:val="00DA5CE9"/>
    <w:rsid w:val="00DA5E80"/>
    <w:rsid w:val="00DA639C"/>
    <w:rsid w:val="00DA678F"/>
    <w:rsid w:val="00DA682F"/>
    <w:rsid w:val="00DA693B"/>
    <w:rsid w:val="00DA6A69"/>
    <w:rsid w:val="00DA6AF3"/>
    <w:rsid w:val="00DA74C0"/>
    <w:rsid w:val="00DA77D4"/>
    <w:rsid w:val="00DA788D"/>
    <w:rsid w:val="00DA7E0A"/>
    <w:rsid w:val="00DA7E8E"/>
    <w:rsid w:val="00DA7EA0"/>
    <w:rsid w:val="00DB041E"/>
    <w:rsid w:val="00DB06C9"/>
    <w:rsid w:val="00DB0776"/>
    <w:rsid w:val="00DB098F"/>
    <w:rsid w:val="00DB0D5A"/>
    <w:rsid w:val="00DB1279"/>
    <w:rsid w:val="00DB1313"/>
    <w:rsid w:val="00DB158F"/>
    <w:rsid w:val="00DB1642"/>
    <w:rsid w:val="00DB165A"/>
    <w:rsid w:val="00DB1C9C"/>
    <w:rsid w:val="00DB1E4A"/>
    <w:rsid w:val="00DB2199"/>
    <w:rsid w:val="00DB22AD"/>
    <w:rsid w:val="00DB23F2"/>
    <w:rsid w:val="00DB2445"/>
    <w:rsid w:val="00DB252B"/>
    <w:rsid w:val="00DB25C8"/>
    <w:rsid w:val="00DB2833"/>
    <w:rsid w:val="00DB2908"/>
    <w:rsid w:val="00DB296B"/>
    <w:rsid w:val="00DB370B"/>
    <w:rsid w:val="00DB3801"/>
    <w:rsid w:val="00DB3838"/>
    <w:rsid w:val="00DB3A7C"/>
    <w:rsid w:val="00DB3B4A"/>
    <w:rsid w:val="00DB3BA3"/>
    <w:rsid w:val="00DB3E3B"/>
    <w:rsid w:val="00DB3FDC"/>
    <w:rsid w:val="00DB4247"/>
    <w:rsid w:val="00DB442C"/>
    <w:rsid w:val="00DB4E87"/>
    <w:rsid w:val="00DB4F0D"/>
    <w:rsid w:val="00DB5126"/>
    <w:rsid w:val="00DB538B"/>
    <w:rsid w:val="00DB54AC"/>
    <w:rsid w:val="00DB56B9"/>
    <w:rsid w:val="00DB5968"/>
    <w:rsid w:val="00DB5A49"/>
    <w:rsid w:val="00DB5F29"/>
    <w:rsid w:val="00DB6486"/>
    <w:rsid w:val="00DB66E6"/>
    <w:rsid w:val="00DB6757"/>
    <w:rsid w:val="00DB6798"/>
    <w:rsid w:val="00DB67F5"/>
    <w:rsid w:val="00DB6D10"/>
    <w:rsid w:val="00DB7675"/>
    <w:rsid w:val="00DB79FD"/>
    <w:rsid w:val="00DB7DA7"/>
    <w:rsid w:val="00DB7F6D"/>
    <w:rsid w:val="00DC0C4D"/>
    <w:rsid w:val="00DC0CBB"/>
    <w:rsid w:val="00DC0DDC"/>
    <w:rsid w:val="00DC0E22"/>
    <w:rsid w:val="00DC1261"/>
    <w:rsid w:val="00DC156B"/>
    <w:rsid w:val="00DC18AD"/>
    <w:rsid w:val="00DC1A00"/>
    <w:rsid w:val="00DC1A1F"/>
    <w:rsid w:val="00DC2002"/>
    <w:rsid w:val="00DC2099"/>
    <w:rsid w:val="00DC24B9"/>
    <w:rsid w:val="00DC264F"/>
    <w:rsid w:val="00DC2B03"/>
    <w:rsid w:val="00DC2D4F"/>
    <w:rsid w:val="00DC2FD3"/>
    <w:rsid w:val="00DC338F"/>
    <w:rsid w:val="00DC33E1"/>
    <w:rsid w:val="00DC3B7A"/>
    <w:rsid w:val="00DC3E39"/>
    <w:rsid w:val="00DC3FB5"/>
    <w:rsid w:val="00DC404B"/>
    <w:rsid w:val="00DC41B7"/>
    <w:rsid w:val="00DC41C5"/>
    <w:rsid w:val="00DC4434"/>
    <w:rsid w:val="00DC4437"/>
    <w:rsid w:val="00DC4562"/>
    <w:rsid w:val="00DC4871"/>
    <w:rsid w:val="00DC4924"/>
    <w:rsid w:val="00DC4A61"/>
    <w:rsid w:val="00DC4B36"/>
    <w:rsid w:val="00DC4BBF"/>
    <w:rsid w:val="00DC4CA9"/>
    <w:rsid w:val="00DC4EB0"/>
    <w:rsid w:val="00DC519A"/>
    <w:rsid w:val="00DC54EC"/>
    <w:rsid w:val="00DC59A1"/>
    <w:rsid w:val="00DC5B74"/>
    <w:rsid w:val="00DC6177"/>
    <w:rsid w:val="00DC6615"/>
    <w:rsid w:val="00DC6B2B"/>
    <w:rsid w:val="00DC6B2E"/>
    <w:rsid w:val="00DC6C9D"/>
    <w:rsid w:val="00DC6CC1"/>
    <w:rsid w:val="00DC75AC"/>
    <w:rsid w:val="00DC78DA"/>
    <w:rsid w:val="00DC7C05"/>
    <w:rsid w:val="00DC7E79"/>
    <w:rsid w:val="00DC7EC2"/>
    <w:rsid w:val="00DC7EE9"/>
    <w:rsid w:val="00DC7F39"/>
    <w:rsid w:val="00DD023C"/>
    <w:rsid w:val="00DD0650"/>
    <w:rsid w:val="00DD081F"/>
    <w:rsid w:val="00DD08B6"/>
    <w:rsid w:val="00DD0911"/>
    <w:rsid w:val="00DD09EF"/>
    <w:rsid w:val="00DD1216"/>
    <w:rsid w:val="00DD1322"/>
    <w:rsid w:val="00DD133C"/>
    <w:rsid w:val="00DD157C"/>
    <w:rsid w:val="00DD1593"/>
    <w:rsid w:val="00DD1743"/>
    <w:rsid w:val="00DD17D9"/>
    <w:rsid w:val="00DD18E0"/>
    <w:rsid w:val="00DD1931"/>
    <w:rsid w:val="00DD19F2"/>
    <w:rsid w:val="00DD1DB4"/>
    <w:rsid w:val="00DD2228"/>
    <w:rsid w:val="00DD2348"/>
    <w:rsid w:val="00DD25D7"/>
    <w:rsid w:val="00DD25F8"/>
    <w:rsid w:val="00DD2683"/>
    <w:rsid w:val="00DD2903"/>
    <w:rsid w:val="00DD2A48"/>
    <w:rsid w:val="00DD2CA1"/>
    <w:rsid w:val="00DD2D2E"/>
    <w:rsid w:val="00DD3540"/>
    <w:rsid w:val="00DD363E"/>
    <w:rsid w:val="00DD37BD"/>
    <w:rsid w:val="00DD3B5C"/>
    <w:rsid w:val="00DD3CEB"/>
    <w:rsid w:val="00DD3D96"/>
    <w:rsid w:val="00DD3F3A"/>
    <w:rsid w:val="00DD4120"/>
    <w:rsid w:val="00DD42A2"/>
    <w:rsid w:val="00DD4336"/>
    <w:rsid w:val="00DD45F2"/>
    <w:rsid w:val="00DD47FC"/>
    <w:rsid w:val="00DD4A1E"/>
    <w:rsid w:val="00DD4C4C"/>
    <w:rsid w:val="00DD4C64"/>
    <w:rsid w:val="00DD4D34"/>
    <w:rsid w:val="00DD52B6"/>
    <w:rsid w:val="00DD5355"/>
    <w:rsid w:val="00DD5505"/>
    <w:rsid w:val="00DD571F"/>
    <w:rsid w:val="00DD589F"/>
    <w:rsid w:val="00DD5B17"/>
    <w:rsid w:val="00DD5B4A"/>
    <w:rsid w:val="00DD5E87"/>
    <w:rsid w:val="00DD6138"/>
    <w:rsid w:val="00DD62A8"/>
    <w:rsid w:val="00DD6A4D"/>
    <w:rsid w:val="00DD6B22"/>
    <w:rsid w:val="00DD6C44"/>
    <w:rsid w:val="00DD7102"/>
    <w:rsid w:val="00DD7256"/>
    <w:rsid w:val="00DD7513"/>
    <w:rsid w:val="00DD76C5"/>
    <w:rsid w:val="00DD7781"/>
    <w:rsid w:val="00DD7953"/>
    <w:rsid w:val="00DD7AF8"/>
    <w:rsid w:val="00DD7B65"/>
    <w:rsid w:val="00DD7ED2"/>
    <w:rsid w:val="00DD7F9E"/>
    <w:rsid w:val="00DE01AD"/>
    <w:rsid w:val="00DE0324"/>
    <w:rsid w:val="00DE03E5"/>
    <w:rsid w:val="00DE04F6"/>
    <w:rsid w:val="00DE06CB"/>
    <w:rsid w:val="00DE0819"/>
    <w:rsid w:val="00DE0C0D"/>
    <w:rsid w:val="00DE0D34"/>
    <w:rsid w:val="00DE1055"/>
    <w:rsid w:val="00DE1198"/>
    <w:rsid w:val="00DE1570"/>
    <w:rsid w:val="00DE1B98"/>
    <w:rsid w:val="00DE1D42"/>
    <w:rsid w:val="00DE1F4D"/>
    <w:rsid w:val="00DE24F5"/>
    <w:rsid w:val="00DE2A8D"/>
    <w:rsid w:val="00DE2C73"/>
    <w:rsid w:val="00DE2E5C"/>
    <w:rsid w:val="00DE30F8"/>
    <w:rsid w:val="00DE3251"/>
    <w:rsid w:val="00DE3567"/>
    <w:rsid w:val="00DE3728"/>
    <w:rsid w:val="00DE3A40"/>
    <w:rsid w:val="00DE3C0F"/>
    <w:rsid w:val="00DE3E2A"/>
    <w:rsid w:val="00DE3E61"/>
    <w:rsid w:val="00DE4092"/>
    <w:rsid w:val="00DE44DE"/>
    <w:rsid w:val="00DE4A55"/>
    <w:rsid w:val="00DE4BC3"/>
    <w:rsid w:val="00DE4C15"/>
    <w:rsid w:val="00DE4D55"/>
    <w:rsid w:val="00DE4F92"/>
    <w:rsid w:val="00DE576D"/>
    <w:rsid w:val="00DE6735"/>
    <w:rsid w:val="00DE6975"/>
    <w:rsid w:val="00DE6AF6"/>
    <w:rsid w:val="00DE6B75"/>
    <w:rsid w:val="00DE6E49"/>
    <w:rsid w:val="00DE6FBF"/>
    <w:rsid w:val="00DE6FDD"/>
    <w:rsid w:val="00DE772E"/>
    <w:rsid w:val="00DE7755"/>
    <w:rsid w:val="00DE7A6B"/>
    <w:rsid w:val="00DE7A9B"/>
    <w:rsid w:val="00DE7AAC"/>
    <w:rsid w:val="00DE7F1D"/>
    <w:rsid w:val="00DF0620"/>
    <w:rsid w:val="00DF0648"/>
    <w:rsid w:val="00DF07BD"/>
    <w:rsid w:val="00DF0E13"/>
    <w:rsid w:val="00DF0E3A"/>
    <w:rsid w:val="00DF11A2"/>
    <w:rsid w:val="00DF12CD"/>
    <w:rsid w:val="00DF15D0"/>
    <w:rsid w:val="00DF1877"/>
    <w:rsid w:val="00DF1887"/>
    <w:rsid w:val="00DF1C90"/>
    <w:rsid w:val="00DF1DAA"/>
    <w:rsid w:val="00DF1FDB"/>
    <w:rsid w:val="00DF26F9"/>
    <w:rsid w:val="00DF272F"/>
    <w:rsid w:val="00DF29BD"/>
    <w:rsid w:val="00DF2BA2"/>
    <w:rsid w:val="00DF2DB7"/>
    <w:rsid w:val="00DF322B"/>
    <w:rsid w:val="00DF3571"/>
    <w:rsid w:val="00DF3986"/>
    <w:rsid w:val="00DF3AC3"/>
    <w:rsid w:val="00DF3D75"/>
    <w:rsid w:val="00DF3DCB"/>
    <w:rsid w:val="00DF3FC2"/>
    <w:rsid w:val="00DF424A"/>
    <w:rsid w:val="00DF4399"/>
    <w:rsid w:val="00DF4F6A"/>
    <w:rsid w:val="00DF5044"/>
    <w:rsid w:val="00DF5386"/>
    <w:rsid w:val="00DF56AA"/>
    <w:rsid w:val="00DF56C9"/>
    <w:rsid w:val="00DF5844"/>
    <w:rsid w:val="00DF5967"/>
    <w:rsid w:val="00DF59CB"/>
    <w:rsid w:val="00DF5FC2"/>
    <w:rsid w:val="00DF6035"/>
    <w:rsid w:val="00DF60CA"/>
    <w:rsid w:val="00DF6390"/>
    <w:rsid w:val="00DF63C2"/>
    <w:rsid w:val="00DF6BF9"/>
    <w:rsid w:val="00DF71FA"/>
    <w:rsid w:val="00DF7329"/>
    <w:rsid w:val="00DF74DC"/>
    <w:rsid w:val="00DF771B"/>
    <w:rsid w:val="00DF78DF"/>
    <w:rsid w:val="00DF7CAE"/>
    <w:rsid w:val="00DF7D29"/>
    <w:rsid w:val="00DF7E89"/>
    <w:rsid w:val="00DF7EB0"/>
    <w:rsid w:val="00E001BB"/>
    <w:rsid w:val="00E00259"/>
    <w:rsid w:val="00E00373"/>
    <w:rsid w:val="00E003AD"/>
    <w:rsid w:val="00E00425"/>
    <w:rsid w:val="00E007D8"/>
    <w:rsid w:val="00E00CF7"/>
    <w:rsid w:val="00E0115D"/>
    <w:rsid w:val="00E012A7"/>
    <w:rsid w:val="00E0154F"/>
    <w:rsid w:val="00E01573"/>
    <w:rsid w:val="00E01590"/>
    <w:rsid w:val="00E01645"/>
    <w:rsid w:val="00E01A0A"/>
    <w:rsid w:val="00E01C6F"/>
    <w:rsid w:val="00E02038"/>
    <w:rsid w:val="00E02344"/>
    <w:rsid w:val="00E02523"/>
    <w:rsid w:val="00E02555"/>
    <w:rsid w:val="00E027C4"/>
    <w:rsid w:val="00E02859"/>
    <w:rsid w:val="00E02A77"/>
    <w:rsid w:val="00E02B91"/>
    <w:rsid w:val="00E02FCC"/>
    <w:rsid w:val="00E03103"/>
    <w:rsid w:val="00E0310F"/>
    <w:rsid w:val="00E034E9"/>
    <w:rsid w:val="00E03FD2"/>
    <w:rsid w:val="00E0482A"/>
    <w:rsid w:val="00E0492A"/>
    <w:rsid w:val="00E04BA7"/>
    <w:rsid w:val="00E04DA1"/>
    <w:rsid w:val="00E0505A"/>
    <w:rsid w:val="00E05270"/>
    <w:rsid w:val="00E052CD"/>
    <w:rsid w:val="00E057BC"/>
    <w:rsid w:val="00E05B8A"/>
    <w:rsid w:val="00E05F2D"/>
    <w:rsid w:val="00E06095"/>
    <w:rsid w:val="00E060F9"/>
    <w:rsid w:val="00E06653"/>
    <w:rsid w:val="00E06AE6"/>
    <w:rsid w:val="00E06BA5"/>
    <w:rsid w:val="00E06C91"/>
    <w:rsid w:val="00E06E86"/>
    <w:rsid w:val="00E07029"/>
    <w:rsid w:val="00E070F8"/>
    <w:rsid w:val="00E072FD"/>
    <w:rsid w:val="00E0736F"/>
    <w:rsid w:val="00E07A0E"/>
    <w:rsid w:val="00E07DA5"/>
    <w:rsid w:val="00E10005"/>
    <w:rsid w:val="00E10457"/>
    <w:rsid w:val="00E10462"/>
    <w:rsid w:val="00E10465"/>
    <w:rsid w:val="00E108FF"/>
    <w:rsid w:val="00E110BF"/>
    <w:rsid w:val="00E11509"/>
    <w:rsid w:val="00E11685"/>
    <w:rsid w:val="00E118F6"/>
    <w:rsid w:val="00E1190E"/>
    <w:rsid w:val="00E11ADF"/>
    <w:rsid w:val="00E11F5E"/>
    <w:rsid w:val="00E12190"/>
    <w:rsid w:val="00E123AF"/>
    <w:rsid w:val="00E12721"/>
    <w:rsid w:val="00E12B58"/>
    <w:rsid w:val="00E12F73"/>
    <w:rsid w:val="00E13286"/>
    <w:rsid w:val="00E13598"/>
    <w:rsid w:val="00E1365F"/>
    <w:rsid w:val="00E1371F"/>
    <w:rsid w:val="00E137F7"/>
    <w:rsid w:val="00E13AA4"/>
    <w:rsid w:val="00E13B6B"/>
    <w:rsid w:val="00E13CDD"/>
    <w:rsid w:val="00E13D99"/>
    <w:rsid w:val="00E13EFA"/>
    <w:rsid w:val="00E1440B"/>
    <w:rsid w:val="00E14518"/>
    <w:rsid w:val="00E14930"/>
    <w:rsid w:val="00E14A23"/>
    <w:rsid w:val="00E15680"/>
    <w:rsid w:val="00E156F9"/>
    <w:rsid w:val="00E15918"/>
    <w:rsid w:val="00E159BF"/>
    <w:rsid w:val="00E15CBA"/>
    <w:rsid w:val="00E15E67"/>
    <w:rsid w:val="00E15E6B"/>
    <w:rsid w:val="00E15ED5"/>
    <w:rsid w:val="00E161DC"/>
    <w:rsid w:val="00E16435"/>
    <w:rsid w:val="00E165F0"/>
    <w:rsid w:val="00E16643"/>
    <w:rsid w:val="00E16694"/>
    <w:rsid w:val="00E16850"/>
    <w:rsid w:val="00E16A55"/>
    <w:rsid w:val="00E16AA1"/>
    <w:rsid w:val="00E16B88"/>
    <w:rsid w:val="00E16DB9"/>
    <w:rsid w:val="00E16FA6"/>
    <w:rsid w:val="00E17161"/>
    <w:rsid w:val="00E171D0"/>
    <w:rsid w:val="00E1740A"/>
    <w:rsid w:val="00E174A5"/>
    <w:rsid w:val="00E17CA6"/>
    <w:rsid w:val="00E17E2D"/>
    <w:rsid w:val="00E2019F"/>
    <w:rsid w:val="00E2037A"/>
    <w:rsid w:val="00E20799"/>
    <w:rsid w:val="00E208A2"/>
    <w:rsid w:val="00E20A0F"/>
    <w:rsid w:val="00E20A84"/>
    <w:rsid w:val="00E20D62"/>
    <w:rsid w:val="00E20D7E"/>
    <w:rsid w:val="00E21193"/>
    <w:rsid w:val="00E212BE"/>
    <w:rsid w:val="00E213A8"/>
    <w:rsid w:val="00E213E2"/>
    <w:rsid w:val="00E21837"/>
    <w:rsid w:val="00E218E6"/>
    <w:rsid w:val="00E21F60"/>
    <w:rsid w:val="00E21F68"/>
    <w:rsid w:val="00E2200E"/>
    <w:rsid w:val="00E22357"/>
    <w:rsid w:val="00E22739"/>
    <w:rsid w:val="00E22BB1"/>
    <w:rsid w:val="00E22E32"/>
    <w:rsid w:val="00E22F6A"/>
    <w:rsid w:val="00E23A50"/>
    <w:rsid w:val="00E247E2"/>
    <w:rsid w:val="00E24920"/>
    <w:rsid w:val="00E24BED"/>
    <w:rsid w:val="00E24F3F"/>
    <w:rsid w:val="00E250E9"/>
    <w:rsid w:val="00E25245"/>
    <w:rsid w:val="00E25522"/>
    <w:rsid w:val="00E26375"/>
    <w:rsid w:val="00E263F8"/>
    <w:rsid w:val="00E2668F"/>
    <w:rsid w:val="00E269BB"/>
    <w:rsid w:val="00E26C92"/>
    <w:rsid w:val="00E26CE4"/>
    <w:rsid w:val="00E272F9"/>
    <w:rsid w:val="00E27641"/>
    <w:rsid w:val="00E27A8F"/>
    <w:rsid w:val="00E27C1A"/>
    <w:rsid w:val="00E27CB6"/>
    <w:rsid w:val="00E30CC6"/>
    <w:rsid w:val="00E3111E"/>
    <w:rsid w:val="00E31603"/>
    <w:rsid w:val="00E3164C"/>
    <w:rsid w:val="00E31851"/>
    <w:rsid w:val="00E31CB7"/>
    <w:rsid w:val="00E31DAA"/>
    <w:rsid w:val="00E31FD8"/>
    <w:rsid w:val="00E32249"/>
    <w:rsid w:val="00E325A4"/>
    <w:rsid w:val="00E326B4"/>
    <w:rsid w:val="00E327D0"/>
    <w:rsid w:val="00E329AE"/>
    <w:rsid w:val="00E32BBC"/>
    <w:rsid w:val="00E32D4B"/>
    <w:rsid w:val="00E32FB1"/>
    <w:rsid w:val="00E3366E"/>
    <w:rsid w:val="00E3375A"/>
    <w:rsid w:val="00E33B05"/>
    <w:rsid w:val="00E33BD6"/>
    <w:rsid w:val="00E33D01"/>
    <w:rsid w:val="00E33D2F"/>
    <w:rsid w:val="00E340D8"/>
    <w:rsid w:val="00E3441A"/>
    <w:rsid w:val="00E34424"/>
    <w:rsid w:val="00E3459F"/>
    <w:rsid w:val="00E346A0"/>
    <w:rsid w:val="00E3497C"/>
    <w:rsid w:val="00E34B77"/>
    <w:rsid w:val="00E34DA6"/>
    <w:rsid w:val="00E34EAE"/>
    <w:rsid w:val="00E35220"/>
    <w:rsid w:val="00E35298"/>
    <w:rsid w:val="00E3573C"/>
    <w:rsid w:val="00E357A7"/>
    <w:rsid w:val="00E35A52"/>
    <w:rsid w:val="00E36007"/>
    <w:rsid w:val="00E361C7"/>
    <w:rsid w:val="00E36221"/>
    <w:rsid w:val="00E36348"/>
    <w:rsid w:val="00E36449"/>
    <w:rsid w:val="00E36853"/>
    <w:rsid w:val="00E36C41"/>
    <w:rsid w:val="00E36D73"/>
    <w:rsid w:val="00E36D82"/>
    <w:rsid w:val="00E37040"/>
    <w:rsid w:val="00E370C3"/>
    <w:rsid w:val="00E371B6"/>
    <w:rsid w:val="00E371E2"/>
    <w:rsid w:val="00E379EA"/>
    <w:rsid w:val="00E37D6C"/>
    <w:rsid w:val="00E37DCA"/>
    <w:rsid w:val="00E40049"/>
    <w:rsid w:val="00E40133"/>
    <w:rsid w:val="00E40223"/>
    <w:rsid w:val="00E40435"/>
    <w:rsid w:val="00E40670"/>
    <w:rsid w:val="00E40685"/>
    <w:rsid w:val="00E4079E"/>
    <w:rsid w:val="00E407B4"/>
    <w:rsid w:val="00E40EE1"/>
    <w:rsid w:val="00E40F28"/>
    <w:rsid w:val="00E40F4D"/>
    <w:rsid w:val="00E4112D"/>
    <w:rsid w:val="00E4115C"/>
    <w:rsid w:val="00E411B3"/>
    <w:rsid w:val="00E414A1"/>
    <w:rsid w:val="00E414EC"/>
    <w:rsid w:val="00E414F7"/>
    <w:rsid w:val="00E418FC"/>
    <w:rsid w:val="00E4198F"/>
    <w:rsid w:val="00E41AE8"/>
    <w:rsid w:val="00E41EB6"/>
    <w:rsid w:val="00E422D8"/>
    <w:rsid w:val="00E42367"/>
    <w:rsid w:val="00E423C0"/>
    <w:rsid w:val="00E424DC"/>
    <w:rsid w:val="00E4265F"/>
    <w:rsid w:val="00E4295A"/>
    <w:rsid w:val="00E42AF0"/>
    <w:rsid w:val="00E42C04"/>
    <w:rsid w:val="00E42CA8"/>
    <w:rsid w:val="00E42EA8"/>
    <w:rsid w:val="00E42FE8"/>
    <w:rsid w:val="00E43017"/>
    <w:rsid w:val="00E4340D"/>
    <w:rsid w:val="00E4369B"/>
    <w:rsid w:val="00E43A63"/>
    <w:rsid w:val="00E43B23"/>
    <w:rsid w:val="00E44008"/>
    <w:rsid w:val="00E443A0"/>
    <w:rsid w:val="00E44478"/>
    <w:rsid w:val="00E44709"/>
    <w:rsid w:val="00E44C10"/>
    <w:rsid w:val="00E44E02"/>
    <w:rsid w:val="00E45271"/>
    <w:rsid w:val="00E4573C"/>
    <w:rsid w:val="00E45887"/>
    <w:rsid w:val="00E45CEB"/>
    <w:rsid w:val="00E45D63"/>
    <w:rsid w:val="00E45F4F"/>
    <w:rsid w:val="00E45F56"/>
    <w:rsid w:val="00E45F68"/>
    <w:rsid w:val="00E46017"/>
    <w:rsid w:val="00E460C2"/>
    <w:rsid w:val="00E46F1A"/>
    <w:rsid w:val="00E4706C"/>
    <w:rsid w:val="00E4731D"/>
    <w:rsid w:val="00E47484"/>
    <w:rsid w:val="00E47E5E"/>
    <w:rsid w:val="00E47FFC"/>
    <w:rsid w:val="00E50142"/>
    <w:rsid w:val="00E501F1"/>
    <w:rsid w:val="00E504F3"/>
    <w:rsid w:val="00E50558"/>
    <w:rsid w:val="00E505C0"/>
    <w:rsid w:val="00E506BC"/>
    <w:rsid w:val="00E50982"/>
    <w:rsid w:val="00E5098B"/>
    <w:rsid w:val="00E50E66"/>
    <w:rsid w:val="00E512A3"/>
    <w:rsid w:val="00E51470"/>
    <w:rsid w:val="00E51576"/>
    <w:rsid w:val="00E51C78"/>
    <w:rsid w:val="00E51EA4"/>
    <w:rsid w:val="00E528E2"/>
    <w:rsid w:val="00E5317D"/>
    <w:rsid w:val="00E5319D"/>
    <w:rsid w:val="00E531D2"/>
    <w:rsid w:val="00E534D3"/>
    <w:rsid w:val="00E5364A"/>
    <w:rsid w:val="00E53709"/>
    <w:rsid w:val="00E53AB7"/>
    <w:rsid w:val="00E53F9B"/>
    <w:rsid w:val="00E54194"/>
    <w:rsid w:val="00E544D7"/>
    <w:rsid w:val="00E5454E"/>
    <w:rsid w:val="00E5465E"/>
    <w:rsid w:val="00E54B92"/>
    <w:rsid w:val="00E54BCE"/>
    <w:rsid w:val="00E54DDD"/>
    <w:rsid w:val="00E5526C"/>
    <w:rsid w:val="00E55460"/>
    <w:rsid w:val="00E55633"/>
    <w:rsid w:val="00E557D3"/>
    <w:rsid w:val="00E558A9"/>
    <w:rsid w:val="00E55F5B"/>
    <w:rsid w:val="00E55FF4"/>
    <w:rsid w:val="00E56CD4"/>
    <w:rsid w:val="00E57054"/>
    <w:rsid w:val="00E571E2"/>
    <w:rsid w:val="00E57AB2"/>
    <w:rsid w:val="00E57CCB"/>
    <w:rsid w:val="00E57EDC"/>
    <w:rsid w:val="00E60129"/>
    <w:rsid w:val="00E60296"/>
    <w:rsid w:val="00E60998"/>
    <w:rsid w:val="00E60A58"/>
    <w:rsid w:val="00E610F2"/>
    <w:rsid w:val="00E6145B"/>
    <w:rsid w:val="00E615E8"/>
    <w:rsid w:val="00E618A7"/>
    <w:rsid w:val="00E61FFC"/>
    <w:rsid w:val="00E6262E"/>
    <w:rsid w:val="00E6293E"/>
    <w:rsid w:val="00E6296F"/>
    <w:rsid w:val="00E630AB"/>
    <w:rsid w:val="00E63107"/>
    <w:rsid w:val="00E63125"/>
    <w:rsid w:val="00E63256"/>
    <w:rsid w:val="00E63B93"/>
    <w:rsid w:val="00E63C0E"/>
    <w:rsid w:val="00E63E98"/>
    <w:rsid w:val="00E64070"/>
    <w:rsid w:val="00E6414C"/>
    <w:rsid w:val="00E643A0"/>
    <w:rsid w:val="00E645C7"/>
    <w:rsid w:val="00E64740"/>
    <w:rsid w:val="00E64E78"/>
    <w:rsid w:val="00E64F37"/>
    <w:rsid w:val="00E6525D"/>
    <w:rsid w:val="00E65D7D"/>
    <w:rsid w:val="00E663A9"/>
    <w:rsid w:val="00E66703"/>
    <w:rsid w:val="00E66E29"/>
    <w:rsid w:val="00E66F9B"/>
    <w:rsid w:val="00E67026"/>
    <w:rsid w:val="00E670AD"/>
    <w:rsid w:val="00E671CE"/>
    <w:rsid w:val="00E6728A"/>
    <w:rsid w:val="00E6793E"/>
    <w:rsid w:val="00E67CDF"/>
    <w:rsid w:val="00E67D01"/>
    <w:rsid w:val="00E67E42"/>
    <w:rsid w:val="00E70138"/>
    <w:rsid w:val="00E7033B"/>
    <w:rsid w:val="00E70467"/>
    <w:rsid w:val="00E705CF"/>
    <w:rsid w:val="00E70667"/>
    <w:rsid w:val="00E7074B"/>
    <w:rsid w:val="00E70B5F"/>
    <w:rsid w:val="00E70CD8"/>
    <w:rsid w:val="00E70E29"/>
    <w:rsid w:val="00E70F14"/>
    <w:rsid w:val="00E71079"/>
    <w:rsid w:val="00E718E4"/>
    <w:rsid w:val="00E71BC3"/>
    <w:rsid w:val="00E720C1"/>
    <w:rsid w:val="00E721DF"/>
    <w:rsid w:val="00E723CB"/>
    <w:rsid w:val="00E724B3"/>
    <w:rsid w:val="00E7260F"/>
    <w:rsid w:val="00E7262C"/>
    <w:rsid w:val="00E729B5"/>
    <w:rsid w:val="00E72C29"/>
    <w:rsid w:val="00E73067"/>
    <w:rsid w:val="00E7329B"/>
    <w:rsid w:val="00E7336A"/>
    <w:rsid w:val="00E7367E"/>
    <w:rsid w:val="00E738CA"/>
    <w:rsid w:val="00E73995"/>
    <w:rsid w:val="00E740E2"/>
    <w:rsid w:val="00E74410"/>
    <w:rsid w:val="00E74E37"/>
    <w:rsid w:val="00E74EAB"/>
    <w:rsid w:val="00E7503D"/>
    <w:rsid w:val="00E750D8"/>
    <w:rsid w:val="00E750DF"/>
    <w:rsid w:val="00E754C9"/>
    <w:rsid w:val="00E755DE"/>
    <w:rsid w:val="00E75B20"/>
    <w:rsid w:val="00E77AD0"/>
    <w:rsid w:val="00E77C1D"/>
    <w:rsid w:val="00E77E0C"/>
    <w:rsid w:val="00E8016F"/>
    <w:rsid w:val="00E80435"/>
    <w:rsid w:val="00E8043E"/>
    <w:rsid w:val="00E80486"/>
    <w:rsid w:val="00E80CFF"/>
    <w:rsid w:val="00E80DE1"/>
    <w:rsid w:val="00E80E93"/>
    <w:rsid w:val="00E8118D"/>
    <w:rsid w:val="00E81222"/>
    <w:rsid w:val="00E8128C"/>
    <w:rsid w:val="00E819CD"/>
    <w:rsid w:val="00E82145"/>
    <w:rsid w:val="00E82375"/>
    <w:rsid w:val="00E82377"/>
    <w:rsid w:val="00E82674"/>
    <w:rsid w:val="00E826C8"/>
    <w:rsid w:val="00E8282D"/>
    <w:rsid w:val="00E82C95"/>
    <w:rsid w:val="00E83344"/>
    <w:rsid w:val="00E83B22"/>
    <w:rsid w:val="00E83CA8"/>
    <w:rsid w:val="00E83CC0"/>
    <w:rsid w:val="00E83DE1"/>
    <w:rsid w:val="00E83E34"/>
    <w:rsid w:val="00E84016"/>
    <w:rsid w:val="00E84230"/>
    <w:rsid w:val="00E84443"/>
    <w:rsid w:val="00E84A09"/>
    <w:rsid w:val="00E84A87"/>
    <w:rsid w:val="00E84AE7"/>
    <w:rsid w:val="00E85060"/>
    <w:rsid w:val="00E855D8"/>
    <w:rsid w:val="00E85A8C"/>
    <w:rsid w:val="00E85C64"/>
    <w:rsid w:val="00E85FF7"/>
    <w:rsid w:val="00E8653C"/>
    <w:rsid w:val="00E865D4"/>
    <w:rsid w:val="00E8685E"/>
    <w:rsid w:val="00E868C8"/>
    <w:rsid w:val="00E86C5E"/>
    <w:rsid w:val="00E86D33"/>
    <w:rsid w:val="00E8702D"/>
    <w:rsid w:val="00E871D5"/>
    <w:rsid w:val="00E872C9"/>
    <w:rsid w:val="00E87607"/>
    <w:rsid w:val="00E877FB"/>
    <w:rsid w:val="00E87C71"/>
    <w:rsid w:val="00E87C9B"/>
    <w:rsid w:val="00E87D2A"/>
    <w:rsid w:val="00E87E68"/>
    <w:rsid w:val="00E87F56"/>
    <w:rsid w:val="00E9006F"/>
    <w:rsid w:val="00E903F8"/>
    <w:rsid w:val="00E905F4"/>
    <w:rsid w:val="00E90767"/>
    <w:rsid w:val="00E9079D"/>
    <w:rsid w:val="00E9094F"/>
    <w:rsid w:val="00E909AF"/>
    <w:rsid w:val="00E90AC0"/>
    <w:rsid w:val="00E90B62"/>
    <w:rsid w:val="00E90BFF"/>
    <w:rsid w:val="00E912E4"/>
    <w:rsid w:val="00E913A9"/>
    <w:rsid w:val="00E916A9"/>
    <w:rsid w:val="00E916DE"/>
    <w:rsid w:val="00E9174E"/>
    <w:rsid w:val="00E9187D"/>
    <w:rsid w:val="00E9187E"/>
    <w:rsid w:val="00E91EB6"/>
    <w:rsid w:val="00E921D7"/>
    <w:rsid w:val="00E92354"/>
    <w:rsid w:val="00E925AD"/>
    <w:rsid w:val="00E92759"/>
    <w:rsid w:val="00E92A04"/>
    <w:rsid w:val="00E92B92"/>
    <w:rsid w:val="00E92C1B"/>
    <w:rsid w:val="00E92EA7"/>
    <w:rsid w:val="00E92EC1"/>
    <w:rsid w:val="00E9300A"/>
    <w:rsid w:val="00E93633"/>
    <w:rsid w:val="00E93855"/>
    <w:rsid w:val="00E93889"/>
    <w:rsid w:val="00E9390A"/>
    <w:rsid w:val="00E939B1"/>
    <w:rsid w:val="00E93C07"/>
    <w:rsid w:val="00E941E8"/>
    <w:rsid w:val="00E9442D"/>
    <w:rsid w:val="00E94660"/>
    <w:rsid w:val="00E94760"/>
    <w:rsid w:val="00E94894"/>
    <w:rsid w:val="00E94929"/>
    <w:rsid w:val="00E949B5"/>
    <w:rsid w:val="00E94E87"/>
    <w:rsid w:val="00E9554C"/>
    <w:rsid w:val="00E95664"/>
    <w:rsid w:val="00E95BD6"/>
    <w:rsid w:val="00E960D4"/>
    <w:rsid w:val="00E9622E"/>
    <w:rsid w:val="00E963E2"/>
    <w:rsid w:val="00E96630"/>
    <w:rsid w:val="00E96ED9"/>
    <w:rsid w:val="00E96F95"/>
    <w:rsid w:val="00E975DB"/>
    <w:rsid w:val="00E97754"/>
    <w:rsid w:val="00E97A27"/>
    <w:rsid w:val="00E97B7C"/>
    <w:rsid w:val="00E97BED"/>
    <w:rsid w:val="00E97C26"/>
    <w:rsid w:val="00E97E23"/>
    <w:rsid w:val="00E97F0D"/>
    <w:rsid w:val="00EA016E"/>
    <w:rsid w:val="00EA049C"/>
    <w:rsid w:val="00EA101E"/>
    <w:rsid w:val="00EA153B"/>
    <w:rsid w:val="00EA15C6"/>
    <w:rsid w:val="00EA177F"/>
    <w:rsid w:val="00EA1E86"/>
    <w:rsid w:val="00EA2161"/>
    <w:rsid w:val="00EA2502"/>
    <w:rsid w:val="00EA271D"/>
    <w:rsid w:val="00EA2815"/>
    <w:rsid w:val="00EA2817"/>
    <w:rsid w:val="00EA2956"/>
    <w:rsid w:val="00EA2AC4"/>
    <w:rsid w:val="00EA2C86"/>
    <w:rsid w:val="00EA31D9"/>
    <w:rsid w:val="00EA37AE"/>
    <w:rsid w:val="00EA3C4B"/>
    <w:rsid w:val="00EA3F12"/>
    <w:rsid w:val="00EA3F85"/>
    <w:rsid w:val="00EA40FD"/>
    <w:rsid w:val="00EA431D"/>
    <w:rsid w:val="00EA46F4"/>
    <w:rsid w:val="00EA472E"/>
    <w:rsid w:val="00EA47A3"/>
    <w:rsid w:val="00EA4973"/>
    <w:rsid w:val="00EA4B07"/>
    <w:rsid w:val="00EA4C4A"/>
    <w:rsid w:val="00EA4C4D"/>
    <w:rsid w:val="00EA525D"/>
    <w:rsid w:val="00EA52A3"/>
    <w:rsid w:val="00EA54DF"/>
    <w:rsid w:val="00EA567E"/>
    <w:rsid w:val="00EA569F"/>
    <w:rsid w:val="00EA56A8"/>
    <w:rsid w:val="00EA5815"/>
    <w:rsid w:val="00EA5B15"/>
    <w:rsid w:val="00EA67B2"/>
    <w:rsid w:val="00EA6ECD"/>
    <w:rsid w:val="00EA6EF6"/>
    <w:rsid w:val="00EA70D8"/>
    <w:rsid w:val="00EA78C4"/>
    <w:rsid w:val="00EA7A8E"/>
    <w:rsid w:val="00EA7C83"/>
    <w:rsid w:val="00EA7C8D"/>
    <w:rsid w:val="00EA7EEE"/>
    <w:rsid w:val="00EB027F"/>
    <w:rsid w:val="00EB0431"/>
    <w:rsid w:val="00EB0491"/>
    <w:rsid w:val="00EB052D"/>
    <w:rsid w:val="00EB0797"/>
    <w:rsid w:val="00EB08B1"/>
    <w:rsid w:val="00EB0A13"/>
    <w:rsid w:val="00EB0B20"/>
    <w:rsid w:val="00EB0CA1"/>
    <w:rsid w:val="00EB13F5"/>
    <w:rsid w:val="00EB15C1"/>
    <w:rsid w:val="00EB1944"/>
    <w:rsid w:val="00EB1B05"/>
    <w:rsid w:val="00EB1D5C"/>
    <w:rsid w:val="00EB2176"/>
    <w:rsid w:val="00EB2298"/>
    <w:rsid w:val="00EB25CC"/>
    <w:rsid w:val="00EB2EB9"/>
    <w:rsid w:val="00EB31B1"/>
    <w:rsid w:val="00EB31E1"/>
    <w:rsid w:val="00EB3560"/>
    <w:rsid w:val="00EB3F18"/>
    <w:rsid w:val="00EB4224"/>
    <w:rsid w:val="00EB4421"/>
    <w:rsid w:val="00EB453D"/>
    <w:rsid w:val="00EB464F"/>
    <w:rsid w:val="00EB51B4"/>
    <w:rsid w:val="00EB5226"/>
    <w:rsid w:val="00EB5233"/>
    <w:rsid w:val="00EB5A4A"/>
    <w:rsid w:val="00EB5B79"/>
    <w:rsid w:val="00EB5BC3"/>
    <w:rsid w:val="00EB5CCA"/>
    <w:rsid w:val="00EB5D29"/>
    <w:rsid w:val="00EB64E2"/>
    <w:rsid w:val="00EB7831"/>
    <w:rsid w:val="00EB7860"/>
    <w:rsid w:val="00EB7A87"/>
    <w:rsid w:val="00EB7D29"/>
    <w:rsid w:val="00EB7E87"/>
    <w:rsid w:val="00EC00B0"/>
    <w:rsid w:val="00EC0268"/>
    <w:rsid w:val="00EC07BD"/>
    <w:rsid w:val="00EC0F1F"/>
    <w:rsid w:val="00EC116B"/>
    <w:rsid w:val="00EC187D"/>
    <w:rsid w:val="00EC1A3E"/>
    <w:rsid w:val="00EC1ADD"/>
    <w:rsid w:val="00EC1B01"/>
    <w:rsid w:val="00EC2449"/>
    <w:rsid w:val="00EC2475"/>
    <w:rsid w:val="00EC2877"/>
    <w:rsid w:val="00EC2967"/>
    <w:rsid w:val="00EC2AD0"/>
    <w:rsid w:val="00EC2B8E"/>
    <w:rsid w:val="00EC2D77"/>
    <w:rsid w:val="00EC2DD3"/>
    <w:rsid w:val="00EC3026"/>
    <w:rsid w:val="00EC3044"/>
    <w:rsid w:val="00EC3191"/>
    <w:rsid w:val="00EC32B2"/>
    <w:rsid w:val="00EC349E"/>
    <w:rsid w:val="00EC34EE"/>
    <w:rsid w:val="00EC35B6"/>
    <w:rsid w:val="00EC35F9"/>
    <w:rsid w:val="00EC369E"/>
    <w:rsid w:val="00EC3A1C"/>
    <w:rsid w:val="00EC3CE1"/>
    <w:rsid w:val="00EC3D5B"/>
    <w:rsid w:val="00EC3DBD"/>
    <w:rsid w:val="00EC4074"/>
    <w:rsid w:val="00EC4225"/>
    <w:rsid w:val="00EC4450"/>
    <w:rsid w:val="00EC4BFE"/>
    <w:rsid w:val="00EC4C30"/>
    <w:rsid w:val="00EC4F8F"/>
    <w:rsid w:val="00EC53DD"/>
    <w:rsid w:val="00EC5423"/>
    <w:rsid w:val="00EC55B4"/>
    <w:rsid w:val="00EC5BE3"/>
    <w:rsid w:val="00EC5E6A"/>
    <w:rsid w:val="00EC65AE"/>
    <w:rsid w:val="00EC684B"/>
    <w:rsid w:val="00EC6ACE"/>
    <w:rsid w:val="00EC6C62"/>
    <w:rsid w:val="00EC6DED"/>
    <w:rsid w:val="00EC7017"/>
    <w:rsid w:val="00EC70CF"/>
    <w:rsid w:val="00EC72A7"/>
    <w:rsid w:val="00EC7346"/>
    <w:rsid w:val="00EC73B7"/>
    <w:rsid w:val="00EC74A4"/>
    <w:rsid w:val="00EC75B9"/>
    <w:rsid w:val="00EC75D8"/>
    <w:rsid w:val="00EC7886"/>
    <w:rsid w:val="00EC78BB"/>
    <w:rsid w:val="00EC7901"/>
    <w:rsid w:val="00EC79E9"/>
    <w:rsid w:val="00EC7D40"/>
    <w:rsid w:val="00ED01B6"/>
    <w:rsid w:val="00ED0284"/>
    <w:rsid w:val="00ED041E"/>
    <w:rsid w:val="00ED04CF"/>
    <w:rsid w:val="00ED0585"/>
    <w:rsid w:val="00ED05D4"/>
    <w:rsid w:val="00ED07C0"/>
    <w:rsid w:val="00ED0A3E"/>
    <w:rsid w:val="00ED163A"/>
    <w:rsid w:val="00ED181D"/>
    <w:rsid w:val="00ED18DC"/>
    <w:rsid w:val="00ED1A42"/>
    <w:rsid w:val="00ED201D"/>
    <w:rsid w:val="00ED26C9"/>
    <w:rsid w:val="00ED26F1"/>
    <w:rsid w:val="00ED2887"/>
    <w:rsid w:val="00ED2A0D"/>
    <w:rsid w:val="00ED2BA6"/>
    <w:rsid w:val="00ED330C"/>
    <w:rsid w:val="00ED390A"/>
    <w:rsid w:val="00ED398B"/>
    <w:rsid w:val="00ED40ED"/>
    <w:rsid w:val="00ED41D1"/>
    <w:rsid w:val="00ED4222"/>
    <w:rsid w:val="00ED427C"/>
    <w:rsid w:val="00ED4784"/>
    <w:rsid w:val="00ED47A7"/>
    <w:rsid w:val="00ED4985"/>
    <w:rsid w:val="00ED4ADA"/>
    <w:rsid w:val="00ED4B16"/>
    <w:rsid w:val="00ED4C1D"/>
    <w:rsid w:val="00ED4FDA"/>
    <w:rsid w:val="00ED52F7"/>
    <w:rsid w:val="00ED53C1"/>
    <w:rsid w:val="00ED55C0"/>
    <w:rsid w:val="00ED5CCB"/>
    <w:rsid w:val="00ED5D38"/>
    <w:rsid w:val="00ED6008"/>
    <w:rsid w:val="00ED60A3"/>
    <w:rsid w:val="00ED6169"/>
    <w:rsid w:val="00ED6201"/>
    <w:rsid w:val="00ED6395"/>
    <w:rsid w:val="00ED674B"/>
    <w:rsid w:val="00ED6D28"/>
    <w:rsid w:val="00ED6F8D"/>
    <w:rsid w:val="00ED6FFB"/>
    <w:rsid w:val="00ED7629"/>
    <w:rsid w:val="00ED77C6"/>
    <w:rsid w:val="00ED7934"/>
    <w:rsid w:val="00ED79F7"/>
    <w:rsid w:val="00ED7A2A"/>
    <w:rsid w:val="00ED7B3C"/>
    <w:rsid w:val="00ED7B73"/>
    <w:rsid w:val="00EE05DD"/>
    <w:rsid w:val="00EE080B"/>
    <w:rsid w:val="00EE0AE9"/>
    <w:rsid w:val="00EE1044"/>
    <w:rsid w:val="00EE10B8"/>
    <w:rsid w:val="00EE1181"/>
    <w:rsid w:val="00EE13C3"/>
    <w:rsid w:val="00EE1942"/>
    <w:rsid w:val="00EE2010"/>
    <w:rsid w:val="00EE2233"/>
    <w:rsid w:val="00EE2EA8"/>
    <w:rsid w:val="00EE315E"/>
    <w:rsid w:val="00EE3260"/>
    <w:rsid w:val="00EE326E"/>
    <w:rsid w:val="00EE3825"/>
    <w:rsid w:val="00EE39B0"/>
    <w:rsid w:val="00EE39D6"/>
    <w:rsid w:val="00EE3CFA"/>
    <w:rsid w:val="00EE4328"/>
    <w:rsid w:val="00EE437E"/>
    <w:rsid w:val="00EE4473"/>
    <w:rsid w:val="00EE4860"/>
    <w:rsid w:val="00EE4CFF"/>
    <w:rsid w:val="00EE4D46"/>
    <w:rsid w:val="00EE4E7F"/>
    <w:rsid w:val="00EE4F7B"/>
    <w:rsid w:val="00EE5496"/>
    <w:rsid w:val="00EE5790"/>
    <w:rsid w:val="00EE57B4"/>
    <w:rsid w:val="00EE66F5"/>
    <w:rsid w:val="00EE68FB"/>
    <w:rsid w:val="00EE6A75"/>
    <w:rsid w:val="00EE6E44"/>
    <w:rsid w:val="00EE731F"/>
    <w:rsid w:val="00EE733C"/>
    <w:rsid w:val="00EE76E8"/>
    <w:rsid w:val="00EE77C7"/>
    <w:rsid w:val="00EE7B76"/>
    <w:rsid w:val="00EE7D32"/>
    <w:rsid w:val="00EE7DA5"/>
    <w:rsid w:val="00EE7ECE"/>
    <w:rsid w:val="00EE7F8C"/>
    <w:rsid w:val="00EF00A7"/>
    <w:rsid w:val="00EF083E"/>
    <w:rsid w:val="00EF09E7"/>
    <w:rsid w:val="00EF0E41"/>
    <w:rsid w:val="00EF1155"/>
    <w:rsid w:val="00EF161F"/>
    <w:rsid w:val="00EF1700"/>
    <w:rsid w:val="00EF1988"/>
    <w:rsid w:val="00EF1CCF"/>
    <w:rsid w:val="00EF1D7F"/>
    <w:rsid w:val="00EF1FFE"/>
    <w:rsid w:val="00EF267F"/>
    <w:rsid w:val="00EF2BDE"/>
    <w:rsid w:val="00EF2F7E"/>
    <w:rsid w:val="00EF2FAC"/>
    <w:rsid w:val="00EF3008"/>
    <w:rsid w:val="00EF30E6"/>
    <w:rsid w:val="00EF3340"/>
    <w:rsid w:val="00EF39EF"/>
    <w:rsid w:val="00EF3B5B"/>
    <w:rsid w:val="00EF41D3"/>
    <w:rsid w:val="00EF42BD"/>
    <w:rsid w:val="00EF451D"/>
    <w:rsid w:val="00EF4778"/>
    <w:rsid w:val="00EF47C2"/>
    <w:rsid w:val="00EF4CB8"/>
    <w:rsid w:val="00EF4E83"/>
    <w:rsid w:val="00EF4E91"/>
    <w:rsid w:val="00EF4F9B"/>
    <w:rsid w:val="00EF5299"/>
    <w:rsid w:val="00EF52BE"/>
    <w:rsid w:val="00EF58D9"/>
    <w:rsid w:val="00EF5B77"/>
    <w:rsid w:val="00EF5D2E"/>
    <w:rsid w:val="00EF5E66"/>
    <w:rsid w:val="00EF60DB"/>
    <w:rsid w:val="00EF6177"/>
    <w:rsid w:val="00EF622B"/>
    <w:rsid w:val="00EF6487"/>
    <w:rsid w:val="00EF684D"/>
    <w:rsid w:val="00EF6AAF"/>
    <w:rsid w:val="00EF6B3F"/>
    <w:rsid w:val="00EF6DAB"/>
    <w:rsid w:val="00EF6F44"/>
    <w:rsid w:val="00EF70EB"/>
    <w:rsid w:val="00EF7617"/>
    <w:rsid w:val="00EF77FF"/>
    <w:rsid w:val="00EF7A1B"/>
    <w:rsid w:val="00EF7A5E"/>
    <w:rsid w:val="00EF7EBE"/>
    <w:rsid w:val="00F00077"/>
    <w:rsid w:val="00F000FE"/>
    <w:rsid w:val="00F00238"/>
    <w:rsid w:val="00F0029F"/>
    <w:rsid w:val="00F00654"/>
    <w:rsid w:val="00F00E55"/>
    <w:rsid w:val="00F00F3D"/>
    <w:rsid w:val="00F00FE4"/>
    <w:rsid w:val="00F0127B"/>
    <w:rsid w:val="00F0137E"/>
    <w:rsid w:val="00F0157E"/>
    <w:rsid w:val="00F015AC"/>
    <w:rsid w:val="00F01D50"/>
    <w:rsid w:val="00F01D5C"/>
    <w:rsid w:val="00F01EBF"/>
    <w:rsid w:val="00F025A3"/>
    <w:rsid w:val="00F02ACD"/>
    <w:rsid w:val="00F02B43"/>
    <w:rsid w:val="00F02E2C"/>
    <w:rsid w:val="00F03005"/>
    <w:rsid w:val="00F034B7"/>
    <w:rsid w:val="00F035DC"/>
    <w:rsid w:val="00F039F5"/>
    <w:rsid w:val="00F03E0D"/>
    <w:rsid w:val="00F03EF9"/>
    <w:rsid w:val="00F0432B"/>
    <w:rsid w:val="00F046E3"/>
    <w:rsid w:val="00F047A0"/>
    <w:rsid w:val="00F047D8"/>
    <w:rsid w:val="00F0481A"/>
    <w:rsid w:val="00F0494B"/>
    <w:rsid w:val="00F04C0B"/>
    <w:rsid w:val="00F04DC5"/>
    <w:rsid w:val="00F04E6B"/>
    <w:rsid w:val="00F051A7"/>
    <w:rsid w:val="00F051E5"/>
    <w:rsid w:val="00F05345"/>
    <w:rsid w:val="00F055F2"/>
    <w:rsid w:val="00F055F7"/>
    <w:rsid w:val="00F05775"/>
    <w:rsid w:val="00F060BB"/>
    <w:rsid w:val="00F06134"/>
    <w:rsid w:val="00F061F3"/>
    <w:rsid w:val="00F0645D"/>
    <w:rsid w:val="00F065EC"/>
    <w:rsid w:val="00F069CD"/>
    <w:rsid w:val="00F070BF"/>
    <w:rsid w:val="00F0721F"/>
    <w:rsid w:val="00F0722A"/>
    <w:rsid w:val="00F075E6"/>
    <w:rsid w:val="00F07716"/>
    <w:rsid w:val="00F07873"/>
    <w:rsid w:val="00F07968"/>
    <w:rsid w:val="00F07A9F"/>
    <w:rsid w:val="00F07D0C"/>
    <w:rsid w:val="00F07D35"/>
    <w:rsid w:val="00F07D79"/>
    <w:rsid w:val="00F10025"/>
    <w:rsid w:val="00F10217"/>
    <w:rsid w:val="00F10556"/>
    <w:rsid w:val="00F106A3"/>
    <w:rsid w:val="00F11066"/>
    <w:rsid w:val="00F112A3"/>
    <w:rsid w:val="00F1132D"/>
    <w:rsid w:val="00F11530"/>
    <w:rsid w:val="00F115C9"/>
    <w:rsid w:val="00F118B9"/>
    <w:rsid w:val="00F11A40"/>
    <w:rsid w:val="00F11A43"/>
    <w:rsid w:val="00F11CB4"/>
    <w:rsid w:val="00F12082"/>
    <w:rsid w:val="00F1209F"/>
    <w:rsid w:val="00F12135"/>
    <w:rsid w:val="00F128D5"/>
    <w:rsid w:val="00F129FA"/>
    <w:rsid w:val="00F12A44"/>
    <w:rsid w:val="00F12C41"/>
    <w:rsid w:val="00F12CCB"/>
    <w:rsid w:val="00F13884"/>
    <w:rsid w:val="00F13B37"/>
    <w:rsid w:val="00F13B76"/>
    <w:rsid w:val="00F13DDD"/>
    <w:rsid w:val="00F1404C"/>
    <w:rsid w:val="00F14463"/>
    <w:rsid w:val="00F147DD"/>
    <w:rsid w:val="00F14BE8"/>
    <w:rsid w:val="00F14D9B"/>
    <w:rsid w:val="00F150D8"/>
    <w:rsid w:val="00F15354"/>
    <w:rsid w:val="00F15357"/>
    <w:rsid w:val="00F1560C"/>
    <w:rsid w:val="00F1560E"/>
    <w:rsid w:val="00F1568D"/>
    <w:rsid w:val="00F1579B"/>
    <w:rsid w:val="00F15A97"/>
    <w:rsid w:val="00F15AF4"/>
    <w:rsid w:val="00F15B64"/>
    <w:rsid w:val="00F15C41"/>
    <w:rsid w:val="00F15C90"/>
    <w:rsid w:val="00F16100"/>
    <w:rsid w:val="00F161A1"/>
    <w:rsid w:val="00F16559"/>
    <w:rsid w:val="00F1689C"/>
    <w:rsid w:val="00F16CAA"/>
    <w:rsid w:val="00F17110"/>
    <w:rsid w:val="00F1747A"/>
    <w:rsid w:val="00F176AF"/>
    <w:rsid w:val="00F17D4D"/>
    <w:rsid w:val="00F17E71"/>
    <w:rsid w:val="00F20062"/>
    <w:rsid w:val="00F20352"/>
    <w:rsid w:val="00F206B5"/>
    <w:rsid w:val="00F2084A"/>
    <w:rsid w:val="00F20C9D"/>
    <w:rsid w:val="00F20DAA"/>
    <w:rsid w:val="00F21002"/>
    <w:rsid w:val="00F211EF"/>
    <w:rsid w:val="00F2121F"/>
    <w:rsid w:val="00F21786"/>
    <w:rsid w:val="00F21802"/>
    <w:rsid w:val="00F218EF"/>
    <w:rsid w:val="00F21990"/>
    <w:rsid w:val="00F21B1C"/>
    <w:rsid w:val="00F21EB7"/>
    <w:rsid w:val="00F22136"/>
    <w:rsid w:val="00F226AB"/>
    <w:rsid w:val="00F227DA"/>
    <w:rsid w:val="00F228B4"/>
    <w:rsid w:val="00F22E85"/>
    <w:rsid w:val="00F2335F"/>
    <w:rsid w:val="00F23424"/>
    <w:rsid w:val="00F236F3"/>
    <w:rsid w:val="00F240A0"/>
    <w:rsid w:val="00F242E8"/>
    <w:rsid w:val="00F24C08"/>
    <w:rsid w:val="00F24DE7"/>
    <w:rsid w:val="00F250D5"/>
    <w:rsid w:val="00F256C8"/>
    <w:rsid w:val="00F2577D"/>
    <w:rsid w:val="00F25D19"/>
    <w:rsid w:val="00F25F7B"/>
    <w:rsid w:val="00F26082"/>
    <w:rsid w:val="00F26126"/>
    <w:rsid w:val="00F263E4"/>
    <w:rsid w:val="00F26591"/>
    <w:rsid w:val="00F26AEB"/>
    <w:rsid w:val="00F26DA0"/>
    <w:rsid w:val="00F26FAB"/>
    <w:rsid w:val="00F2707C"/>
    <w:rsid w:val="00F27BC9"/>
    <w:rsid w:val="00F27E32"/>
    <w:rsid w:val="00F303D3"/>
    <w:rsid w:val="00F30624"/>
    <w:rsid w:val="00F30846"/>
    <w:rsid w:val="00F30C84"/>
    <w:rsid w:val="00F30E37"/>
    <w:rsid w:val="00F311BC"/>
    <w:rsid w:val="00F31D2C"/>
    <w:rsid w:val="00F31D47"/>
    <w:rsid w:val="00F31F0F"/>
    <w:rsid w:val="00F31F71"/>
    <w:rsid w:val="00F32146"/>
    <w:rsid w:val="00F32310"/>
    <w:rsid w:val="00F3233E"/>
    <w:rsid w:val="00F32379"/>
    <w:rsid w:val="00F32836"/>
    <w:rsid w:val="00F32909"/>
    <w:rsid w:val="00F32E31"/>
    <w:rsid w:val="00F32E8F"/>
    <w:rsid w:val="00F3316D"/>
    <w:rsid w:val="00F33446"/>
    <w:rsid w:val="00F334D4"/>
    <w:rsid w:val="00F33BD6"/>
    <w:rsid w:val="00F33C5E"/>
    <w:rsid w:val="00F33E46"/>
    <w:rsid w:val="00F33F3E"/>
    <w:rsid w:val="00F340FC"/>
    <w:rsid w:val="00F3459F"/>
    <w:rsid w:val="00F346EF"/>
    <w:rsid w:val="00F34FE1"/>
    <w:rsid w:val="00F35534"/>
    <w:rsid w:val="00F35619"/>
    <w:rsid w:val="00F357CD"/>
    <w:rsid w:val="00F35ED9"/>
    <w:rsid w:val="00F360DA"/>
    <w:rsid w:val="00F365F8"/>
    <w:rsid w:val="00F36608"/>
    <w:rsid w:val="00F36B82"/>
    <w:rsid w:val="00F36DF0"/>
    <w:rsid w:val="00F371BE"/>
    <w:rsid w:val="00F3742B"/>
    <w:rsid w:val="00F37754"/>
    <w:rsid w:val="00F377A9"/>
    <w:rsid w:val="00F37FAF"/>
    <w:rsid w:val="00F40579"/>
    <w:rsid w:val="00F40790"/>
    <w:rsid w:val="00F407C2"/>
    <w:rsid w:val="00F40E1A"/>
    <w:rsid w:val="00F4102C"/>
    <w:rsid w:val="00F4107E"/>
    <w:rsid w:val="00F41391"/>
    <w:rsid w:val="00F41946"/>
    <w:rsid w:val="00F41CB9"/>
    <w:rsid w:val="00F41F47"/>
    <w:rsid w:val="00F41FDB"/>
    <w:rsid w:val="00F42459"/>
    <w:rsid w:val="00F42671"/>
    <w:rsid w:val="00F42BDF"/>
    <w:rsid w:val="00F42C54"/>
    <w:rsid w:val="00F42F84"/>
    <w:rsid w:val="00F432A0"/>
    <w:rsid w:val="00F43536"/>
    <w:rsid w:val="00F4370A"/>
    <w:rsid w:val="00F43A71"/>
    <w:rsid w:val="00F43E87"/>
    <w:rsid w:val="00F43F48"/>
    <w:rsid w:val="00F441BC"/>
    <w:rsid w:val="00F44253"/>
    <w:rsid w:val="00F44617"/>
    <w:rsid w:val="00F446CC"/>
    <w:rsid w:val="00F44891"/>
    <w:rsid w:val="00F449A7"/>
    <w:rsid w:val="00F449C8"/>
    <w:rsid w:val="00F44AB8"/>
    <w:rsid w:val="00F44B73"/>
    <w:rsid w:val="00F44E85"/>
    <w:rsid w:val="00F44F45"/>
    <w:rsid w:val="00F44F4C"/>
    <w:rsid w:val="00F44F6F"/>
    <w:rsid w:val="00F4513A"/>
    <w:rsid w:val="00F451C8"/>
    <w:rsid w:val="00F4590E"/>
    <w:rsid w:val="00F45B5E"/>
    <w:rsid w:val="00F45F88"/>
    <w:rsid w:val="00F4642B"/>
    <w:rsid w:val="00F466E0"/>
    <w:rsid w:val="00F467CF"/>
    <w:rsid w:val="00F46A49"/>
    <w:rsid w:val="00F46CA8"/>
    <w:rsid w:val="00F46FF5"/>
    <w:rsid w:val="00F476B7"/>
    <w:rsid w:val="00F47C16"/>
    <w:rsid w:val="00F47C25"/>
    <w:rsid w:val="00F47C86"/>
    <w:rsid w:val="00F47F91"/>
    <w:rsid w:val="00F47FF3"/>
    <w:rsid w:val="00F50074"/>
    <w:rsid w:val="00F50084"/>
    <w:rsid w:val="00F500A7"/>
    <w:rsid w:val="00F5063F"/>
    <w:rsid w:val="00F50788"/>
    <w:rsid w:val="00F50794"/>
    <w:rsid w:val="00F507BB"/>
    <w:rsid w:val="00F50877"/>
    <w:rsid w:val="00F5098A"/>
    <w:rsid w:val="00F50C7A"/>
    <w:rsid w:val="00F50CEC"/>
    <w:rsid w:val="00F51003"/>
    <w:rsid w:val="00F5114E"/>
    <w:rsid w:val="00F5145A"/>
    <w:rsid w:val="00F5161F"/>
    <w:rsid w:val="00F519C8"/>
    <w:rsid w:val="00F51A44"/>
    <w:rsid w:val="00F51AA7"/>
    <w:rsid w:val="00F51D97"/>
    <w:rsid w:val="00F51EA0"/>
    <w:rsid w:val="00F52638"/>
    <w:rsid w:val="00F52926"/>
    <w:rsid w:val="00F52A91"/>
    <w:rsid w:val="00F52B30"/>
    <w:rsid w:val="00F52EB8"/>
    <w:rsid w:val="00F53195"/>
    <w:rsid w:val="00F53951"/>
    <w:rsid w:val="00F53A75"/>
    <w:rsid w:val="00F53B70"/>
    <w:rsid w:val="00F54156"/>
    <w:rsid w:val="00F545DC"/>
    <w:rsid w:val="00F5466B"/>
    <w:rsid w:val="00F546F5"/>
    <w:rsid w:val="00F54933"/>
    <w:rsid w:val="00F54ADD"/>
    <w:rsid w:val="00F54D67"/>
    <w:rsid w:val="00F54E21"/>
    <w:rsid w:val="00F55177"/>
    <w:rsid w:val="00F55180"/>
    <w:rsid w:val="00F556BD"/>
    <w:rsid w:val="00F559DA"/>
    <w:rsid w:val="00F55A0D"/>
    <w:rsid w:val="00F55CC6"/>
    <w:rsid w:val="00F55D8E"/>
    <w:rsid w:val="00F55F35"/>
    <w:rsid w:val="00F561CC"/>
    <w:rsid w:val="00F564DA"/>
    <w:rsid w:val="00F567FF"/>
    <w:rsid w:val="00F56D63"/>
    <w:rsid w:val="00F571E9"/>
    <w:rsid w:val="00F57363"/>
    <w:rsid w:val="00F576B4"/>
    <w:rsid w:val="00F57787"/>
    <w:rsid w:val="00F57EB6"/>
    <w:rsid w:val="00F60123"/>
    <w:rsid w:val="00F60489"/>
    <w:rsid w:val="00F6063A"/>
    <w:rsid w:val="00F609A9"/>
    <w:rsid w:val="00F60C05"/>
    <w:rsid w:val="00F60D33"/>
    <w:rsid w:val="00F61157"/>
    <w:rsid w:val="00F61260"/>
    <w:rsid w:val="00F614D8"/>
    <w:rsid w:val="00F6185C"/>
    <w:rsid w:val="00F6195E"/>
    <w:rsid w:val="00F61DED"/>
    <w:rsid w:val="00F61FCA"/>
    <w:rsid w:val="00F622A4"/>
    <w:rsid w:val="00F622C8"/>
    <w:rsid w:val="00F6249C"/>
    <w:rsid w:val="00F628A5"/>
    <w:rsid w:val="00F62AF0"/>
    <w:rsid w:val="00F62CAB"/>
    <w:rsid w:val="00F634D7"/>
    <w:rsid w:val="00F63A02"/>
    <w:rsid w:val="00F63ACD"/>
    <w:rsid w:val="00F63BC6"/>
    <w:rsid w:val="00F64539"/>
    <w:rsid w:val="00F6477C"/>
    <w:rsid w:val="00F64D77"/>
    <w:rsid w:val="00F64F6F"/>
    <w:rsid w:val="00F6536C"/>
    <w:rsid w:val="00F65703"/>
    <w:rsid w:val="00F65821"/>
    <w:rsid w:val="00F6593C"/>
    <w:rsid w:val="00F6596B"/>
    <w:rsid w:val="00F65A3B"/>
    <w:rsid w:val="00F65C0C"/>
    <w:rsid w:val="00F65DCF"/>
    <w:rsid w:val="00F65ED3"/>
    <w:rsid w:val="00F6643E"/>
    <w:rsid w:val="00F66473"/>
    <w:rsid w:val="00F66801"/>
    <w:rsid w:val="00F668C3"/>
    <w:rsid w:val="00F6699F"/>
    <w:rsid w:val="00F66A4F"/>
    <w:rsid w:val="00F66B16"/>
    <w:rsid w:val="00F66B82"/>
    <w:rsid w:val="00F66EE7"/>
    <w:rsid w:val="00F66FDC"/>
    <w:rsid w:val="00F67116"/>
    <w:rsid w:val="00F671CC"/>
    <w:rsid w:val="00F6766D"/>
    <w:rsid w:val="00F67713"/>
    <w:rsid w:val="00F678D7"/>
    <w:rsid w:val="00F67CFA"/>
    <w:rsid w:val="00F7058A"/>
    <w:rsid w:val="00F705E4"/>
    <w:rsid w:val="00F706B4"/>
    <w:rsid w:val="00F709D2"/>
    <w:rsid w:val="00F70A24"/>
    <w:rsid w:val="00F70A7E"/>
    <w:rsid w:val="00F70B0F"/>
    <w:rsid w:val="00F70B50"/>
    <w:rsid w:val="00F70E78"/>
    <w:rsid w:val="00F712DE"/>
    <w:rsid w:val="00F71410"/>
    <w:rsid w:val="00F715A4"/>
    <w:rsid w:val="00F715F3"/>
    <w:rsid w:val="00F7183E"/>
    <w:rsid w:val="00F71860"/>
    <w:rsid w:val="00F71B30"/>
    <w:rsid w:val="00F71CF4"/>
    <w:rsid w:val="00F71D47"/>
    <w:rsid w:val="00F71D5D"/>
    <w:rsid w:val="00F72C86"/>
    <w:rsid w:val="00F72E45"/>
    <w:rsid w:val="00F7316E"/>
    <w:rsid w:val="00F7347B"/>
    <w:rsid w:val="00F73753"/>
    <w:rsid w:val="00F73960"/>
    <w:rsid w:val="00F73F91"/>
    <w:rsid w:val="00F7441A"/>
    <w:rsid w:val="00F7442B"/>
    <w:rsid w:val="00F744C2"/>
    <w:rsid w:val="00F74673"/>
    <w:rsid w:val="00F74DE8"/>
    <w:rsid w:val="00F74E37"/>
    <w:rsid w:val="00F75172"/>
    <w:rsid w:val="00F753A9"/>
    <w:rsid w:val="00F7551D"/>
    <w:rsid w:val="00F755FB"/>
    <w:rsid w:val="00F75749"/>
    <w:rsid w:val="00F75CE1"/>
    <w:rsid w:val="00F75DFF"/>
    <w:rsid w:val="00F7661B"/>
    <w:rsid w:val="00F7696F"/>
    <w:rsid w:val="00F76C77"/>
    <w:rsid w:val="00F76EB8"/>
    <w:rsid w:val="00F771D2"/>
    <w:rsid w:val="00F7752F"/>
    <w:rsid w:val="00F77534"/>
    <w:rsid w:val="00F7766E"/>
    <w:rsid w:val="00F7783A"/>
    <w:rsid w:val="00F779C5"/>
    <w:rsid w:val="00F77A20"/>
    <w:rsid w:val="00F77D23"/>
    <w:rsid w:val="00F77DC6"/>
    <w:rsid w:val="00F77EE1"/>
    <w:rsid w:val="00F80000"/>
    <w:rsid w:val="00F8008B"/>
    <w:rsid w:val="00F80220"/>
    <w:rsid w:val="00F80248"/>
    <w:rsid w:val="00F8052B"/>
    <w:rsid w:val="00F80B19"/>
    <w:rsid w:val="00F80C47"/>
    <w:rsid w:val="00F80C99"/>
    <w:rsid w:val="00F80D9E"/>
    <w:rsid w:val="00F80DE0"/>
    <w:rsid w:val="00F81101"/>
    <w:rsid w:val="00F81188"/>
    <w:rsid w:val="00F811CA"/>
    <w:rsid w:val="00F81798"/>
    <w:rsid w:val="00F819F4"/>
    <w:rsid w:val="00F81C37"/>
    <w:rsid w:val="00F81D4A"/>
    <w:rsid w:val="00F81E1B"/>
    <w:rsid w:val="00F81EF9"/>
    <w:rsid w:val="00F81FD4"/>
    <w:rsid w:val="00F820E5"/>
    <w:rsid w:val="00F823D3"/>
    <w:rsid w:val="00F824C1"/>
    <w:rsid w:val="00F82662"/>
    <w:rsid w:val="00F8272B"/>
    <w:rsid w:val="00F82864"/>
    <w:rsid w:val="00F8293C"/>
    <w:rsid w:val="00F82AB4"/>
    <w:rsid w:val="00F82EB6"/>
    <w:rsid w:val="00F82EFE"/>
    <w:rsid w:val="00F834A7"/>
    <w:rsid w:val="00F837AA"/>
    <w:rsid w:val="00F83945"/>
    <w:rsid w:val="00F83D9D"/>
    <w:rsid w:val="00F8422A"/>
    <w:rsid w:val="00F846B0"/>
    <w:rsid w:val="00F848CE"/>
    <w:rsid w:val="00F849EB"/>
    <w:rsid w:val="00F84A0D"/>
    <w:rsid w:val="00F84AE5"/>
    <w:rsid w:val="00F84C52"/>
    <w:rsid w:val="00F84E22"/>
    <w:rsid w:val="00F85106"/>
    <w:rsid w:val="00F851FD"/>
    <w:rsid w:val="00F854E9"/>
    <w:rsid w:val="00F85525"/>
    <w:rsid w:val="00F855E7"/>
    <w:rsid w:val="00F857C9"/>
    <w:rsid w:val="00F85A9F"/>
    <w:rsid w:val="00F85C00"/>
    <w:rsid w:val="00F860B8"/>
    <w:rsid w:val="00F863F3"/>
    <w:rsid w:val="00F866AC"/>
    <w:rsid w:val="00F867EC"/>
    <w:rsid w:val="00F86809"/>
    <w:rsid w:val="00F86937"/>
    <w:rsid w:val="00F8698E"/>
    <w:rsid w:val="00F869B7"/>
    <w:rsid w:val="00F86AA5"/>
    <w:rsid w:val="00F86C04"/>
    <w:rsid w:val="00F86DB1"/>
    <w:rsid w:val="00F86FC7"/>
    <w:rsid w:val="00F87284"/>
    <w:rsid w:val="00F874F5"/>
    <w:rsid w:val="00F87CF8"/>
    <w:rsid w:val="00F87E3A"/>
    <w:rsid w:val="00F87F72"/>
    <w:rsid w:val="00F9012C"/>
    <w:rsid w:val="00F90679"/>
    <w:rsid w:val="00F906CA"/>
    <w:rsid w:val="00F907E6"/>
    <w:rsid w:val="00F9092D"/>
    <w:rsid w:val="00F911EE"/>
    <w:rsid w:val="00F91B2B"/>
    <w:rsid w:val="00F91B7F"/>
    <w:rsid w:val="00F91CEF"/>
    <w:rsid w:val="00F91E86"/>
    <w:rsid w:val="00F921A0"/>
    <w:rsid w:val="00F92544"/>
    <w:rsid w:val="00F92959"/>
    <w:rsid w:val="00F92A86"/>
    <w:rsid w:val="00F92F68"/>
    <w:rsid w:val="00F930BC"/>
    <w:rsid w:val="00F93249"/>
    <w:rsid w:val="00F93740"/>
    <w:rsid w:val="00F93753"/>
    <w:rsid w:val="00F9399A"/>
    <w:rsid w:val="00F939F6"/>
    <w:rsid w:val="00F93AA2"/>
    <w:rsid w:val="00F94281"/>
    <w:rsid w:val="00F9469F"/>
    <w:rsid w:val="00F94D81"/>
    <w:rsid w:val="00F952B5"/>
    <w:rsid w:val="00F953DE"/>
    <w:rsid w:val="00F957DC"/>
    <w:rsid w:val="00F9580C"/>
    <w:rsid w:val="00F95A9E"/>
    <w:rsid w:val="00F95FC7"/>
    <w:rsid w:val="00F95FF5"/>
    <w:rsid w:val="00F96028"/>
    <w:rsid w:val="00F96458"/>
    <w:rsid w:val="00F96479"/>
    <w:rsid w:val="00F9655E"/>
    <w:rsid w:val="00F967B8"/>
    <w:rsid w:val="00F9684B"/>
    <w:rsid w:val="00F96B2C"/>
    <w:rsid w:val="00F96D7F"/>
    <w:rsid w:val="00F96EE4"/>
    <w:rsid w:val="00F96EFB"/>
    <w:rsid w:val="00F97018"/>
    <w:rsid w:val="00F97426"/>
    <w:rsid w:val="00F9747D"/>
    <w:rsid w:val="00F978DD"/>
    <w:rsid w:val="00F97ACC"/>
    <w:rsid w:val="00FA0062"/>
    <w:rsid w:val="00FA05E8"/>
    <w:rsid w:val="00FA0668"/>
    <w:rsid w:val="00FA0D01"/>
    <w:rsid w:val="00FA0D11"/>
    <w:rsid w:val="00FA0D27"/>
    <w:rsid w:val="00FA0D73"/>
    <w:rsid w:val="00FA0DB0"/>
    <w:rsid w:val="00FA1376"/>
    <w:rsid w:val="00FA14E8"/>
    <w:rsid w:val="00FA1638"/>
    <w:rsid w:val="00FA17CC"/>
    <w:rsid w:val="00FA17F8"/>
    <w:rsid w:val="00FA1C0A"/>
    <w:rsid w:val="00FA1CF7"/>
    <w:rsid w:val="00FA1D27"/>
    <w:rsid w:val="00FA1E24"/>
    <w:rsid w:val="00FA1F26"/>
    <w:rsid w:val="00FA21E0"/>
    <w:rsid w:val="00FA22C5"/>
    <w:rsid w:val="00FA230B"/>
    <w:rsid w:val="00FA26C1"/>
    <w:rsid w:val="00FA2833"/>
    <w:rsid w:val="00FA2B3F"/>
    <w:rsid w:val="00FA2B89"/>
    <w:rsid w:val="00FA30FB"/>
    <w:rsid w:val="00FA3417"/>
    <w:rsid w:val="00FA3525"/>
    <w:rsid w:val="00FA3774"/>
    <w:rsid w:val="00FA38FE"/>
    <w:rsid w:val="00FA3C54"/>
    <w:rsid w:val="00FA3EC4"/>
    <w:rsid w:val="00FA4205"/>
    <w:rsid w:val="00FA47A8"/>
    <w:rsid w:val="00FA4B72"/>
    <w:rsid w:val="00FA5334"/>
    <w:rsid w:val="00FA56EB"/>
    <w:rsid w:val="00FA56F3"/>
    <w:rsid w:val="00FA591B"/>
    <w:rsid w:val="00FA592A"/>
    <w:rsid w:val="00FA59F2"/>
    <w:rsid w:val="00FA5A75"/>
    <w:rsid w:val="00FA5B5D"/>
    <w:rsid w:val="00FA5CB6"/>
    <w:rsid w:val="00FA5EA7"/>
    <w:rsid w:val="00FA6126"/>
    <w:rsid w:val="00FA6443"/>
    <w:rsid w:val="00FA649F"/>
    <w:rsid w:val="00FA65BC"/>
    <w:rsid w:val="00FA69C4"/>
    <w:rsid w:val="00FA6F08"/>
    <w:rsid w:val="00FA7389"/>
    <w:rsid w:val="00FA78AA"/>
    <w:rsid w:val="00FA7A11"/>
    <w:rsid w:val="00FA7A34"/>
    <w:rsid w:val="00FA7B51"/>
    <w:rsid w:val="00FB01AF"/>
    <w:rsid w:val="00FB0A9D"/>
    <w:rsid w:val="00FB0BED"/>
    <w:rsid w:val="00FB0D84"/>
    <w:rsid w:val="00FB0E3A"/>
    <w:rsid w:val="00FB0EA8"/>
    <w:rsid w:val="00FB0F7F"/>
    <w:rsid w:val="00FB11F7"/>
    <w:rsid w:val="00FB1259"/>
    <w:rsid w:val="00FB1440"/>
    <w:rsid w:val="00FB1A0F"/>
    <w:rsid w:val="00FB1D39"/>
    <w:rsid w:val="00FB2140"/>
    <w:rsid w:val="00FB22EC"/>
    <w:rsid w:val="00FB253B"/>
    <w:rsid w:val="00FB255F"/>
    <w:rsid w:val="00FB2789"/>
    <w:rsid w:val="00FB28EE"/>
    <w:rsid w:val="00FB2A04"/>
    <w:rsid w:val="00FB2A0A"/>
    <w:rsid w:val="00FB322A"/>
    <w:rsid w:val="00FB3510"/>
    <w:rsid w:val="00FB351A"/>
    <w:rsid w:val="00FB3B41"/>
    <w:rsid w:val="00FB3E95"/>
    <w:rsid w:val="00FB3ED9"/>
    <w:rsid w:val="00FB465D"/>
    <w:rsid w:val="00FB46CD"/>
    <w:rsid w:val="00FB4771"/>
    <w:rsid w:val="00FB4FBE"/>
    <w:rsid w:val="00FB5454"/>
    <w:rsid w:val="00FB56FC"/>
    <w:rsid w:val="00FB58B5"/>
    <w:rsid w:val="00FB59A3"/>
    <w:rsid w:val="00FB6112"/>
    <w:rsid w:val="00FB61F3"/>
    <w:rsid w:val="00FB62A8"/>
    <w:rsid w:val="00FB637D"/>
    <w:rsid w:val="00FB644A"/>
    <w:rsid w:val="00FB725E"/>
    <w:rsid w:val="00FB73C5"/>
    <w:rsid w:val="00FB73E6"/>
    <w:rsid w:val="00FB7577"/>
    <w:rsid w:val="00FB776F"/>
    <w:rsid w:val="00FB7929"/>
    <w:rsid w:val="00FB79BF"/>
    <w:rsid w:val="00FB7DC3"/>
    <w:rsid w:val="00FB7E34"/>
    <w:rsid w:val="00FB7E62"/>
    <w:rsid w:val="00FB7EA2"/>
    <w:rsid w:val="00FC0127"/>
    <w:rsid w:val="00FC03CD"/>
    <w:rsid w:val="00FC0646"/>
    <w:rsid w:val="00FC06F4"/>
    <w:rsid w:val="00FC0A97"/>
    <w:rsid w:val="00FC0FE3"/>
    <w:rsid w:val="00FC11AF"/>
    <w:rsid w:val="00FC11E1"/>
    <w:rsid w:val="00FC1816"/>
    <w:rsid w:val="00FC187F"/>
    <w:rsid w:val="00FC18C2"/>
    <w:rsid w:val="00FC1D14"/>
    <w:rsid w:val="00FC1E4E"/>
    <w:rsid w:val="00FC1FAE"/>
    <w:rsid w:val="00FC1FD9"/>
    <w:rsid w:val="00FC2883"/>
    <w:rsid w:val="00FC2A0C"/>
    <w:rsid w:val="00FC2AC3"/>
    <w:rsid w:val="00FC31DF"/>
    <w:rsid w:val="00FC3754"/>
    <w:rsid w:val="00FC3AF8"/>
    <w:rsid w:val="00FC3C56"/>
    <w:rsid w:val="00FC4134"/>
    <w:rsid w:val="00FC436A"/>
    <w:rsid w:val="00FC46AD"/>
    <w:rsid w:val="00FC482E"/>
    <w:rsid w:val="00FC4B67"/>
    <w:rsid w:val="00FC5016"/>
    <w:rsid w:val="00FC549A"/>
    <w:rsid w:val="00FC566A"/>
    <w:rsid w:val="00FC57BB"/>
    <w:rsid w:val="00FC5858"/>
    <w:rsid w:val="00FC59E4"/>
    <w:rsid w:val="00FC5B16"/>
    <w:rsid w:val="00FC5F04"/>
    <w:rsid w:val="00FC6044"/>
    <w:rsid w:val="00FC6047"/>
    <w:rsid w:val="00FC62E7"/>
    <w:rsid w:val="00FC63CF"/>
    <w:rsid w:val="00FC6404"/>
    <w:rsid w:val="00FC64E1"/>
    <w:rsid w:val="00FC670D"/>
    <w:rsid w:val="00FC68B7"/>
    <w:rsid w:val="00FC69F3"/>
    <w:rsid w:val="00FC6B27"/>
    <w:rsid w:val="00FC6C25"/>
    <w:rsid w:val="00FC6F1C"/>
    <w:rsid w:val="00FC70E6"/>
    <w:rsid w:val="00FC723D"/>
    <w:rsid w:val="00FC7284"/>
    <w:rsid w:val="00FC742E"/>
    <w:rsid w:val="00FC7498"/>
    <w:rsid w:val="00FC78A8"/>
    <w:rsid w:val="00FC7AF1"/>
    <w:rsid w:val="00FC7E98"/>
    <w:rsid w:val="00FD0052"/>
    <w:rsid w:val="00FD0329"/>
    <w:rsid w:val="00FD0347"/>
    <w:rsid w:val="00FD0753"/>
    <w:rsid w:val="00FD0CF1"/>
    <w:rsid w:val="00FD0F97"/>
    <w:rsid w:val="00FD1369"/>
    <w:rsid w:val="00FD1707"/>
    <w:rsid w:val="00FD1A03"/>
    <w:rsid w:val="00FD1BE1"/>
    <w:rsid w:val="00FD1C78"/>
    <w:rsid w:val="00FD1F52"/>
    <w:rsid w:val="00FD266B"/>
    <w:rsid w:val="00FD28A8"/>
    <w:rsid w:val="00FD2CEE"/>
    <w:rsid w:val="00FD3297"/>
    <w:rsid w:val="00FD3521"/>
    <w:rsid w:val="00FD35BD"/>
    <w:rsid w:val="00FD3818"/>
    <w:rsid w:val="00FD38F3"/>
    <w:rsid w:val="00FD441E"/>
    <w:rsid w:val="00FD44F9"/>
    <w:rsid w:val="00FD48A4"/>
    <w:rsid w:val="00FD4ADD"/>
    <w:rsid w:val="00FD4DA6"/>
    <w:rsid w:val="00FD5076"/>
    <w:rsid w:val="00FD5771"/>
    <w:rsid w:val="00FD5B20"/>
    <w:rsid w:val="00FD5B2B"/>
    <w:rsid w:val="00FD5C2F"/>
    <w:rsid w:val="00FD5E10"/>
    <w:rsid w:val="00FD5F42"/>
    <w:rsid w:val="00FD637E"/>
    <w:rsid w:val="00FD6562"/>
    <w:rsid w:val="00FD67BD"/>
    <w:rsid w:val="00FD684F"/>
    <w:rsid w:val="00FD6878"/>
    <w:rsid w:val="00FD6925"/>
    <w:rsid w:val="00FD69BC"/>
    <w:rsid w:val="00FD6A97"/>
    <w:rsid w:val="00FD6BDF"/>
    <w:rsid w:val="00FD6D5E"/>
    <w:rsid w:val="00FD70DF"/>
    <w:rsid w:val="00FD73A9"/>
    <w:rsid w:val="00FD7771"/>
    <w:rsid w:val="00FD7B2D"/>
    <w:rsid w:val="00FD7E52"/>
    <w:rsid w:val="00FE0376"/>
    <w:rsid w:val="00FE0550"/>
    <w:rsid w:val="00FE07EC"/>
    <w:rsid w:val="00FE0997"/>
    <w:rsid w:val="00FE0D30"/>
    <w:rsid w:val="00FE0FD8"/>
    <w:rsid w:val="00FE1124"/>
    <w:rsid w:val="00FE1151"/>
    <w:rsid w:val="00FE1242"/>
    <w:rsid w:val="00FE1259"/>
    <w:rsid w:val="00FE13A0"/>
    <w:rsid w:val="00FE1744"/>
    <w:rsid w:val="00FE17D6"/>
    <w:rsid w:val="00FE1816"/>
    <w:rsid w:val="00FE18C0"/>
    <w:rsid w:val="00FE1979"/>
    <w:rsid w:val="00FE1AB7"/>
    <w:rsid w:val="00FE1C8A"/>
    <w:rsid w:val="00FE1DCF"/>
    <w:rsid w:val="00FE1EA7"/>
    <w:rsid w:val="00FE213C"/>
    <w:rsid w:val="00FE216F"/>
    <w:rsid w:val="00FE26F3"/>
    <w:rsid w:val="00FE2AA5"/>
    <w:rsid w:val="00FE2C85"/>
    <w:rsid w:val="00FE3339"/>
    <w:rsid w:val="00FE35A6"/>
    <w:rsid w:val="00FE35FA"/>
    <w:rsid w:val="00FE3CC3"/>
    <w:rsid w:val="00FE45B0"/>
    <w:rsid w:val="00FE481F"/>
    <w:rsid w:val="00FE4D00"/>
    <w:rsid w:val="00FE5300"/>
    <w:rsid w:val="00FE5757"/>
    <w:rsid w:val="00FE5E29"/>
    <w:rsid w:val="00FE60BA"/>
    <w:rsid w:val="00FE60C1"/>
    <w:rsid w:val="00FE61E3"/>
    <w:rsid w:val="00FE6567"/>
    <w:rsid w:val="00FE6704"/>
    <w:rsid w:val="00FE672B"/>
    <w:rsid w:val="00FE693A"/>
    <w:rsid w:val="00FE6985"/>
    <w:rsid w:val="00FE6C72"/>
    <w:rsid w:val="00FE6F45"/>
    <w:rsid w:val="00FE711E"/>
    <w:rsid w:val="00FE7285"/>
    <w:rsid w:val="00FE766C"/>
    <w:rsid w:val="00FE773A"/>
    <w:rsid w:val="00FE77B6"/>
    <w:rsid w:val="00FE7BEA"/>
    <w:rsid w:val="00FE7C3F"/>
    <w:rsid w:val="00FE7CC1"/>
    <w:rsid w:val="00FF00CD"/>
    <w:rsid w:val="00FF00DB"/>
    <w:rsid w:val="00FF07EA"/>
    <w:rsid w:val="00FF07F9"/>
    <w:rsid w:val="00FF0B8F"/>
    <w:rsid w:val="00FF0C98"/>
    <w:rsid w:val="00FF0E9B"/>
    <w:rsid w:val="00FF10FF"/>
    <w:rsid w:val="00FF165D"/>
    <w:rsid w:val="00FF18CE"/>
    <w:rsid w:val="00FF25E4"/>
    <w:rsid w:val="00FF2615"/>
    <w:rsid w:val="00FF2943"/>
    <w:rsid w:val="00FF2D0B"/>
    <w:rsid w:val="00FF3375"/>
    <w:rsid w:val="00FF40CB"/>
    <w:rsid w:val="00FF4D62"/>
    <w:rsid w:val="00FF50FB"/>
    <w:rsid w:val="00FF54EF"/>
    <w:rsid w:val="00FF563B"/>
    <w:rsid w:val="00FF5C69"/>
    <w:rsid w:val="00FF5DCB"/>
    <w:rsid w:val="00FF5F8E"/>
    <w:rsid w:val="00FF5FA3"/>
    <w:rsid w:val="00FF5FFE"/>
    <w:rsid w:val="00FF6111"/>
    <w:rsid w:val="00FF65DE"/>
    <w:rsid w:val="00FF67EE"/>
    <w:rsid w:val="00FF6D16"/>
    <w:rsid w:val="00FF6F1A"/>
    <w:rsid w:val="00FF6F6D"/>
    <w:rsid w:val="00FF71EA"/>
    <w:rsid w:val="00FF7287"/>
    <w:rsid w:val="00FF7470"/>
    <w:rsid w:val="00FF7499"/>
    <w:rsid w:val="00FF7A4B"/>
    <w:rsid w:val="00FF7B5B"/>
    <w:rsid w:val="00FF7BE4"/>
    <w:rsid w:val="00FF7E47"/>
    <w:rsid w:val="010CEE50"/>
    <w:rsid w:val="03954AA5"/>
    <w:rsid w:val="03B165DA"/>
    <w:rsid w:val="04A339C8"/>
    <w:rsid w:val="0A143397"/>
    <w:rsid w:val="0A433E46"/>
    <w:rsid w:val="0BF74173"/>
    <w:rsid w:val="0E39513D"/>
    <w:rsid w:val="0F518DC3"/>
    <w:rsid w:val="101CF440"/>
    <w:rsid w:val="10C19277"/>
    <w:rsid w:val="1168D3B2"/>
    <w:rsid w:val="11F4C0D2"/>
    <w:rsid w:val="14988DF2"/>
    <w:rsid w:val="15FBE517"/>
    <w:rsid w:val="16E35624"/>
    <w:rsid w:val="19294418"/>
    <w:rsid w:val="1A180257"/>
    <w:rsid w:val="1B9D9EEA"/>
    <w:rsid w:val="1D3CD144"/>
    <w:rsid w:val="1EB081EA"/>
    <w:rsid w:val="1EFF67FD"/>
    <w:rsid w:val="23CEF17F"/>
    <w:rsid w:val="2522EA91"/>
    <w:rsid w:val="258158C3"/>
    <w:rsid w:val="25A274AF"/>
    <w:rsid w:val="25B6A93B"/>
    <w:rsid w:val="267F5F26"/>
    <w:rsid w:val="27082400"/>
    <w:rsid w:val="29685DCA"/>
    <w:rsid w:val="2DE19F40"/>
    <w:rsid w:val="30009E37"/>
    <w:rsid w:val="309F5F06"/>
    <w:rsid w:val="339EAECE"/>
    <w:rsid w:val="34CA8FEA"/>
    <w:rsid w:val="36360AA2"/>
    <w:rsid w:val="36FB6E52"/>
    <w:rsid w:val="3895B3B8"/>
    <w:rsid w:val="3A28F31D"/>
    <w:rsid w:val="3B4F6CFB"/>
    <w:rsid w:val="3BDABACE"/>
    <w:rsid w:val="3E42E226"/>
    <w:rsid w:val="409A313C"/>
    <w:rsid w:val="432DA39D"/>
    <w:rsid w:val="455839A3"/>
    <w:rsid w:val="4624F08E"/>
    <w:rsid w:val="4711D256"/>
    <w:rsid w:val="477E5AB1"/>
    <w:rsid w:val="4DE4B290"/>
    <w:rsid w:val="4ECD698E"/>
    <w:rsid w:val="505F41CF"/>
    <w:rsid w:val="512248AE"/>
    <w:rsid w:val="5259DB26"/>
    <w:rsid w:val="54C093C3"/>
    <w:rsid w:val="57450B5F"/>
    <w:rsid w:val="589E6AD3"/>
    <w:rsid w:val="59B74871"/>
    <w:rsid w:val="59C3C687"/>
    <w:rsid w:val="5A9B3153"/>
    <w:rsid w:val="5E3BA5E8"/>
    <w:rsid w:val="5FB41199"/>
    <w:rsid w:val="602354E9"/>
    <w:rsid w:val="60D2BD5D"/>
    <w:rsid w:val="61940217"/>
    <w:rsid w:val="633CE2FE"/>
    <w:rsid w:val="64ADAE07"/>
    <w:rsid w:val="66DAA76E"/>
    <w:rsid w:val="6795DC76"/>
    <w:rsid w:val="686C4927"/>
    <w:rsid w:val="6AE636F0"/>
    <w:rsid w:val="714F5526"/>
    <w:rsid w:val="72691344"/>
    <w:rsid w:val="7285B68D"/>
    <w:rsid w:val="742B681A"/>
    <w:rsid w:val="75B50522"/>
    <w:rsid w:val="7BF9AE08"/>
    <w:rsid w:val="7E4D0694"/>
    <w:rsid w:val="7F021DC4"/>
    <w:rsid w:val="7FEC2D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32A76"/>
  <w15:docId w15:val="{EDB5E8AE-4B7F-4515-B186-44E7B370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FR" w:eastAsia="fr-FR" w:bidi="ar-SA"/>
      </w:rPr>
    </w:rPrDefault>
    <w:pPrDefault>
      <w:pPr>
        <w:spacing w:after="80"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834E4E"/>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Fußnote,Footnote Text Char Char,single space,footnote text,Footnote text,Podrozdział,Footnote,Podrozdzia3"/>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2476E5"/>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17) EPR Header,17 EPR Header,Aa?oiee eieiioeooe,(07) EPR Header"/>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2476E5"/>
    <w:pPr>
      <w:suppressAutoHyphens/>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476E5"/>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34E4E"/>
    <w:pPr>
      <w:numPr>
        <w:numId w:val="3"/>
      </w:numPr>
    </w:pPr>
  </w:style>
  <w:style w:type="character" w:customStyle="1" w:styleId="SingleTxtGChar">
    <w:name w:val="_ Single Txt_G Char"/>
    <w:link w:val="SingleTxtG"/>
    <w:rsid w:val="0074016F"/>
    <w:rPr>
      <w:lang w:val="en-GB"/>
    </w:rPr>
  </w:style>
  <w:style w:type="character" w:customStyle="1" w:styleId="H1GChar">
    <w:name w:val="_ H_1_G Char"/>
    <w:link w:val="H1G"/>
    <w:rsid w:val="0074016F"/>
    <w:rPr>
      <w:b/>
      <w:sz w:val="24"/>
      <w:lang w:val="en-GB"/>
    </w:rPr>
  </w:style>
  <w:style w:type="character" w:styleId="CommentReference">
    <w:name w:val="annotation reference"/>
    <w:basedOn w:val="DefaultParagraphFont"/>
    <w:semiHidden/>
    <w:unhideWhenUsed/>
    <w:rsid w:val="009B0D72"/>
    <w:rPr>
      <w:sz w:val="16"/>
      <w:szCs w:val="16"/>
    </w:rPr>
  </w:style>
  <w:style w:type="paragraph" w:styleId="CommentText">
    <w:name w:val="annotation text"/>
    <w:basedOn w:val="Normal"/>
    <w:link w:val="CommentTextChar"/>
    <w:unhideWhenUsed/>
    <w:rsid w:val="009B0D72"/>
    <w:pPr>
      <w:spacing w:line="240" w:lineRule="auto"/>
    </w:pPr>
  </w:style>
  <w:style w:type="character" w:customStyle="1" w:styleId="CommentTextChar">
    <w:name w:val="Comment Text Char"/>
    <w:basedOn w:val="DefaultParagraphFont"/>
    <w:link w:val="CommentText"/>
    <w:rsid w:val="009B0D72"/>
    <w:rPr>
      <w:lang w:val="en-GB"/>
    </w:rPr>
  </w:style>
  <w:style w:type="paragraph" w:styleId="CommentSubject">
    <w:name w:val="annotation subject"/>
    <w:basedOn w:val="CommentText"/>
    <w:next w:val="CommentText"/>
    <w:link w:val="CommentSubjectChar"/>
    <w:semiHidden/>
    <w:unhideWhenUsed/>
    <w:rsid w:val="009B0D72"/>
    <w:rPr>
      <w:b/>
      <w:bCs/>
    </w:rPr>
  </w:style>
  <w:style w:type="character" w:customStyle="1" w:styleId="CommentSubjectChar">
    <w:name w:val="Comment Subject Char"/>
    <w:basedOn w:val="CommentTextChar"/>
    <w:link w:val="CommentSubject"/>
    <w:semiHidden/>
    <w:rsid w:val="009B0D72"/>
    <w:rPr>
      <w:b/>
      <w:bCs/>
      <w:lang w:val="en-GB"/>
    </w:rPr>
  </w:style>
  <w:style w:type="paragraph" w:styleId="ListParagraph">
    <w:name w:val="List Paragraph"/>
    <w:basedOn w:val="Normal"/>
    <w:uiPriority w:val="34"/>
    <w:qFormat/>
    <w:rsid w:val="00BD3D90"/>
    <w:pPr>
      <w:spacing w:after="160" w:line="259" w:lineRule="auto"/>
      <w:ind w:left="720"/>
      <w:contextualSpacing/>
    </w:pPr>
    <w:rPr>
      <w:rFonts w:asciiTheme="minorHAnsi" w:eastAsiaTheme="minorEastAsia" w:hAnsiTheme="minorHAnsi" w:cstheme="minorBidi"/>
      <w:sz w:val="22"/>
      <w:szCs w:val="22"/>
      <w:lang w:eastAsia="zh-CN"/>
    </w:rPr>
  </w:style>
  <w:style w:type="character" w:customStyle="1" w:styleId="EndnoteTextChar">
    <w:name w:val="Endnote Text Char"/>
    <w:aliases w:val="2_G Char"/>
    <w:basedOn w:val="DefaultParagraphFont"/>
    <w:link w:val="EndnoteText"/>
    <w:rsid w:val="00BD3D90"/>
    <w:rPr>
      <w:sz w:val="18"/>
      <w:lang w:val="en-GB"/>
    </w:rPr>
  </w:style>
  <w:style w:type="character" w:styleId="UnresolvedMention">
    <w:name w:val="Unresolved Mention"/>
    <w:basedOn w:val="DefaultParagraphFont"/>
    <w:uiPriority w:val="99"/>
    <w:unhideWhenUsed/>
    <w:rsid w:val="000A743E"/>
    <w:rPr>
      <w:color w:val="605E5C"/>
      <w:shd w:val="clear" w:color="auto" w:fill="E1DFDD"/>
    </w:rPr>
  </w:style>
  <w:style w:type="character" w:customStyle="1" w:styleId="FootnoteTextChar">
    <w:name w:val="Footnote Text Char"/>
    <w:aliases w:val="5_G Char,Fußnote Char,Footnote Text Char Char Char,single space Char,footnote text Char,Footnote text Char,Podrozdział Char,Footnote Char,Podrozdzia3 Char"/>
    <w:basedOn w:val="DefaultParagraphFont"/>
    <w:link w:val="FootnoteText"/>
    <w:uiPriority w:val="99"/>
    <w:rsid w:val="001E2787"/>
    <w:rPr>
      <w:sz w:val="18"/>
      <w:lang w:val="en-GB"/>
    </w:rPr>
  </w:style>
  <w:style w:type="paragraph" w:styleId="Revision">
    <w:name w:val="Revision"/>
    <w:hidden/>
    <w:uiPriority w:val="99"/>
    <w:semiHidden/>
    <w:rsid w:val="00A53CB9"/>
    <w:pPr>
      <w:spacing w:after="0" w:line="240" w:lineRule="auto"/>
    </w:pPr>
    <w:rPr>
      <w:lang w:val="en-GB"/>
    </w:rPr>
  </w:style>
  <w:style w:type="character" w:styleId="Mention">
    <w:name w:val="Mention"/>
    <w:basedOn w:val="DefaultParagraphFont"/>
    <w:uiPriority w:val="99"/>
    <w:unhideWhenUsed/>
    <w:rsid w:val="00CC48C4"/>
    <w:rPr>
      <w:color w:val="2B579A"/>
      <w:shd w:val="clear" w:color="auto" w:fill="E1DFDD"/>
    </w:rPr>
  </w:style>
  <w:style w:type="paragraph" w:customStyle="1" w:styleId="paragraph">
    <w:name w:val="paragraph"/>
    <w:basedOn w:val="Normal"/>
    <w:rsid w:val="00863257"/>
    <w:pPr>
      <w:spacing w:before="100" w:beforeAutospacing="1" w:after="100" w:afterAutospacing="1" w:line="240" w:lineRule="auto"/>
    </w:pPr>
    <w:rPr>
      <w:sz w:val="24"/>
      <w:szCs w:val="24"/>
      <w:lang w:eastAsia="zh-CN"/>
    </w:rPr>
  </w:style>
  <w:style w:type="character" w:customStyle="1" w:styleId="normaltextrun">
    <w:name w:val="normaltextrun"/>
    <w:basedOn w:val="DefaultParagraphFont"/>
    <w:rsid w:val="00863257"/>
  </w:style>
  <w:style w:type="character" w:customStyle="1" w:styleId="eop">
    <w:name w:val="eop"/>
    <w:basedOn w:val="DefaultParagraphFont"/>
    <w:rsid w:val="00863257"/>
  </w:style>
  <w:style w:type="character" w:customStyle="1" w:styleId="superscript">
    <w:name w:val="superscript"/>
    <w:basedOn w:val="DefaultParagraphFont"/>
    <w:rsid w:val="00AC070E"/>
  </w:style>
  <w:style w:type="paragraph" w:styleId="Caption">
    <w:name w:val="caption"/>
    <w:basedOn w:val="Normal"/>
    <w:next w:val="Normal"/>
    <w:uiPriority w:val="35"/>
    <w:unhideWhenUsed/>
    <w:qFormat/>
    <w:rsid w:val="003F38A7"/>
    <w:pPr>
      <w:suppressAutoHyphens/>
      <w:autoSpaceDN w:val="0"/>
      <w:spacing w:after="200" w:line="240" w:lineRule="auto"/>
      <w:textAlignment w:val="baseline"/>
    </w:pPr>
    <w:rPr>
      <w:rFonts w:ascii="Calibri" w:eastAsia="DengXian" w:hAnsi="Calibri" w:cs="Arial"/>
      <w:i/>
      <w:iCs/>
      <w:color w:val="1F497D" w:themeColor="text2"/>
      <w:sz w:val="18"/>
      <w:szCs w:val="18"/>
      <w:lang w:eastAsia="zh-CN"/>
    </w:rPr>
  </w:style>
  <w:style w:type="table" w:styleId="GridTable1Light-Accent6">
    <w:name w:val="Grid Table 1 Light Accent 6"/>
    <w:basedOn w:val="TableNormal"/>
    <w:uiPriority w:val="46"/>
    <w:rsid w:val="003F38A7"/>
    <w:pPr>
      <w:autoSpaceDN w:val="0"/>
      <w:spacing w:after="0" w:line="240" w:lineRule="auto"/>
      <w:textAlignment w:val="baseline"/>
    </w:pPr>
    <w:rPr>
      <w:rFonts w:ascii="Calibri" w:eastAsia="DengXian" w:hAnsi="Calibri" w:cs="Arial"/>
      <w:sz w:val="22"/>
      <w:szCs w:val="22"/>
      <w:lang w:val="en-GB" w:eastAsia="zh-C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rsid w:val="001123A3"/>
    <w:pPr>
      <w:spacing w:before="100" w:after="100" w:line="240" w:lineRule="auto"/>
    </w:pPr>
    <w:rPr>
      <w:rFonts w:asciiTheme="minorHAnsi" w:eastAsiaTheme="minorEastAsia" w:hAnsiTheme="minorHAnsi" w:cstheme="minorBidi"/>
      <w:sz w:val="24"/>
      <w:lang w:val="en-US" w:eastAsia="ja-JP"/>
    </w:rPr>
  </w:style>
  <w:style w:type="table" w:styleId="LightList-Accent5">
    <w:name w:val="Light List Accent 5"/>
    <w:basedOn w:val="TableNormal"/>
    <w:uiPriority w:val="61"/>
    <w:semiHidden/>
    <w:unhideWhenUsed/>
    <w:rsid w:val="001123A3"/>
    <w:pPr>
      <w:spacing w:after="0" w:line="240" w:lineRule="auto"/>
    </w:pPr>
    <w:rPr>
      <w:rFonts w:asciiTheme="minorHAnsi" w:eastAsiaTheme="minorEastAsia" w:hAnsiTheme="minorHAnsi" w:cstheme="minorBidi"/>
      <w:sz w:val="22"/>
      <w:szCs w:val="22"/>
      <w:lang w:val="en-GB"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1Light-Accent1">
    <w:name w:val="Grid Table 1 Light Accent 1"/>
    <w:basedOn w:val="TableNormal"/>
    <w:uiPriority w:val="46"/>
    <w:rsid w:val="001123A3"/>
    <w:pPr>
      <w:spacing w:after="0" w:line="240" w:lineRule="auto"/>
    </w:pPr>
    <w:rPr>
      <w:rFonts w:asciiTheme="minorHAnsi" w:eastAsiaTheme="minorHAnsi" w:hAnsiTheme="minorHAnsi" w:cstheme="minorBidi"/>
      <w:sz w:val="22"/>
      <w:szCs w:val="22"/>
      <w:lang w:val="en-GB"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1123A3"/>
    <w:pPr>
      <w:spacing w:after="0" w:line="240" w:lineRule="auto"/>
    </w:pPr>
    <w:rPr>
      <w:rFonts w:asciiTheme="minorHAnsi" w:eastAsiaTheme="minorHAnsi" w:hAnsiTheme="minorHAnsi" w:cstheme="minorBidi"/>
      <w:sz w:val="22"/>
      <w:szCs w:val="22"/>
      <w:lang w:val="en-GB" w:eastAsia="en-US"/>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msonormalmrcssattrmrcssattr">
    <w:name w:val="msonormal_mr_css_attr_mr_css_attr"/>
    <w:basedOn w:val="Normal"/>
    <w:rsid w:val="00B26D0F"/>
    <w:pPr>
      <w:spacing w:before="100" w:beforeAutospacing="1" w:after="100" w:afterAutospacing="1" w:line="240" w:lineRule="auto"/>
    </w:pPr>
    <w:rPr>
      <w:rFonts w:eastAsia="Times New Roman"/>
      <w:sz w:val="24"/>
      <w:szCs w:val="24"/>
      <w:lang w:val="ru-RU" w:eastAsia="ru-RU"/>
    </w:rPr>
  </w:style>
  <w:style w:type="character" w:customStyle="1" w:styleId="layout">
    <w:name w:val="layout"/>
    <w:basedOn w:val="DefaultParagraphFont"/>
    <w:rsid w:val="00B26D0F"/>
  </w:style>
  <w:style w:type="table" w:styleId="TableGridLight">
    <w:name w:val="Grid Table Light"/>
    <w:basedOn w:val="TableNormal"/>
    <w:uiPriority w:val="40"/>
    <w:rsid w:val="00E42367"/>
    <w:pPr>
      <w:spacing w:after="0" w:line="240" w:lineRule="auto"/>
    </w:pPr>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aliases w:val="6_G Char,(17) EPR Header Char,17 EPR Header Char,Aa?oiee eieiioeooe Char,(07) EPR Header Char"/>
    <w:basedOn w:val="DefaultParagraphFont"/>
    <w:link w:val="Header"/>
    <w:qFormat/>
    <w:rsid w:val="00E42367"/>
    <w:rPr>
      <w:b/>
      <w:sz w:val="18"/>
      <w:lang w:val="en-GB"/>
    </w:rPr>
  </w:style>
  <w:style w:type="character" w:customStyle="1" w:styleId="FooterChar">
    <w:name w:val="Footer Char"/>
    <w:aliases w:val="3_G Char"/>
    <w:basedOn w:val="DefaultParagraphFont"/>
    <w:link w:val="Footer"/>
    <w:uiPriority w:val="99"/>
    <w:rsid w:val="00E42367"/>
    <w:rPr>
      <w:sz w:val="16"/>
      <w:lang w:val="en-GB"/>
    </w:rPr>
  </w:style>
  <w:style w:type="character" w:customStyle="1" w:styleId="EndNoteBibliographyChar">
    <w:name w:val="EndNote Bibliography Char"/>
    <w:basedOn w:val="SingleTxtGChar"/>
    <w:link w:val="EndNoteBibliography"/>
    <w:semiHidden/>
    <w:locked/>
    <w:rsid w:val="00934757"/>
    <w:rPr>
      <w:lang w:val="en-GB"/>
    </w:rPr>
  </w:style>
  <w:style w:type="paragraph" w:customStyle="1" w:styleId="EndNoteBibliography">
    <w:name w:val="EndNote Bibliography"/>
    <w:basedOn w:val="Normal"/>
    <w:link w:val="EndNoteBibliographyChar"/>
    <w:semiHidden/>
    <w:rsid w:val="00934757"/>
  </w:style>
  <w:style w:type="table" w:styleId="GridTable4-Accent5">
    <w:name w:val="Grid Table 4 Accent 5"/>
    <w:basedOn w:val="TableNormal"/>
    <w:uiPriority w:val="49"/>
    <w:rsid w:val="00934757"/>
    <w:pPr>
      <w:spacing w:after="0" w:line="240" w:lineRule="auto"/>
    </w:pPr>
    <w:rPr>
      <w:rFonts w:eastAsia="Times New Roman"/>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lockText">
    <w:name w:val="Block Text"/>
    <w:basedOn w:val="Normal"/>
    <w:semiHidden/>
    <w:unhideWhenUsed/>
    <w:rsid w:val="006953E1"/>
    <w:pPr>
      <w:pBdr>
        <w:top w:val="single" w:sz="2" w:space="10" w:color="4F81BD" w:themeColor="accent1"/>
        <w:left w:val="single" w:sz="2" w:space="10" w:color="4F81BD" w:themeColor="accent1"/>
        <w:bottom w:val="single" w:sz="2" w:space="10" w:color="4F81BD" w:themeColor="accent1"/>
        <w:right w:val="single" w:sz="2" w:space="10" w:color="4F81BD" w:themeColor="accent1"/>
      </w:pBdr>
      <w:suppressAutoHyphens/>
      <w:spacing w:after="0"/>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953E1"/>
    <w:pPr>
      <w:suppressAutoHyphens/>
      <w:spacing w:after="120"/>
    </w:pPr>
    <w:rPr>
      <w:rFonts w:eastAsia="Times New Roman"/>
    </w:rPr>
  </w:style>
  <w:style w:type="character" w:customStyle="1" w:styleId="BodyTextChar">
    <w:name w:val="Body Text Char"/>
    <w:basedOn w:val="DefaultParagraphFont"/>
    <w:link w:val="BodyText"/>
    <w:semiHidden/>
    <w:rsid w:val="006953E1"/>
    <w:rPr>
      <w:rFonts w:eastAsia="Times New Roman"/>
      <w:lang w:val="en-GB"/>
    </w:rPr>
  </w:style>
  <w:style w:type="paragraph" w:styleId="BodyText2">
    <w:name w:val="Body Text 2"/>
    <w:basedOn w:val="Normal"/>
    <w:link w:val="BodyText2Char"/>
    <w:semiHidden/>
    <w:unhideWhenUsed/>
    <w:rsid w:val="006953E1"/>
    <w:pPr>
      <w:suppressAutoHyphens/>
      <w:spacing w:after="120" w:line="480" w:lineRule="auto"/>
    </w:pPr>
    <w:rPr>
      <w:rFonts w:eastAsia="Times New Roman"/>
    </w:rPr>
  </w:style>
  <w:style w:type="character" w:customStyle="1" w:styleId="BodyText2Char">
    <w:name w:val="Body Text 2 Char"/>
    <w:basedOn w:val="DefaultParagraphFont"/>
    <w:link w:val="BodyText2"/>
    <w:semiHidden/>
    <w:rsid w:val="006953E1"/>
    <w:rPr>
      <w:rFonts w:eastAsia="Times New Roman"/>
      <w:lang w:val="en-GB"/>
    </w:rPr>
  </w:style>
  <w:style w:type="paragraph" w:styleId="BodyText3">
    <w:name w:val="Body Text 3"/>
    <w:basedOn w:val="Normal"/>
    <w:link w:val="BodyText3Char"/>
    <w:semiHidden/>
    <w:unhideWhenUsed/>
    <w:rsid w:val="006953E1"/>
    <w:pPr>
      <w:suppressAutoHyphens/>
      <w:spacing w:after="120"/>
    </w:pPr>
    <w:rPr>
      <w:rFonts w:eastAsia="Times New Roman"/>
      <w:sz w:val="16"/>
      <w:szCs w:val="16"/>
    </w:rPr>
  </w:style>
  <w:style w:type="character" w:customStyle="1" w:styleId="BodyText3Char">
    <w:name w:val="Body Text 3 Char"/>
    <w:basedOn w:val="DefaultParagraphFont"/>
    <w:link w:val="BodyText3"/>
    <w:semiHidden/>
    <w:rsid w:val="006953E1"/>
    <w:rPr>
      <w:rFonts w:eastAsia="Times New Roman"/>
      <w:sz w:val="16"/>
      <w:szCs w:val="16"/>
      <w:lang w:val="en-GB"/>
    </w:rPr>
  </w:style>
  <w:style w:type="paragraph" w:styleId="BodyTextFirstIndent">
    <w:name w:val="Body Text First Indent"/>
    <w:basedOn w:val="BodyText"/>
    <w:link w:val="BodyTextFirstIndentChar"/>
    <w:semiHidden/>
    <w:unhideWhenUsed/>
    <w:rsid w:val="006953E1"/>
    <w:pPr>
      <w:spacing w:after="0"/>
      <w:ind w:firstLine="360"/>
    </w:pPr>
  </w:style>
  <w:style w:type="character" w:customStyle="1" w:styleId="BodyTextFirstIndentChar">
    <w:name w:val="Body Text First Indent Char"/>
    <w:basedOn w:val="BodyTextChar"/>
    <w:link w:val="BodyTextFirstIndent"/>
    <w:semiHidden/>
    <w:rsid w:val="006953E1"/>
    <w:rPr>
      <w:rFonts w:eastAsia="Times New Roman"/>
      <w:lang w:val="en-GB"/>
    </w:rPr>
  </w:style>
  <w:style w:type="paragraph" w:styleId="BodyTextIndent">
    <w:name w:val="Body Text Indent"/>
    <w:basedOn w:val="Normal"/>
    <w:link w:val="BodyTextIndentChar"/>
    <w:semiHidden/>
    <w:unhideWhenUsed/>
    <w:rsid w:val="006953E1"/>
    <w:pPr>
      <w:suppressAutoHyphens/>
      <w:spacing w:after="120"/>
      <w:ind w:left="283"/>
    </w:pPr>
    <w:rPr>
      <w:rFonts w:eastAsia="Times New Roman"/>
    </w:rPr>
  </w:style>
  <w:style w:type="character" w:customStyle="1" w:styleId="BodyTextIndentChar">
    <w:name w:val="Body Text Indent Char"/>
    <w:basedOn w:val="DefaultParagraphFont"/>
    <w:link w:val="BodyTextIndent"/>
    <w:semiHidden/>
    <w:rsid w:val="006953E1"/>
    <w:rPr>
      <w:rFonts w:eastAsia="Times New Roman"/>
      <w:lang w:val="en-GB"/>
    </w:rPr>
  </w:style>
  <w:style w:type="paragraph" w:styleId="BodyTextFirstIndent2">
    <w:name w:val="Body Text First Indent 2"/>
    <w:basedOn w:val="BodyTextIndent"/>
    <w:link w:val="BodyTextFirstIndent2Char"/>
    <w:semiHidden/>
    <w:unhideWhenUsed/>
    <w:rsid w:val="006953E1"/>
    <w:pPr>
      <w:spacing w:after="0"/>
      <w:ind w:left="360" w:firstLine="360"/>
    </w:pPr>
  </w:style>
  <w:style w:type="character" w:customStyle="1" w:styleId="BodyTextFirstIndent2Char">
    <w:name w:val="Body Text First Indent 2 Char"/>
    <w:basedOn w:val="BodyTextIndentChar"/>
    <w:link w:val="BodyTextFirstIndent2"/>
    <w:semiHidden/>
    <w:rsid w:val="006953E1"/>
    <w:rPr>
      <w:rFonts w:eastAsia="Times New Roman"/>
      <w:lang w:val="en-GB"/>
    </w:rPr>
  </w:style>
  <w:style w:type="paragraph" w:styleId="BodyTextIndent2">
    <w:name w:val="Body Text Indent 2"/>
    <w:basedOn w:val="Normal"/>
    <w:link w:val="BodyTextIndent2Char"/>
    <w:semiHidden/>
    <w:unhideWhenUsed/>
    <w:rsid w:val="006953E1"/>
    <w:pPr>
      <w:suppressAutoHyphens/>
      <w:spacing w:after="120" w:line="480" w:lineRule="auto"/>
      <w:ind w:left="283"/>
    </w:pPr>
    <w:rPr>
      <w:rFonts w:eastAsia="Times New Roman"/>
    </w:rPr>
  </w:style>
  <w:style w:type="character" w:customStyle="1" w:styleId="BodyTextIndent2Char">
    <w:name w:val="Body Text Indent 2 Char"/>
    <w:basedOn w:val="DefaultParagraphFont"/>
    <w:link w:val="BodyTextIndent2"/>
    <w:semiHidden/>
    <w:rsid w:val="006953E1"/>
    <w:rPr>
      <w:rFonts w:eastAsia="Times New Roman"/>
      <w:lang w:val="en-GB"/>
    </w:rPr>
  </w:style>
  <w:style w:type="paragraph" w:styleId="BodyTextIndent3">
    <w:name w:val="Body Text Indent 3"/>
    <w:basedOn w:val="Normal"/>
    <w:link w:val="BodyTextIndent3Char"/>
    <w:semiHidden/>
    <w:unhideWhenUsed/>
    <w:rsid w:val="006953E1"/>
    <w:pPr>
      <w:suppressAutoHyphens/>
      <w:spacing w:after="120"/>
      <w:ind w:left="283"/>
    </w:pPr>
    <w:rPr>
      <w:rFonts w:eastAsia="Times New Roman"/>
      <w:sz w:val="16"/>
      <w:szCs w:val="16"/>
    </w:rPr>
  </w:style>
  <w:style w:type="character" w:customStyle="1" w:styleId="BodyTextIndent3Char">
    <w:name w:val="Body Text Indent 3 Char"/>
    <w:basedOn w:val="DefaultParagraphFont"/>
    <w:link w:val="BodyTextIndent3"/>
    <w:semiHidden/>
    <w:rsid w:val="006953E1"/>
    <w:rPr>
      <w:rFonts w:eastAsia="Times New Roman"/>
      <w:sz w:val="16"/>
      <w:szCs w:val="16"/>
      <w:lang w:val="en-GB"/>
    </w:rPr>
  </w:style>
  <w:style w:type="paragraph" w:styleId="Closing">
    <w:name w:val="Closing"/>
    <w:basedOn w:val="Normal"/>
    <w:link w:val="ClosingChar"/>
    <w:semiHidden/>
    <w:unhideWhenUsed/>
    <w:rsid w:val="006953E1"/>
    <w:pPr>
      <w:suppressAutoHyphens/>
      <w:spacing w:after="0" w:line="240" w:lineRule="auto"/>
      <w:ind w:left="4252"/>
    </w:pPr>
    <w:rPr>
      <w:rFonts w:eastAsia="Times New Roman"/>
    </w:rPr>
  </w:style>
  <w:style w:type="character" w:customStyle="1" w:styleId="ClosingChar">
    <w:name w:val="Closing Char"/>
    <w:basedOn w:val="DefaultParagraphFont"/>
    <w:link w:val="Closing"/>
    <w:semiHidden/>
    <w:rsid w:val="006953E1"/>
    <w:rPr>
      <w:rFonts w:eastAsia="Times New Roman"/>
      <w:lang w:val="en-GB"/>
    </w:rPr>
  </w:style>
  <w:style w:type="paragraph" w:styleId="Date">
    <w:name w:val="Date"/>
    <w:basedOn w:val="Normal"/>
    <w:next w:val="Normal"/>
    <w:link w:val="DateChar"/>
    <w:semiHidden/>
    <w:rsid w:val="006953E1"/>
    <w:pPr>
      <w:suppressAutoHyphens/>
      <w:spacing w:after="0"/>
    </w:pPr>
    <w:rPr>
      <w:rFonts w:eastAsia="Times New Roman"/>
    </w:rPr>
  </w:style>
  <w:style w:type="character" w:customStyle="1" w:styleId="DateChar">
    <w:name w:val="Date Char"/>
    <w:basedOn w:val="DefaultParagraphFont"/>
    <w:link w:val="Date"/>
    <w:semiHidden/>
    <w:rsid w:val="006953E1"/>
    <w:rPr>
      <w:rFonts w:eastAsia="Times New Roman"/>
      <w:lang w:val="en-GB"/>
    </w:rPr>
  </w:style>
  <w:style w:type="paragraph" w:styleId="DocumentMap">
    <w:name w:val="Document Map"/>
    <w:basedOn w:val="Normal"/>
    <w:link w:val="DocumentMapChar"/>
    <w:semiHidden/>
    <w:unhideWhenUsed/>
    <w:rsid w:val="006953E1"/>
    <w:pPr>
      <w:suppressAutoHyphens/>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semiHidden/>
    <w:rsid w:val="006953E1"/>
    <w:rPr>
      <w:rFonts w:ascii="Segoe UI" w:eastAsia="Times New Roman" w:hAnsi="Segoe UI" w:cs="Segoe UI"/>
      <w:sz w:val="16"/>
      <w:szCs w:val="16"/>
      <w:lang w:val="en-GB"/>
    </w:rPr>
  </w:style>
  <w:style w:type="paragraph" w:styleId="E-mailSignature">
    <w:name w:val="E-mail Signature"/>
    <w:basedOn w:val="Normal"/>
    <w:link w:val="E-mailSignatureChar"/>
    <w:semiHidden/>
    <w:unhideWhenUsed/>
    <w:rsid w:val="006953E1"/>
    <w:pPr>
      <w:suppressAutoHyphens/>
      <w:spacing w:after="0" w:line="240" w:lineRule="auto"/>
    </w:pPr>
    <w:rPr>
      <w:rFonts w:eastAsia="Times New Roman"/>
    </w:rPr>
  </w:style>
  <w:style w:type="character" w:customStyle="1" w:styleId="E-mailSignatureChar">
    <w:name w:val="E-mail Signature Char"/>
    <w:basedOn w:val="DefaultParagraphFont"/>
    <w:link w:val="E-mailSignature"/>
    <w:semiHidden/>
    <w:rsid w:val="006953E1"/>
    <w:rPr>
      <w:rFonts w:eastAsia="Times New Roman"/>
      <w:lang w:val="en-GB"/>
    </w:rPr>
  </w:style>
  <w:style w:type="paragraph" w:styleId="EnvelopeAddress">
    <w:name w:val="envelope address"/>
    <w:basedOn w:val="Normal"/>
    <w:semiHidden/>
    <w:unhideWhenUsed/>
    <w:rsid w:val="006953E1"/>
    <w:pPr>
      <w:framePr w:w="7920" w:h="1980" w:hRule="exact" w:hSpace="180" w:wrap="auto" w:hAnchor="page" w:xAlign="center" w:yAlign="bottom"/>
      <w:suppressAutoHyphens/>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953E1"/>
    <w:pPr>
      <w:suppressAutoHyphens/>
      <w:spacing w:after="0"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6953E1"/>
    <w:pPr>
      <w:suppressAutoHyphens/>
      <w:spacing w:after="0" w:line="240" w:lineRule="auto"/>
    </w:pPr>
    <w:rPr>
      <w:rFonts w:eastAsia="Times New Roman"/>
      <w:i/>
      <w:iCs/>
    </w:rPr>
  </w:style>
  <w:style w:type="character" w:customStyle="1" w:styleId="HTMLAddressChar">
    <w:name w:val="HTML Address Char"/>
    <w:basedOn w:val="DefaultParagraphFont"/>
    <w:link w:val="HTMLAddress"/>
    <w:semiHidden/>
    <w:rsid w:val="006953E1"/>
    <w:rPr>
      <w:rFonts w:eastAsia="Times New Roman"/>
      <w:i/>
      <w:iCs/>
      <w:lang w:val="en-GB"/>
    </w:rPr>
  </w:style>
  <w:style w:type="paragraph" w:styleId="HTMLPreformatted">
    <w:name w:val="HTML Preformatted"/>
    <w:basedOn w:val="Normal"/>
    <w:link w:val="HTMLPreformattedChar"/>
    <w:semiHidden/>
    <w:unhideWhenUsed/>
    <w:rsid w:val="006953E1"/>
    <w:pPr>
      <w:suppressAutoHyphens/>
      <w:spacing w:after="0" w:line="240" w:lineRule="auto"/>
    </w:pPr>
    <w:rPr>
      <w:rFonts w:ascii="Consolas" w:eastAsia="Times New Roman" w:hAnsi="Consolas"/>
    </w:rPr>
  </w:style>
  <w:style w:type="character" w:customStyle="1" w:styleId="HTMLPreformattedChar">
    <w:name w:val="HTML Preformatted Char"/>
    <w:basedOn w:val="DefaultParagraphFont"/>
    <w:link w:val="HTMLPreformatted"/>
    <w:semiHidden/>
    <w:rsid w:val="006953E1"/>
    <w:rPr>
      <w:rFonts w:ascii="Consolas" w:eastAsia="Times New Roman" w:hAnsi="Consolas"/>
      <w:lang w:val="en-GB"/>
    </w:rPr>
  </w:style>
  <w:style w:type="paragraph" w:styleId="Index1">
    <w:name w:val="index 1"/>
    <w:basedOn w:val="Normal"/>
    <w:next w:val="Normal"/>
    <w:autoRedefine/>
    <w:semiHidden/>
    <w:unhideWhenUsed/>
    <w:rsid w:val="006953E1"/>
    <w:pPr>
      <w:suppressAutoHyphens/>
      <w:spacing w:after="0" w:line="240" w:lineRule="auto"/>
      <w:ind w:left="200" w:hanging="200"/>
    </w:pPr>
    <w:rPr>
      <w:rFonts w:eastAsia="Times New Roman"/>
    </w:rPr>
  </w:style>
  <w:style w:type="paragraph" w:styleId="Index2">
    <w:name w:val="index 2"/>
    <w:basedOn w:val="Normal"/>
    <w:next w:val="Normal"/>
    <w:autoRedefine/>
    <w:semiHidden/>
    <w:unhideWhenUsed/>
    <w:rsid w:val="006953E1"/>
    <w:pPr>
      <w:suppressAutoHyphens/>
      <w:spacing w:after="0" w:line="240" w:lineRule="auto"/>
      <w:ind w:left="400" w:hanging="200"/>
    </w:pPr>
    <w:rPr>
      <w:rFonts w:eastAsia="Times New Roman"/>
    </w:rPr>
  </w:style>
  <w:style w:type="paragraph" w:styleId="Index3">
    <w:name w:val="index 3"/>
    <w:basedOn w:val="Normal"/>
    <w:next w:val="Normal"/>
    <w:autoRedefine/>
    <w:semiHidden/>
    <w:unhideWhenUsed/>
    <w:rsid w:val="006953E1"/>
    <w:pPr>
      <w:suppressAutoHyphens/>
      <w:spacing w:after="0" w:line="240" w:lineRule="auto"/>
      <w:ind w:left="600" w:hanging="200"/>
    </w:pPr>
    <w:rPr>
      <w:rFonts w:eastAsia="Times New Roman"/>
    </w:rPr>
  </w:style>
  <w:style w:type="paragraph" w:styleId="Index4">
    <w:name w:val="index 4"/>
    <w:basedOn w:val="Normal"/>
    <w:next w:val="Normal"/>
    <w:autoRedefine/>
    <w:semiHidden/>
    <w:unhideWhenUsed/>
    <w:rsid w:val="006953E1"/>
    <w:pPr>
      <w:suppressAutoHyphens/>
      <w:spacing w:after="0" w:line="240" w:lineRule="auto"/>
      <w:ind w:left="800" w:hanging="200"/>
    </w:pPr>
    <w:rPr>
      <w:rFonts w:eastAsia="Times New Roman"/>
    </w:rPr>
  </w:style>
  <w:style w:type="paragraph" w:styleId="Index5">
    <w:name w:val="index 5"/>
    <w:basedOn w:val="Normal"/>
    <w:next w:val="Normal"/>
    <w:autoRedefine/>
    <w:semiHidden/>
    <w:unhideWhenUsed/>
    <w:rsid w:val="006953E1"/>
    <w:pPr>
      <w:suppressAutoHyphens/>
      <w:spacing w:after="0" w:line="240" w:lineRule="auto"/>
      <w:ind w:left="1000" w:hanging="200"/>
    </w:pPr>
    <w:rPr>
      <w:rFonts w:eastAsia="Times New Roman"/>
    </w:rPr>
  </w:style>
  <w:style w:type="paragraph" w:styleId="Index6">
    <w:name w:val="index 6"/>
    <w:basedOn w:val="Normal"/>
    <w:next w:val="Normal"/>
    <w:autoRedefine/>
    <w:semiHidden/>
    <w:unhideWhenUsed/>
    <w:rsid w:val="006953E1"/>
    <w:pPr>
      <w:suppressAutoHyphens/>
      <w:spacing w:after="0" w:line="240" w:lineRule="auto"/>
      <w:ind w:left="1200" w:hanging="200"/>
    </w:pPr>
    <w:rPr>
      <w:rFonts w:eastAsia="Times New Roman"/>
    </w:rPr>
  </w:style>
  <w:style w:type="paragraph" w:styleId="Index7">
    <w:name w:val="index 7"/>
    <w:basedOn w:val="Normal"/>
    <w:next w:val="Normal"/>
    <w:autoRedefine/>
    <w:semiHidden/>
    <w:unhideWhenUsed/>
    <w:rsid w:val="006953E1"/>
    <w:pPr>
      <w:suppressAutoHyphens/>
      <w:spacing w:after="0" w:line="240" w:lineRule="auto"/>
      <w:ind w:left="1400" w:hanging="200"/>
    </w:pPr>
    <w:rPr>
      <w:rFonts w:eastAsia="Times New Roman"/>
    </w:rPr>
  </w:style>
  <w:style w:type="paragraph" w:styleId="Index8">
    <w:name w:val="index 8"/>
    <w:basedOn w:val="Normal"/>
    <w:next w:val="Normal"/>
    <w:autoRedefine/>
    <w:semiHidden/>
    <w:unhideWhenUsed/>
    <w:rsid w:val="006953E1"/>
    <w:pPr>
      <w:suppressAutoHyphens/>
      <w:spacing w:after="0" w:line="240" w:lineRule="auto"/>
      <w:ind w:left="1600" w:hanging="200"/>
    </w:pPr>
    <w:rPr>
      <w:rFonts w:eastAsia="Times New Roman"/>
    </w:rPr>
  </w:style>
  <w:style w:type="paragraph" w:styleId="Index9">
    <w:name w:val="index 9"/>
    <w:basedOn w:val="Normal"/>
    <w:next w:val="Normal"/>
    <w:autoRedefine/>
    <w:semiHidden/>
    <w:unhideWhenUsed/>
    <w:rsid w:val="006953E1"/>
    <w:pPr>
      <w:suppressAutoHyphens/>
      <w:spacing w:after="0" w:line="240" w:lineRule="auto"/>
      <w:ind w:left="1800" w:hanging="200"/>
    </w:pPr>
    <w:rPr>
      <w:rFonts w:eastAsia="Times New Roman"/>
    </w:rPr>
  </w:style>
  <w:style w:type="paragraph" w:styleId="IndexHeading">
    <w:name w:val="index heading"/>
    <w:basedOn w:val="Normal"/>
    <w:next w:val="Index1"/>
    <w:semiHidden/>
    <w:unhideWhenUsed/>
    <w:rsid w:val="006953E1"/>
    <w:pPr>
      <w:suppressAutoHyphens/>
      <w:spacing w:after="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6953E1"/>
    <w:pPr>
      <w:pBdr>
        <w:top w:val="single" w:sz="4" w:space="10" w:color="4F81BD" w:themeColor="accent1"/>
        <w:bottom w:val="single" w:sz="4" w:space="10" w:color="4F81BD" w:themeColor="accent1"/>
      </w:pBdr>
      <w:suppressAutoHyphens/>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semiHidden/>
    <w:rsid w:val="006953E1"/>
    <w:rPr>
      <w:rFonts w:eastAsia="Times New Roman"/>
      <w:i/>
      <w:iCs/>
      <w:color w:val="4F81BD" w:themeColor="accent1"/>
      <w:lang w:val="en-GB"/>
    </w:rPr>
  </w:style>
  <w:style w:type="paragraph" w:styleId="List">
    <w:name w:val="List"/>
    <w:basedOn w:val="Normal"/>
    <w:semiHidden/>
    <w:unhideWhenUsed/>
    <w:rsid w:val="006953E1"/>
    <w:pPr>
      <w:suppressAutoHyphens/>
      <w:spacing w:after="0"/>
      <w:ind w:left="283" w:hanging="283"/>
      <w:contextualSpacing/>
    </w:pPr>
    <w:rPr>
      <w:rFonts w:eastAsia="Times New Roman"/>
    </w:rPr>
  </w:style>
  <w:style w:type="paragraph" w:styleId="List2">
    <w:name w:val="List 2"/>
    <w:basedOn w:val="Normal"/>
    <w:semiHidden/>
    <w:unhideWhenUsed/>
    <w:rsid w:val="006953E1"/>
    <w:pPr>
      <w:suppressAutoHyphens/>
      <w:spacing w:after="0"/>
      <w:ind w:left="566" w:hanging="283"/>
      <w:contextualSpacing/>
    </w:pPr>
    <w:rPr>
      <w:rFonts w:eastAsia="Times New Roman"/>
    </w:rPr>
  </w:style>
  <w:style w:type="paragraph" w:styleId="List3">
    <w:name w:val="List 3"/>
    <w:basedOn w:val="Normal"/>
    <w:semiHidden/>
    <w:rsid w:val="006953E1"/>
    <w:pPr>
      <w:suppressAutoHyphens/>
      <w:spacing w:after="0"/>
      <w:ind w:left="849" w:hanging="283"/>
      <w:contextualSpacing/>
    </w:pPr>
    <w:rPr>
      <w:rFonts w:eastAsia="Times New Roman"/>
    </w:rPr>
  </w:style>
  <w:style w:type="paragraph" w:styleId="List4">
    <w:name w:val="List 4"/>
    <w:basedOn w:val="Normal"/>
    <w:semiHidden/>
    <w:rsid w:val="006953E1"/>
    <w:pPr>
      <w:suppressAutoHyphens/>
      <w:spacing w:after="0"/>
      <w:ind w:left="1132" w:hanging="283"/>
      <w:contextualSpacing/>
    </w:pPr>
    <w:rPr>
      <w:rFonts w:eastAsia="Times New Roman"/>
    </w:rPr>
  </w:style>
  <w:style w:type="paragraph" w:styleId="List5">
    <w:name w:val="List 5"/>
    <w:basedOn w:val="Normal"/>
    <w:semiHidden/>
    <w:unhideWhenUsed/>
    <w:rsid w:val="006953E1"/>
    <w:pPr>
      <w:suppressAutoHyphens/>
      <w:spacing w:after="0"/>
      <w:ind w:left="1415" w:hanging="283"/>
      <w:contextualSpacing/>
    </w:pPr>
    <w:rPr>
      <w:rFonts w:eastAsia="Times New Roman"/>
    </w:rPr>
  </w:style>
  <w:style w:type="paragraph" w:styleId="ListBullet">
    <w:name w:val="List Bullet"/>
    <w:basedOn w:val="Normal"/>
    <w:semiHidden/>
    <w:rsid w:val="006953E1"/>
    <w:pPr>
      <w:numPr>
        <w:numId w:val="10"/>
      </w:numPr>
      <w:suppressAutoHyphens/>
      <w:spacing w:after="0"/>
      <w:contextualSpacing/>
    </w:pPr>
    <w:rPr>
      <w:rFonts w:eastAsia="Times New Roman"/>
    </w:rPr>
  </w:style>
  <w:style w:type="paragraph" w:styleId="ListBullet2">
    <w:name w:val="List Bullet 2"/>
    <w:basedOn w:val="Normal"/>
    <w:semiHidden/>
    <w:unhideWhenUsed/>
    <w:rsid w:val="006953E1"/>
    <w:pPr>
      <w:numPr>
        <w:numId w:val="11"/>
      </w:numPr>
      <w:suppressAutoHyphens/>
      <w:spacing w:after="0"/>
      <w:contextualSpacing/>
    </w:pPr>
    <w:rPr>
      <w:rFonts w:eastAsia="Times New Roman"/>
    </w:rPr>
  </w:style>
  <w:style w:type="paragraph" w:styleId="ListBullet3">
    <w:name w:val="List Bullet 3"/>
    <w:basedOn w:val="Normal"/>
    <w:semiHidden/>
    <w:unhideWhenUsed/>
    <w:rsid w:val="006953E1"/>
    <w:pPr>
      <w:numPr>
        <w:numId w:val="12"/>
      </w:numPr>
      <w:suppressAutoHyphens/>
      <w:spacing w:after="0"/>
      <w:contextualSpacing/>
    </w:pPr>
    <w:rPr>
      <w:rFonts w:eastAsia="Times New Roman"/>
    </w:rPr>
  </w:style>
  <w:style w:type="paragraph" w:styleId="ListBullet4">
    <w:name w:val="List Bullet 4"/>
    <w:basedOn w:val="Normal"/>
    <w:semiHidden/>
    <w:unhideWhenUsed/>
    <w:rsid w:val="006953E1"/>
    <w:pPr>
      <w:numPr>
        <w:numId w:val="13"/>
      </w:numPr>
      <w:suppressAutoHyphens/>
      <w:spacing w:after="0"/>
      <w:contextualSpacing/>
    </w:pPr>
    <w:rPr>
      <w:rFonts w:eastAsia="Times New Roman"/>
    </w:rPr>
  </w:style>
  <w:style w:type="paragraph" w:styleId="ListBullet5">
    <w:name w:val="List Bullet 5"/>
    <w:basedOn w:val="Normal"/>
    <w:semiHidden/>
    <w:unhideWhenUsed/>
    <w:rsid w:val="006953E1"/>
    <w:pPr>
      <w:numPr>
        <w:numId w:val="14"/>
      </w:numPr>
      <w:suppressAutoHyphens/>
      <w:spacing w:after="0"/>
      <w:contextualSpacing/>
    </w:pPr>
    <w:rPr>
      <w:rFonts w:eastAsia="Times New Roman"/>
    </w:rPr>
  </w:style>
  <w:style w:type="paragraph" w:styleId="ListContinue">
    <w:name w:val="List Continue"/>
    <w:basedOn w:val="Normal"/>
    <w:semiHidden/>
    <w:unhideWhenUsed/>
    <w:rsid w:val="006953E1"/>
    <w:pPr>
      <w:suppressAutoHyphens/>
      <w:spacing w:after="120"/>
      <w:ind w:left="283"/>
      <w:contextualSpacing/>
    </w:pPr>
    <w:rPr>
      <w:rFonts w:eastAsia="Times New Roman"/>
    </w:rPr>
  </w:style>
  <w:style w:type="paragraph" w:styleId="ListContinue2">
    <w:name w:val="List Continue 2"/>
    <w:basedOn w:val="Normal"/>
    <w:semiHidden/>
    <w:unhideWhenUsed/>
    <w:rsid w:val="006953E1"/>
    <w:pPr>
      <w:suppressAutoHyphens/>
      <w:spacing w:after="120"/>
      <w:ind w:left="566"/>
      <w:contextualSpacing/>
    </w:pPr>
    <w:rPr>
      <w:rFonts w:eastAsia="Times New Roman"/>
    </w:rPr>
  </w:style>
  <w:style w:type="paragraph" w:styleId="ListContinue3">
    <w:name w:val="List Continue 3"/>
    <w:basedOn w:val="Normal"/>
    <w:semiHidden/>
    <w:unhideWhenUsed/>
    <w:rsid w:val="006953E1"/>
    <w:pPr>
      <w:suppressAutoHyphens/>
      <w:spacing w:after="120"/>
      <w:ind w:left="849"/>
      <w:contextualSpacing/>
    </w:pPr>
    <w:rPr>
      <w:rFonts w:eastAsia="Times New Roman"/>
    </w:rPr>
  </w:style>
  <w:style w:type="paragraph" w:styleId="ListContinue4">
    <w:name w:val="List Continue 4"/>
    <w:basedOn w:val="Normal"/>
    <w:semiHidden/>
    <w:unhideWhenUsed/>
    <w:rsid w:val="006953E1"/>
    <w:pPr>
      <w:suppressAutoHyphens/>
      <w:spacing w:after="120"/>
      <w:ind w:left="1132"/>
      <w:contextualSpacing/>
    </w:pPr>
    <w:rPr>
      <w:rFonts w:eastAsia="Times New Roman"/>
    </w:rPr>
  </w:style>
  <w:style w:type="paragraph" w:styleId="ListContinue5">
    <w:name w:val="List Continue 5"/>
    <w:basedOn w:val="Normal"/>
    <w:semiHidden/>
    <w:unhideWhenUsed/>
    <w:rsid w:val="006953E1"/>
    <w:pPr>
      <w:suppressAutoHyphens/>
      <w:spacing w:after="120"/>
      <w:ind w:left="1415"/>
      <w:contextualSpacing/>
    </w:pPr>
    <w:rPr>
      <w:rFonts w:eastAsia="Times New Roman"/>
    </w:rPr>
  </w:style>
  <w:style w:type="paragraph" w:styleId="ListNumber">
    <w:name w:val="List Number"/>
    <w:basedOn w:val="Normal"/>
    <w:semiHidden/>
    <w:unhideWhenUsed/>
    <w:rsid w:val="006953E1"/>
    <w:pPr>
      <w:numPr>
        <w:numId w:val="9"/>
      </w:numPr>
      <w:suppressAutoHyphens/>
      <w:spacing w:after="0"/>
      <w:contextualSpacing/>
    </w:pPr>
    <w:rPr>
      <w:rFonts w:eastAsia="Times New Roman"/>
    </w:rPr>
  </w:style>
  <w:style w:type="paragraph" w:styleId="ListNumber2">
    <w:name w:val="List Number 2"/>
    <w:basedOn w:val="Normal"/>
    <w:semiHidden/>
    <w:unhideWhenUsed/>
    <w:rsid w:val="006953E1"/>
    <w:pPr>
      <w:numPr>
        <w:numId w:val="8"/>
      </w:numPr>
      <w:suppressAutoHyphens/>
      <w:spacing w:after="0"/>
      <w:contextualSpacing/>
    </w:pPr>
    <w:rPr>
      <w:rFonts w:eastAsia="Times New Roman"/>
    </w:rPr>
  </w:style>
  <w:style w:type="paragraph" w:styleId="ListNumber3">
    <w:name w:val="List Number 3"/>
    <w:basedOn w:val="Normal"/>
    <w:semiHidden/>
    <w:unhideWhenUsed/>
    <w:rsid w:val="006953E1"/>
    <w:pPr>
      <w:numPr>
        <w:numId w:val="7"/>
      </w:numPr>
      <w:suppressAutoHyphens/>
      <w:spacing w:after="0"/>
      <w:contextualSpacing/>
    </w:pPr>
    <w:rPr>
      <w:rFonts w:eastAsia="Times New Roman"/>
    </w:rPr>
  </w:style>
  <w:style w:type="paragraph" w:styleId="ListNumber4">
    <w:name w:val="List Number 4"/>
    <w:basedOn w:val="Normal"/>
    <w:semiHidden/>
    <w:unhideWhenUsed/>
    <w:rsid w:val="006953E1"/>
    <w:pPr>
      <w:numPr>
        <w:numId w:val="5"/>
      </w:numPr>
      <w:suppressAutoHyphens/>
      <w:spacing w:after="0"/>
      <w:contextualSpacing/>
    </w:pPr>
    <w:rPr>
      <w:rFonts w:eastAsia="Times New Roman"/>
    </w:rPr>
  </w:style>
  <w:style w:type="paragraph" w:styleId="ListNumber5">
    <w:name w:val="List Number 5"/>
    <w:basedOn w:val="Normal"/>
    <w:semiHidden/>
    <w:unhideWhenUsed/>
    <w:rsid w:val="006953E1"/>
    <w:pPr>
      <w:numPr>
        <w:numId w:val="6"/>
      </w:numPr>
      <w:suppressAutoHyphens/>
      <w:spacing w:after="0"/>
      <w:contextualSpacing/>
    </w:pPr>
    <w:rPr>
      <w:rFonts w:eastAsia="Times New Roman"/>
    </w:rPr>
  </w:style>
  <w:style w:type="paragraph" w:styleId="MacroText">
    <w:name w:val="macro"/>
    <w:link w:val="MacroTextChar"/>
    <w:semiHidden/>
    <w:unhideWhenUsed/>
    <w:rsid w:val="006953E1"/>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eastAsia="Times New Roman" w:hAnsi="Consolas"/>
      <w:lang w:val="en-GB"/>
    </w:rPr>
  </w:style>
  <w:style w:type="character" w:customStyle="1" w:styleId="MacroTextChar">
    <w:name w:val="Macro Text Char"/>
    <w:basedOn w:val="DefaultParagraphFont"/>
    <w:link w:val="MacroText"/>
    <w:semiHidden/>
    <w:rsid w:val="006953E1"/>
    <w:rPr>
      <w:rFonts w:ascii="Consolas" w:eastAsia="Times New Roman" w:hAnsi="Consolas"/>
      <w:lang w:val="en-GB"/>
    </w:rPr>
  </w:style>
  <w:style w:type="paragraph" w:styleId="MessageHeader">
    <w:name w:val="Message Header"/>
    <w:basedOn w:val="Normal"/>
    <w:link w:val="MessageHeaderChar"/>
    <w:semiHidden/>
    <w:rsid w:val="006953E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953E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953E1"/>
    <w:pPr>
      <w:suppressAutoHyphens/>
      <w:spacing w:after="0" w:line="240" w:lineRule="auto"/>
    </w:pPr>
    <w:rPr>
      <w:rFonts w:eastAsia="Times New Roman"/>
      <w:lang w:val="en-GB"/>
    </w:rPr>
  </w:style>
  <w:style w:type="paragraph" w:styleId="NormalWeb">
    <w:name w:val="Normal (Web)"/>
    <w:basedOn w:val="Normal"/>
    <w:unhideWhenUsed/>
    <w:rsid w:val="006953E1"/>
    <w:pPr>
      <w:suppressAutoHyphens/>
      <w:spacing w:after="0"/>
    </w:pPr>
    <w:rPr>
      <w:rFonts w:eastAsia="Times New Roman"/>
      <w:sz w:val="24"/>
      <w:szCs w:val="24"/>
    </w:rPr>
  </w:style>
  <w:style w:type="paragraph" w:styleId="NormalIndent">
    <w:name w:val="Normal Indent"/>
    <w:basedOn w:val="Normal"/>
    <w:semiHidden/>
    <w:unhideWhenUsed/>
    <w:rsid w:val="006953E1"/>
    <w:pPr>
      <w:suppressAutoHyphens/>
      <w:spacing w:after="0"/>
      <w:ind w:left="567"/>
    </w:pPr>
    <w:rPr>
      <w:rFonts w:eastAsia="Times New Roman"/>
    </w:rPr>
  </w:style>
  <w:style w:type="paragraph" w:styleId="NoteHeading">
    <w:name w:val="Note Heading"/>
    <w:basedOn w:val="Normal"/>
    <w:next w:val="Normal"/>
    <w:link w:val="NoteHeadingChar"/>
    <w:semiHidden/>
    <w:unhideWhenUsed/>
    <w:rsid w:val="006953E1"/>
    <w:pPr>
      <w:suppressAutoHyphens/>
      <w:spacing w:after="0" w:line="240" w:lineRule="auto"/>
    </w:pPr>
    <w:rPr>
      <w:rFonts w:eastAsia="Times New Roman"/>
    </w:rPr>
  </w:style>
  <w:style w:type="character" w:customStyle="1" w:styleId="NoteHeadingChar">
    <w:name w:val="Note Heading Char"/>
    <w:basedOn w:val="DefaultParagraphFont"/>
    <w:link w:val="NoteHeading"/>
    <w:semiHidden/>
    <w:rsid w:val="006953E1"/>
    <w:rPr>
      <w:rFonts w:eastAsia="Times New Roman"/>
      <w:lang w:val="en-GB"/>
    </w:rPr>
  </w:style>
  <w:style w:type="paragraph" w:styleId="PlainText">
    <w:name w:val="Plain Text"/>
    <w:basedOn w:val="Normal"/>
    <w:link w:val="PlainTextChar"/>
    <w:semiHidden/>
    <w:unhideWhenUsed/>
    <w:rsid w:val="006953E1"/>
    <w:pPr>
      <w:suppressAutoHyphens/>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semiHidden/>
    <w:rsid w:val="006953E1"/>
    <w:rPr>
      <w:rFonts w:ascii="Consolas" w:eastAsia="Times New Roman" w:hAnsi="Consolas"/>
      <w:sz w:val="21"/>
      <w:szCs w:val="21"/>
      <w:lang w:val="en-GB"/>
    </w:rPr>
  </w:style>
  <w:style w:type="paragraph" w:styleId="Quote">
    <w:name w:val="Quote"/>
    <w:basedOn w:val="Normal"/>
    <w:next w:val="Normal"/>
    <w:link w:val="QuoteChar"/>
    <w:uiPriority w:val="29"/>
    <w:semiHidden/>
    <w:qFormat/>
    <w:rsid w:val="006953E1"/>
    <w:pPr>
      <w:suppressAutoHyphens/>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semiHidden/>
    <w:rsid w:val="006953E1"/>
    <w:rPr>
      <w:rFonts w:eastAsia="Times New Roman"/>
      <w:i/>
      <w:iCs/>
      <w:color w:val="404040" w:themeColor="text1" w:themeTint="BF"/>
      <w:lang w:val="en-GB"/>
    </w:rPr>
  </w:style>
  <w:style w:type="paragraph" w:styleId="Salutation">
    <w:name w:val="Salutation"/>
    <w:basedOn w:val="Normal"/>
    <w:next w:val="Normal"/>
    <w:link w:val="SalutationChar"/>
    <w:semiHidden/>
    <w:rsid w:val="006953E1"/>
    <w:pPr>
      <w:suppressAutoHyphens/>
      <w:spacing w:after="0"/>
    </w:pPr>
    <w:rPr>
      <w:rFonts w:eastAsia="Times New Roman"/>
    </w:rPr>
  </w:style>
  <w:style w:type="character" w:customStyle="1" w:styleId="SalutationChar">
    <w:name w:val="Salutation Char"/>
    <w:basedOn w:val="DefaultParagraphFont"/>
    <w:link w:val="Salutation"/>
    <w:semiHidden/>
    <w:rsid w:val="006953E1"/>
    <w:rPr>
      <w:rFonts w:eastAsia="Times New Roman"/>
      <w:lang w:val="en-GB"/>
    </w:rPr>
  </w:style>
  <w:style w:type="paragraph" w:styleId="Signature">
    <w:name w:val="Signature"/>
    <w:basedOn w:val="Normal"/>
    <w:link w:val="SignatureChar"/>
    <w:semiHidden/>
    <w:unhideWhenUsed/>
    <w:rsid w:val="006953E1"/>
    <w:pPr>
      <w:suppressAutoHyphens/>
      <w:spacing w:after="0" w:line="240" w:lineRule="auto"/>
      <w:ind w:left="4252"/>
    </w:pPr>
    <w:rPr>
      <w:rFonts w:eastAsia="Times New Roman"/>
    </w:rPr>
  </w:style>
  <w:style w:type="character" w:customStyle="1" w:styleId="SignatureChar">
    <w:name w:val="Signature Char"/>
    <w:basedOn w:val="DefaultParagraphFont"/>
    <w:link w:val="Signature"/>
    <w:semiHidden/>
    <w:rsid w:val="006953E1"/>
    <w:rPr>
      <w:rFonts w:eastAsia="Times New Roman"/>
      <w:lang w:val="en-GB"/>
    </w:rPr>
  </w:style>
  <w:style w:type="paragraph" w:styleId="Subtitle">
    <w:name w:val="Subtitle"/>
    <w:basedOn w:val="Normal"/>
    <w:next w:val="Normal"/>
    <w:link w:val="SubtitleChar"/>
    <w:semiHidden/>
    <w:qFormat/>
    <w:rsid w:val="006953E1"/>
    <w:pPr>
      <w:numPr>
        <w:ilvl w:val="1"/>
      </w:numPr>
      <w:suppressAutoHyphen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6953E1"/>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semiHidden/>
    <w:unhideWhenUsed/>
    <w:rsid w:val="006953E1"/>
    <w:pPr>
      <w:suppressAutoHyphens/>
      <w:spacing w:after="0"/>
      <w:ind w:left="200" w:hanging="200"/>
    </w:pPr>
    <w:rPr>
      <w:rFonts w:eastAsia="Times New Roman"/>
    </w:rPr>
  </w:style>
  <w:style w:type="paragraph" w:styleId="TableofFigures">
    <w:name w:val="table of figures"/>
    <w:basedOn w:val="Normal"/>
    <w:next w:val="Normal"/>
    <w:semiHidden/>
    <w:unhideWhenUsed/>
    <w:rsid w:val="006953E1"/>
    <w:pPr>
      <w:suppressAutoHyphens/>
      <w:spacing w:after="0"/>
    </w:pPr>
    <w:rPr>
      <w:rFonts w:eastAsia="Times New Roman"/>
    </w:rPr>
  </w:style>
  <w:style w:type="paragraph" w:styleId="Title">
    <w:name w:val="Title"/>
    <w:basedOn w:val="Normal"/>
    <w:next w:val="Normal"/>
    <w:link w:val="TitleChar"/>
    <w:semiHidden/>
    <w:qFormat/>
    <w:rsid w:val="006953E1"/>
    <w:pPr>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6953E1"/>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semiHidden/>
    <w:unhideWhenUsed/>
    <w:rsid w:val="006953E1"/>
    <w:pPr>
      <w:suppressAutoHyphens/>
      <w:spacing w:before="120" w:after="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953E1"/>
    <w:pPr>
      <w:suppressAutoHyphens/>
      <w:spacing w:after="100"/>
    </w:pPr>
    <w:rPr>
      <w:rFonts w:eastAsia="Times New Roman"/>
    </w:rPr>
  </w:style>
  <w:style w:type="paragraph" w:styleId="TOC2">
    <w:name w:val="toc 2"/>
    <w:basedOn w:val="Normal"/>
    <w:next w:val="Normal"/>
    <w:autoRedefine/>
    <w:semiHidden/>
    <w:unhideWhenUsed/>
    <w:rsid w:val="006953E1"/>
    <w:pPr>
      <w:suppressAutoHyphens/>
      <w:spacing w:after="100"/>
      <w:ind w:left="200"/>
    </w:pPr>
    <w:rPr>
      <w:rFonts w:eastAsia="Times New Roman"/>
    </w:rPr>
  </w:style>
  <w:style w:type="paragraph" w:styleId="TOC3">
    <w:name w:val="toc 3"/>
    <w:basedOn w:val="Normal"/>
    <w:next w:val="Normal"/>
    <w:autoRedefine/>
    <w:semiHidden/>
    <w:unhideWhenUsed/>
    <w:rsid w:val="006953E1"/>
    <w:pPr>
      <w:suppressAutoHyphens/>
      <w:spacing w:after="100"/>
      <w:ind w:left="400"/>
    </w:pPr>
    <w:rPr>
      <w:rFonts w:eastAsia="Times New Roman"/>
    </w:rPr>
  </w:style>
  <w:style w:type="paragraph" w:styleId="TOC4">
    <w:name w:val="toc 4"/>
    <w:basedOn w:val="Normal"/>
    <w:next w:val="Normal"/>
    <w:autoRedefine/>
    <w:semiHidden/>
    <w:unhideWhenUsed/>
    <w:rsid w:val="006953E1"/>
    <w:pPr>
      <w:suppressAutoHyphens/>
      <w:spacing w:after="100"/>
      <w:ind w:left="600"/>
    </w:pPr>
    <w:rPr>
      <w:rFonts w:eastAsia="Times New Roman"/>
    </w:rPr>
  </w:style>
  <w:style w:type="paragraph" w:styleId="TOC5">
    <w:name w:val="toc 5"/>
    <w:basedOn w:val="Normal"/>
    <w:next w:val="Normal"/>
    <w:autoRedefine/>
    <w:semiHidden/>
    <w:unhideWhenUsed/>
    <w:rsid w:val="006953E1"/>
    <w:pPr>
      <w:suppressAutoHyphens/>
      <w:spacing w:after="100"/>
      <w:ind w:left="800"/>
    </w:pPr>
    <w:rPr>
      <w:rFonts w:eastAsia="Times New Roman"/>
    </w:rPr>
  </w:style>
  <w:style w:type="paragraph" w:styleId="TOC6">
    <w:name w:val="toc 6"/>
    <w:basedOn w:val="Normal"/>
    <w:next w:val="Normal"/>
    <w:autoRedefine/>
    <w:semiHidden/>
    <w:unhideWhenUsed/>
    <w:rsid w:val="006953E1"/>
    <w:pPr>
      <w:suppressAutoHyphens/>
      <w:spacing w:after="100"/>
      <w:ind w:left="1000"/>
    </w:pPr>
    <w:rPr>
      <w:rFonts w:eastAsia="Times New Roman"/>
    </w:rPr>
  </w:style>
  <w:style w:type="paragraph" w:styleId="TOC7">
    <w:name w:val="toc 7"/>
    <w:basedOn w:val="Normal"/>
    <w:next w:val="Normal"/>
    <w:autoRedefine/>
    <w:semiHidden/>
    <w:unhideWhenUsed/>
    <w:rsid w:val="006953E1"/>
    <w:pPr>
      <w:suppressAutoHyphens/>
      <w:spacing w:after="100"/>
      <w:ind w:left="1200"/>
    </w:pPr>
    <w:rPr>
      <w:rFonts w:eastAsia="Times New Roman"/>
    </w:rPr>
  </w:style>
  <w:style w:type="paragraph" w:styleId="TOC8">
    <w:name w:val="toc 8"/>
    <w:basedOn w:val="Normal"/>
    <w:next w:val="Normal"/>
    <w:autoRedefine/>
    <w:semiHidden/>
    <w:unhideWhenUsed/>
    <w:rsid w:val="006953E1"/>
    <w:pPr>
      <w:suppressAutoHyphens/>
      <w:spacing w:after="100"/>
      <w:ind w:left="1400"/>
    </w:pPr>
    <w:rPr>
      <w:rFonts w:eastAsia="Times New Roman"/>
    </w:rPr>
  </w:style>
  <w:style w:type="paragraph" w:styleId="TOC9">
    <w:name w:val="toc 9"/>
    <w:basedOn w:val="Normal"/>
    <w:next w:val="Normal"/>
    <w:autoRedefine/>
    <w:semiHidden/>
    <w:unhideWhenUsed/>
    <w:rsid w:val="006953E1"/>
    <w:pPr>
      <w:suppressAutoHyphens/>
      <w:spacing w:after="100"/>
      <w:ind w:left="1600"/>
    </w:pPr>
    <w:rPr>
      <w:rFonts w:eastAsia="Times New Roman"/>
    </w:rPr>
  </w:style>
  <w:style w:type="paragraph" w:styleId="TOCHeading">
    <w:name w:val="TOC Heading"/>
    <w:basedOn w:val="Heading1"/>
    <w:next w:val="Normal"/>
    <w:uiPriority w:val="39"/>
    <w:semiHidden/>
    <w:unhideWhenUsed/>
    <w:qFormat/>
    <w:rsid w:val="006953E1"/>
    <w:pPr>
      <w:keepNext/>
      <w:keepLines/>
      <w:suppressAutoHyphens/>
      <w:spacing w:before="240" w:line="240" w:lineRule="atLeast"/>
      <w:ind w:left="0"/>
      <w:outlineLvl w:val="9"/>
    </w:pPr>
    <w:rPr>
      <w:rFonts w:asciiTheme="majorHAnsi" w:eastAsiaTheme="majorEastAsia" w:hAnsiTheme="majorHAnsi" w:cstheme="majorBidi"/>
      <w:color w:val="365F91" w:themeColor="accent1" w:themeShade="BF"/>
      <w:sz w:val="32"/>
      <w:szCs w:val="32"/>
    </w:rPr>
  </w:style>
  <w:style w:type="table" w:styleId="GridTable1Light">
    <w:name w:val="Grid Table 1 Light"/>
    <w:basedOn w:val="TableNormal"/>
    <w:uiPriority w:val="46"/>
    <w:rsid w:val="00AE3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111813"/>
    <w:pPr>
      <w:spacing w:after="0" w:line="240" w:lineRule="auto"/>
    </w:pPr>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Default">
    <w:name w:val="Default"/>
    <w:rsid w:val="00A3454C"/>
    <w:pPr>
      <w:autoSpaceDE w:val="0"/>
      <w:autoSpaceDN w:val="0"/>
      <w:adjustRightInd w:val="0"/>
      <w:spacing w:after="0" w:line="240" w:lineRule="auto"/>
    </w:pPr>
    <w:rPr>
      <w:rFonts w:eastAsiaTheme="minorHAnsi"/>
      <w:color w:val="000000"/>
      <w:sz w:val="24"/>
      <w:szCs w:val="24"/>
      <w:lang w:val="pt-PT" w:eastAsia="en-US"/>
    </w:rPr>
  </w:style>
  <w:style w:type="character" w:customStyle="1" w:styleId="Heading1Char">
    <w:name w:val="Heading 1 Char"/>
    <w:aliases w:val="Table_G Char"/>
    <w:basedOn w:val="DefaultParagraphFont"/>
    <w:link w:val="Heading1"/>
    <w:rsid w:val="00A3454C"/>
    <w:rPr>
      <w:lang w:val="en-GB"/>
    </w:rPr>
  </w:style>
  <w:style w:type="character" w:customStyle="1" w:styleId="title-text">
    <w:name w:val="title-text"/>
    <w:basedOn w:val="DefaultParagraphFont"/>
    <w:rsid w:val="00A3454C"/>
  </w:style>
  <w:style w:type="character" w:customStyle="1" w:styleId="sr-only">
    <w:name w:val="sr-only"/>
    <w:basedOn w:val="DefaultParagraphFont"/>
    <w:rsid w:val="00A3454C"/>
  </w:style>
  <w:style w:type="character" w:customStyle="1" w:styleId="text">
    <w:name w:val="text"/>
    <w:basedOn w:val="DefaultParagraphFont"/>
    <w:rsid w:val="00A3454C"/>
  </w:style>
  <w:style w:type="character" w:customStyle="1" w:styleId="author-ref">
    <w:name w:val="author-ref"/>
    <w:basedOn w:val="DefaultParagraphFont"/>
    <w:rsid w:val="00A3454C"/>
  </w:style>
  <w:style w:type="paragraph" w:customStyle="1" w:styleId="nova-legacy-e-listitem">
    <w:name w:val="nova-legacy-e-list__item"/>
    <w:basedOn w:val="Normal"/>
    <w:rsid w:val="00A3454C"/>
    <w:pPr>
      <w:spacing w:before="100" w:beforeAutospacing="1" w:after="100" w:afterAutospacing="1" w:line="240" w:lineRule="auto"/>
    </w:pPr>
    <w:rPr>
      <w:rFonts w:eastAsia="Times New Roman"/>
      <w:sz w:val="24"/>
      <w:szCs w:val="24"/>
      <w:lang w:val="pt-PT" w:eastAsia="pt-PT"/>
    </w:rPr>
  </w:style>
  <w:style w:type="character" w:styleId="Strong">
    <w:name w:val="Strong"/>
    <w:basedOn w:val="DefaultParagraphFont"/>
    <w:uiPriority w:val="22"/>
    <w:qFormat/>
    <w:rsid w:val="00A3454C"/>
    <w:rPr>
      <w:b/>
      <w:bCs/>
    </w:rPr>
  </w:style>
  <w:style w:type="character" w:customStyle="1" w:styleId="Heading2Char">
    <w:name w:val="Heading 2 Char"/>
    <w:basedOn w:val="DefaultParagraphFont"/>
    <w:link w:val="Heading2"/>
    <w:semiHidden/>
    <w:rsid w:val="00A3454C"/>
    <w:rPr>
      <w:lang w:val="en-GB"/>
    </w:rPr>
  </w:style>
  <w:style w:type="character" w:customStyle="1" w:styleId="al-author-delim">
    <w:name w:val="al-author-delim"/>
    <w:basedOn w:val="DefaultParagraphFont"/>
    <w:rsid w:val="00A3454C"/>
  </w:style>
  <w:style w:type="numbering" w:customStyle="1" w:styleId="Listaatual1">
    <w:name w:val="Lista atual1"/>
    <w:uiPriority w:val="99"/>
    <w:rsid w:val="00A3454C"/>
    <w:pPr>
      <w:numPr>
        <w:numId w:val="24"/>
      </w:numPr>
    </w:pPr>
  </w:style>
  <w:style w:type="table" w:styleId="PlainTable3">
    <w:name w:val="Plain Table 3"/>
    <w:basedOn w:val="TableNormal"/>
    <w:uiPriority w:val="43"/>
    <w:rsid w:val="003809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AE3EFD"/>
    <w:pPr>
      <w:suppressAutoHyphens/>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4E1E2F"/>
    <w:pPr>
      <w:suppressAutoHyphens/>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rsid w:val="004E1E2F"/>
    <w:pPr>
      <w:suppressAutoHyphens/>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TableNormal"/>
    <w:next w:val="TableGrid"/>
    <w:uiPriority w:val="39"/>
    <w:rsid w:val="0009316F"/>
    <w:pPr>
      <w:suppressAutoHyphens/>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4271">
      <w:bodyDiv w:val="1"/>
      <w:marLeft w:val="0"/>
      <w:marRight w:val="0"/>
      <w:marTop w:val="0"/>
      <w:marBottom w:val="0"/>
      <w:divBdr>
        <w:top w:val="none" w:sz="0" w:space="0" w:color="auto"/>
        <w:left w:val="none" w:sz="0" w:space="0" w:color="auto"/>
        <w:bottom w:val="none" w:sz="0" w:space="0" w:color="auto"/>
        <w:right w:val="none" w:sz="0" w:space="0" w:color="auto"/>
      </w:divBdr>
    </w:div>
    <w:div w:id="87773456">
      <w:bodyDiv w:val="1"/>
      <w:marLeft w:val="0"/>
      <w:marRight w:val="0"/>
      <w:marTop w:val="0"/>
      <w:marBottom w:val="0"/>
      <w:divBdr>
        <w:top w:val="none" w:sz="0" w:space="0" w:color="auto"/>
        <w:left w:val="none" w:sz="0" w:space="0" w:color="auto"/>
        <w:bottom w:val="none" w:sz="0" w:space="0" w:color="auto"/>
        <w:right w:val="none" w:sz="0" w:space="0" w:color="auto"/>
      </w:divBdr>
    </w:div>
    <w:div w:id="110560266">
      <w:bodyDiv w:val="1"/>
      <w:marLeft w:val="0"/>
      <w:marRight w:val="0"/>
      <w:marTop w:val="0"/>
      <w:marBottom w:val="0"/>
      <w:divBdr>
        <w:top w:val="none" w:sz="0" w:space="0" w:color="auto"/>
        <w:left w:val="none" w:sz="0" w:space="0" w:color="auto"/>
        <w:bottom w:val="none" w:sz="0" w:space="0" w:color="auto"/>
        <w:right w:val="none" w:sz="0" w:space="0" w:color="auto"/>
      </w:divBdr>
    </w:div>
    <w:div w:id="120810541">
      <w:bodyDiv w:val="1"/>
      <w:marLeft w:val="0"/>
      <w:marRight w:val="0"/>
      <w:marTop w:val="0"/>
      <w:marBottom w:val="0"/>
      <w:divBdr>
        <w:top w:val="none" w:sz="0" w:space="0" w:color="auto"/>
        <w:left w:val="none" w:sz="0" w:space="0" w:color="auto"/>
        <w:bottom w:val="none" w:sz="0" w:space="0" w:color="auto"/>
        <w:right w:val="none" w:sz="0" w:space="0" w:color="auto"/>
      </w:divBdr>
    </w:div>
    <w:div w:id="191771763">
      <w:bodyDiv w:val="1"/>
      <w:marLeft w:val="0"/>
      <w:marRight w:val="0"/>
      <w:marTop w:val="0"/>
      <w:marBottom w:val="0"/>
      <w:divBdr>
        <w:top w:val="none" w:sz="0" w:space="0" w:color="auto"/>
        <w:left w:val="none" w:sz="0" w:space="0" w:color="auto"/>
        <w:bottom w:val="none" w:sz="0" w:space="0" w:color="auto"/>
        <w:right w:val="none" w:sz="0" w:space="0" w:color="auto"/>
      </w:divBdr>
      <w:divsChild>
        <w:div w:id="448550195">
          <w:marLeft w:val="0"/>
          <w:marRight w:val="0"/>
          <w:marTop w:val="0"/>
          <w:marBottom w:val="0"/>
          <w:divBdr>
            <w:top w:val="none" w:sz="0" w:space="0" w:color="auto"/>
            <w:left w:val="none" w:sz="0" w:space="0" w:color="auto"/>
            <w:bottom w:val="none" w:sz="0" w:space="0" w:color="auto"/>
            <w:right w:val="none" w:sz="0" w:space="0" w:color="auto"/>
          </w:divBdr>
        </w:div>
        <w:div w:id="560140839">
          <w:marLeft w:val="0"/>
          <w:marRight w:val="0"/>
          <w:marTop w:val="0"/>
          <w:marBottom w:val="0"/>
          <w:divBdr>
            <w:top w:val="none" w:sz="0" w:space="0" w:color="auto"/>
            <w:left w:val="none" w:sz="0" w:space="0" w:color="auto"/>
            <w:bottom w:val="none" w:sz="0" w:space="0" w:color="auto"/>
            <w:right w:val="none" w:sz="0" w:space="0" w:color="auto"/>
          </w:divBdr>
        </w:div>
        <w:div w:id="691102984">
          <w:marLeft w:val="0"/>
          <w:marRight w:val="0"/>
          <w:marTop w:val="0"/>
          <w:marBottom w:val="0"/>
          <w:divBdr>
            <w:top w:val="none" w:sz="0" w:space="0" w:color="auto"/>
            <w:left w:val="none" w:sz="0" w:space="0" w:color="auto"/>
            <w:bottom w:val="none" w:sz="0" w:space="0" w:color="auto"/>
            <w:right w:val="none" w:sz="0" w:space="0" w:color="auto"/>
          </w:divBdr>
        </w:div>
        <w:div w:id="1186478000">
          <w:marLeft w:val="0"/>
          <w:marRight w:val="0"/>
          <w:marTop w:val="0"/>
          <w:marBottom w:val="0"/>
          <w:divBdr>
            <w:top w:val="none" w:sz="0" w:space="0" w:color="auto"/>
            <w:left w:val="none" w:sz="0" w:space="0" w:color="auto"/>
            <w:bottom w:val="none" w:sz="0" w:space="0" w:color="auto"/>
            <w:right w:val="none" w:sz="0" w:space="0" w:color="auto"/>
          </w:divBdr>
        </w:div>
        <w:div w:id="1415053793">
          <w:marLeft w:val="0"/>
          <w:marRight w:val="0"/>
          <w:marTop w:val="0"/>
          <w:marBottom w:val="0"/>
          <w:divBdr>
            <w:top w:val="none" w:sz="0" w:space="0" w:color="auto"/>
            <w:left w:val="none" w:sz="0" w:space="0" w:color="auto"/>
            <w:bottom w:val="none" w:sz="0" w:space="0" w:color="auto"/>
            <w:right w:val="none" w:sz="0" w:space="0" w:color="auto"/>
          </w:divBdr>
        </w:div>
        <w:div w:id="1745300082">
          <w:marLeft w:val="0"/>
          <w:marRight w:val="0"/>
          <w:marTop w:val="0"/>
          <w:marBottom w:val="0"/>
          <w:divBdr>
            <w:top w:val="none" w:sz="0" w:space="0" w:color="auto"/>
            <w:left w:val="none" w:sz="0" w:space="0" w:color="auto"/>
            <w:bottom w:val="none" w:sz="0" w:space="0" w:color="auto"/>
            <w:right w:val="none" w:sz="0" w:space="0" w:color="auto"/>
          </w:divBdr>
        </w:div>
        <w:div w:id="1950814293">
          <w:marLeft w:val="0"/>
          <w:marRight w:val="0"/>
          <w:marTop w:val="0"/>
          <w:marBottom w:val="0"/>
          <w:divBdr>
            <w:top w:val="none" w:sz="0" w:space="0" w:color="auto"/>
            <w:left w:val="none" w:sz="0" w:space="0" w:color="auto"/>
            <w:bottom w:val="none" w:sz="0" w:space="0" w:color="auto"/>
            <w:right w:val="none" w:sz="0" w:space="0" w:color="auto"/>
          </w:divBdr>
        </w:div>
        <w:div w:id="1958677490">
          <w:marLeft w:val="0"/>
          <w:marRight w:val="0"/>
          <w:marTop w:val="0"/>
          <w:marBottom w:val="0"/>
          <w:divBdr>
            <w:top w:val="none" w:sz="0" w:space="0" w:color="auto"/>
            <w:left w:val="none" w:sz="0" w:space="0" w:color="auto"/>
            <w:bottom w:val="none" w:sz="0" w:space="0" w:color="auto"/>
            <w:right w:val="none" w:sz="0" w:space="0" w:color="auto"/>
          </w:divBdr>
        </w:div>
      </w:divsChild>
    </w:div>
    <w:div w:id="317880409">
      <w:bodyDiv w:val="1"/>
      <w:marLeft w:val="0"/>
      <w:marRight w:val="0"/>
      <w:marTop w:val="0"/>
      <w:marBottom w:val="0"/>
      <w:divBdr>
        <w:top w:val="none" w:sz="0" w:space="0" w:color="auto"/>
        <w:left w:val="none" w:sz="0" w:space="0" w:color="auto"/>
        <w:bottom w:val="none" w:sz="0" w:space="0" w:color="auto"/>
        <w:right w:val="none" w:sz="0" w:space="0" w:color="auto"/>
      </w:divBdr>
    </w:div>
    <w:div w:id="321005641">
      <w:bodyDiv w:val="1"/>
      <w:marLeft w:val="0"/>
      <w:marRight w:val="0"/>
      <w:marTop w:val="0"/>
      <w:marBottom w:val="0"/>
      <w:divBdr>
        <w:top w:val="none" w:sz="0" w:space="0" w:color="auto"/>
        <w:left w:val="none" w:sz="0" w:space="0" w:color="auto"/>
        <w:bottom w:val="none" w:sz="0" w:space="0" w:color="auto"/>
        <w:right w:val="none" w:sz="0" w:space="0" w:color="auto"/>
      </w:divBdr>
    </w:div>
    <w:div w:id="411321549">
      <w:bodyDiv w:val="1"/>
      <w:marLeft w:val="0"/>
      <w:marRight w:val="0"/>
      <w:marTop w:val="0"/>
      <w:marBottom w:val="0"/>
      <w:divBdr>
        <w:top w:val="none" w:sz="0" w:space="0" w:color="auto"/>
        <w:left w:val="none" w:sz="0" w:space="0" w:color="auto"/>
        <w:bottom w:val="none" w:sz="0" w:space="0" w:color="auto"/>
        <w:right w:val="none" w:sz="0" w:space="0" w:color="auto"/>
      </w:divBdr>
      <w:divsChild>
        <w:div w:id="213394500">
          <w:marLeft w:val="0"/>
          <w:marRight w:val="0"/>
          <w:marTop w:val="0"/>
          <w:marBottom w:val="0"/>
          <w:divBdr>
            <w:top w:val="none" w:sz="0" w:space="0" w:color="auto"/>
            <w:left w:val="none" w:sz="0" w:space="0" w:color="auto"/>
            <w:bottom w:val="none" w:sz="0" w:space="0" w:color="auto"/>
            <w:right w:val="none" w:sz="0" w:space="0" w:color="auto"/>
          </w:divBdr>
        </w:div>
        <w:div w:id="347603709">
          <w:marLeft w:val="0"/>
          <w:marRight w:val="0"/>
          <w:marTop w:val="0"/>
          <w:marBottom w:val="0"/>
          <w:divBdr>
            <w:top w:val="none" w:sz="0" w:space="0" w:color="auto"/>
            <w:left w:val="none" w:sz="0" w:space="0" w:color="auto"/>
            <w:bottom w:val="none" w:sz="0" w:space="0" w:color="auto"/>
            <w:right w:val="none" w:sz="0" w:space="0" w:color="auto"/>
          </w:divBdr>
          <w:divsChild>
            <w:div w:id="325864222">
              <w:marLeft w:val="0"/>
              <w:marRight w:val="0"/>
              <w:marTop w:val="0"/>
              <w:marBottom w:val="0"/>
              <w:divBdr>
                <w:top w:val="none" w:sz="0" w:space="0" w:color="auto"/>
                <w:left w:val="none" w:sz="0" w:space="0" w:color="auto"/>
                <w:bottom w:val="none" w:sz="0" w:space="0" w:color="auto"/>
                <w:right w:val="none" w:sz="0" w:space="0" w:color="auto"/>
              </w:divBdr>
            </w:div>
            <w:div w:id="1360282652">
              <w:marLeft w:val="0"/>
              <w:marRight w:val="0"/>
              <w:marTop w:val="0"/>
              <w:marBottom w:val="0"/>
              <w:divBdr>
                <w:top w:val="none" w:sz="0" w:space="0" w:color="auto"/>
                <w:left w:val="none" w:sz="0" w:space="0" w:color="auto"/>
                <w:bottom w:val="none" w:sz="0" w:space="0" w:color="auto"/>
                <w:right w:val="none" w:sz="0" w:space="0" w:color="auto"/>
              </w:divBdr>
            </w:div>
            <w:div w:id="1381247742">
              <w:marLeft w:val="0"/>
              <w:marRight w:val="0"/>
              <w:marTop w:val="0"/>
              <w:marBottom w:val="0"/>
              <w:divBdr>
                <w:top w:val="none" w:sz="0" w:space="0" w:color="auto"/>
                <w:left w:val="none" w:sz="0" w:space="0" w:color="auto"/>
                <w:bottom w:val="none" w:sz="0" w:space="0" w:color="auto"/>
                <w:right w:val="none" w:sz="0" w:space="0" w:color="auto"/>
              </w:divBdr>
            </w:div>
            <w:div w:id="1470783290">
              <w:marLeft w:val="0"/>
              <w:marRight w:val="0"/>
              <w:marTop w:val="0"/>
              <w:marBottom w:val="0"/>
              <w:divBdr>
                <w:top w:val="none" w:sz="0" w:space="0" w:color="auto"/>
                <w:left w:val="none" w:sz="0" w:space="0" w:color="auto"/>
                <w:bottom w:val="none" w:sz="0" w:space="0" w:color="auto"/>
                <w:right w:val="none" w:sz="0" w:space="0" w:color="auto"/>
              </w:divBdr>
            </w:div>
            <w:div w:id="1954436312">
              <w:marLeft w:val="0"/>
              <w:marRight w:val="0"/>
              <w:marTop w:val="0"/>
              <w:marBottom w:val="0"/>
              <w:divBdr>
                <w:top w:val="none" w:sz="0" w:space="0" w:color="auto"/>
                <w:left w:val="none" w:sz="0" w:space="0" w:color="auto"/>
                <w:bottom w:val="none" w:sz="0" w:space="0" w:color="auto"/>
                <w:right w:val="none" w:sz="0" w:space="0" w:color="auto"/>
              </w:divBdr>
            </w:div>
          </w:divsChild>
        </w:div>
        <w:div w:id="669524007">
          <w:marLeft w:val="0"/>
          <w:marRight w:val="0"/>
          <w:marTop w:val="0"/>
          <w:marBottom w:val="0"/>
          <w:divBdr>
            <w:top w:val="none" w:sz="0" w:space="0" w:color="auto"/>
            <w:left w:val="none" w:sz="0" w:space="0" w:color="auto"/>
            <w:bottom w:val="none" w:sz="0" w:space="0" w:color="auto"/>
            <w:right w:val="none" w:sz="0" w:space="0" w:color="auto"/>
          </w:divBdr>
          <w:divsChild>
            <w:div w:id="542983089">
              <w:marLeft w:val="0"/>
              <w:marRight w:val="0"/>
              <w:marTop w:val="0"/>
              <w:marBottom w:val="0"/>
              <w:divBdr>
                <w:top w:val="none" w:sz="0" w:space="0" w:color="auto"/>
                <w:left w:val="none" w:sz="0" w:space="0" w:color="auto"/>
                <w:bottom w:val="none" w:sz="0" w:space="0" w:color="auto"/>
                <w:right w:val="none" w:sz="0" w:space="0" w:color="auto"/>
              </w:divBdr>
            </w:div>
            <w:div w:id="2073237460">
              <w:marLeft w:val="0"/>
              <w:marRight w:val="0"/>
              <w:marTop w:val="0"/>
              <w:marBottom w:val="0"/>
              <w:divBdr>
                <w:top w:val="none" w:sz="0" w:space="0" w:color="auto"/>
                <w:left w:val="none" w:sz="0" w:space="0" w:color="auto"/>
                <w:bottom w:val="none" w:sz="0" w:space="0" w:color="auto"/>
                <w:right w:val="none" w:sz="0" w:space="0" w:color="auto"/>
              </w:divBdr>
            </w:div>
          </w:divsChild>
        </w:div>
        <w:div w:id="946274558">
          <w:marLeft w:val="0"/>
          <w:marRight w:val="0"/>
          <w:marTop w:val="0"/>
          <w:marBottom w:val="0"/>
          <w:divBdr>
            <w:top w:val="none" w:sz="0" w:space="0" w:color="auto"/>
            <w:left w:val="none" w:sz="0" w:space="0" w:color="auto"/>
            <w:bottom w:val="none" w:sz="0" w:space="0" w:color="auto"/>
            <w:right w:val="none" w:sz="0" w:space="0" w:color="auto"/>
          </w:divBdr>
        </w:div>
        <w:div w:id="1187984154">
          <w:marLeft w:val="0"/>
          <w:marRight w:val="0"/>
          <w:marTop w:val="0"/>
          <w:marBottom w:val="0"/>
          <w:divBdr>
            <w:top w:val="none" w:sz="0" w:space="0" w:color="auto"/>
            <w:left w:val="none" w:sz="0" w:space="0" w:color="auto"/>
            <w:bottom w:val="none" w:sz="0" w:space="0" w:color="auto"/>
            <w:right w:val="none" w:sz="0" w:space="0" w:color="auto"/>
          </w:divBdr>
        </w:div>
        <w:div w:id="2139181139">
          <w:marLeft w:val="0"/>
          <w:marRight w:val="0"/>
          <w:marTop w:val="0"/>
          <w:marBottom w:val="0"/>
          <w:divBdr>
            <w:top w:val="none" w:sz="0" w:space="0" w:color="auto"/>
            <w:left w:val="none" w:sz="0" w:space="0" w:color="auto"/>
            <w:bottom w:val="none" w:sz="0" w:space="0" w:color="auto"/>
            <w:right w:val="none" w:sz="0" w:space="0" w:color="auto"/>
          </w:divBdr>
          <w:divsChild>
            <w:div w:id="3361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2179">
      <w:bodyDiv w:val="1"/>
      <w:marLeft w:val="0"/>
      <w:marRight w:val="0"/>
      <w:marTop w:val="0"/>
      <w:marBottom w:val="0"/>
      <w:divBdr>
        <w:top w:val="none" w:sz="0" w:space="0" w:color="auto"/>
        <w:left w:val="none" w:sz="0" w:space="0" w:color="auto"/>
        <w:bottom w:val="none" w:sz="0" w:space="0" w:color="auto"/>
        <w:right w:val="none" w:sz="0" w:space="0" w:color="auto"/>
      </w:divBdr>
    </w:div>
    <w:div w:id="498812148">
      <w:bodyDiv w:val="1"/>
      <w:marLeft w:val="0"/>
      <w:marRight w:val="0"/>
      <w:marTop w:val="0"/>
      <w:marBottom w:val="0"/>
      <w:divBdr>
        <w:top w:val="none" w:sz="0" w:space="0" w:color="auto"/>
        <w:left w:val="none" w:sz="0" w:space="0" w:color="auto"/>
        <w:bottom w:val="none" w:sz="0" w:space="0" w:color="auto"/>
        <w:right w:val="none" w:sz="0" w:space="0" w:color="auto"/>
      </w:divBdr>
    </w:div>
    <w:div w:id="523179590">
      <w:bodyDiv w:val="1"/>
      <w:marLeft w:val="0"/>
      <w:marRight w:val="0"/>
      <w:marTop w:val="0"/>
      <w:marBottom w:val="0"/>
      <w:divBdr>
        <w:top w:val="none" w:sz="0" w:space="0" w:color="auto"/>
        <w:left w:val="none" w:sz="0" w:space="0" w:color="auto"/>
        <w:bottom w:val="none" w:sz="0" w:space="0" w:color="auto"/>
        <w:right w:val="none" w:sz="0" w:space="0" w:color="auto"/>
      </w:divBdr>
    </w:div>
    <w:div w:id="535895855">
      <w:bodyDiv w:val="1"/>
      <w:marLeft w:val="0"/>
      <w:marRight w:val="0"/>
      <w:marTop w:val="0"/>
      <w:marBottom w:val="0"/>
      <w:divBdr>
        <w:top w:val="none" w:sz="0" w:space="0" w:color="auto"/>
        <w:left w:val="none" w:sz="0" w:space="0" w:color="auto"/>
        <w:bottom w:val="none" w:sz="0" w:space="0" w:color="auto"/>
        <w:right w:val="none" w:sz="0" w:space="0" w:color="auto"/>
      </w:divBdr>
    </w:div>
    <w:div w:id="560601839">
      <w:bodyDiv w:val="1"/>
      <w:marLeft w:val="0"/>
      <w:marRight w:val="0"/>
      <w:marTop w:val="0"/>
      <w:marBottom w:val="0"/>
      <w:divBdr>
        <w:top w:val="none" w:sz="0" w:space="0" w:color="auto"/>
        <w:left w:val="none" w:sz="0" w:space="0" w:color="auto"/>
        <w:bottom w:val="none" w:sz="0" w:space="0" w:color="auto"/>
        <w:right w:val="none" w:sz="0" w:space="0" w:color="auto"/>
      </w:divBdr>
    </w:div>
    <w:div w:id="585042363">
      <w:bodyDiv w:val="1"/>
      <w:marLeft w:val="0"/>
      <w:marRight w:val="0"/>
      <w:marTop w:val="0"/>
      <w:marBottom w:val="0"/>
      <w:divBdr>
        <w:top w:val="none" w:sz="0" w:space="0" w:color="auto"/>
        <w:left w:val="none" w:sz="0" w:space="0" w:color="auto"/>
        <w:bottom w:val="none" w:sz="0" w:space="0" w:color="auto"/>
        <w:right w:val="none" w:sz="0" w:space="0" w:color="auto"/>
      </w:divBdr>
    </w:div>
    <w:div w:id="594290626">
      <w:bodyDiv w:val="1"/>
      <w:marLeft w:val="0"/>
      <w:marRight w:val="0"/>
      <w:marTop w:val="0"/>
      <w:marBottom w:val="0"/>
      <w:divBdr>
        <w:top w:val="none" w:sz="0" w:space="0" w:color="auto"/>
        <w:left w:val="none" w:sz="0" w:space="0" w:color="auto"/>
        <w:bottom w:val="none" w:sz="0" w:space="0" w:color="auto"/>
        <w:right w:val="none" w:sz="0" w:space="0" w:color="auto"/>
      </w:divBdr>
    </w:div>
    <w:div w:id="702708617">
      <w:bodyDiv w:val="1"/>
      <w:marLeft w:val="0"/>
      <w:marRight w:val="0"/>
      <w:marTop w:val="0"/>
      <w:marBottom w:val="0"/>
      <w:divBdr>
        <w:top w:val="none" w:sz="0" w:space="0" w:color="auto"/>
        <w:left w:val="none" w:sz="0" w:space="0" w:color="auto"/>
        <w:bottom w:val="none" w:sz="0" w:space="0" w:color="auto"/>
        <w:right w:val="none" w:sz="0" w:space="0" w:color="auto"/>
      </w:divBdr>
    </w:div>
    <w:div w:id="709450770">
      <w:bodyDiv w:val="1"/>
      <w:marLeft w:val="0"/>
      <w:marRight w:val="0"/>
      <w:marTop w:val="0"/>
      <w:marBottom w:val="0"/>
      <w:divBdr>
        <w:top w:val="none" w:sz="0" w:space="0" w:color="auto"/>
        <w:left w:val="none" w:sz="0" w:space="0" w:color="auto"/>
        <w:bottom w:val="none" w:sz="0" w:space="0" w:color="auto"/>
        <w:right w:val="none" w:sz="0" w:space="0" w:color="auto"/>
      </w:divBdr>
    </w:div>
    <w:div w:id="712580362">
      <w:bodyDiv w:val="1"/>
      <w:marLeft w:val="0"/>
      <w:marRight w:val="0"/>
      <w:marTop w:val="0"/>
      <w:marBottom w:val="0"/>
      <w:divBdr>
        <w:top w:val="none" w:sz="0" w:space="0" w:color="auto"/>
        <w:left w:val="none" w:sz="0" w:space="0" w:color="auto"/>
        <w:bottom w:val="none" w:sz="0" w:space="0" w:color="auto"/>
        <w:right w:val="none" w:sz="0" w:space="0" w:color="auto"/>
      </w:divBdr>
    </w:div>
    <w:div w:id="723143386">
      <w:bodyDiv w:val="1"/>
      <w:marLeft w:val="0"/>
      <w:marRight w:val="0"/>
      <w:marTop w:val="0"/>
      <w:marBottom w:val="0"/>
      <w:divBdr>
        <w:top w:val="none" w:sz="0" w:space="0" w:color="auto"/>
        <w:left w:val="none" w:sz="0" w:space="0" w:color="auto"/>
        <w:bottom w:val="none" w:sz="0" w:space="0" w:color="auto"/>
        <w:right w:val="none" w:sz="0" w:space="0" w:color="auto"/>
      </w:divBdr>
    </w:div>
    <w:div w:id="786241105">
      <w:bodyDiv w:val="1"/>
      <w:marLeft w:val="0"/>
      <w:marRight w:val="0"/>
      <w:marTop w:val="0"/>
      <w:marBottom w:val="0"/>
      <w:divBdr>
        <w:top w:val="none" w:sz="0" w:space="0" w:color="auto"/>
        <w:left w:val="none" w:sz="0" w:space="0" w:color="auto"/>
        <w:bottom w:val="none" w:sz="0" w:space="0" w:color="auto"/>
        <w:right w:val="none" w:sz="0" w:space="0" w:color="auto"/>
      </w:divBdr>
      <w:divsChild>
        <w:div w:id="37361452">
          <w:marLeft w:val="274"/>
          <w:marRight w:val="0"/>
          <w:marTop w:val="0"/>
          <w:marBottom w:val="0"/>
          <w:divBdr>
            <w:top w:val="none" w:sz="0" w:space="0" w:color="auto"/>
            <w:left w:val="none" w:sz="0" w:space="0" w:color="auto"/>
            <w:bottom w:val="none" w:sz="0" w:space="0" w:color="auto"/>
            <w:right w:val="none" w:sz="0" w:space="0" w:color="auto"/>
          </w:divBdr>
        </w:div>
        <w:div w:id="121116653">
          <w:marLeft w:val="274"/>
          <w:marRight w:val="0"/>
          <w:marTop w:val="0"/>
          <w:marBottom w:val="0"/>
          <w:divBdr>
            <w:top w:val="none" w:sz="0" w:space="0" w:color="auto"/>
            <w:left w:val="none" w:sz="0" w:space="0" w:color="auto"/>
            <w:bottom w:val="none" w:sz="0" w:space="0" w:color="auto"/>
            <w:right w:val="none" w:sz="0" w:space="0" w:color="auto"/>
          </w:divBdr>
        </w:div>
        <w:div w:id="152568284">
          <w:marLeft w:val="274"/>
          <w:marRight w:val="0"/>
          <w:marTop w:val="0"/>
          <w:marBottom w:val="0"/>
          <w:divBdr>
            <w:top w:val="none" w:sz="0" w:space="0" w:color="auto"/>
            <w:left w:val="none" w:sz="0" w:space="0" w:color="auto"/>
            <w:bottom w:val="none" w:sz="0" w:space="0" w:color="auto"/>
            <w:right w:val="none" w:sz="0" w:space="0" w:color="auto"/>
          </w:divBdr>
        </w:div>
        <w:div w:id="154030524">
          <w:marLeft w:val="274"/>
          <w:marRight w:val="0"/>
          <w:marTop w:val="0"/>
          <w:marBottom w:val="0"/>
          <w:divBdr>
            <w:top w:val="none" w:sz="0" w:space="0" w:color="auto"/>
            <w:left w:val="none" w:sz="0" w:space="0" w:color="auto"/>
            <w:bottom w:val="none" w:sz="0" w:space="0" w:color="auto"/>
            <w:right w:val="none" w:sz="0" w:space="0" w:color="auto"/>
          </w:divBdr>
        </w:div>
        <w:div w:id="173811389">
          <w:marLeft w:val="274"/>
          <w:marRight w:val="0"/>
          <w:marTop w:val="0"/>
          <w:marBottom w:val="0"/>
          <w:divBdr>
            <w:top w:val="none" w:sz="0" w:space="0" w:color="auto"/>
            <w:left w:val="none" w:sz="0" w:space="0" w:color="auto"/>
            <w:bottom w:val="none" w:sz="0" w:space="0" w:color="auto"/>
            <w:right w:val="none" w:sz="0" w:space="0" w:color="auto"/>
          </w:divBdr>
        </w:div>
        <w:div w:id="209272201">
          <w:marLeft w:val="274"/>
          <w:marRight w:val="0"/>
          <w:marTop w:val="0"/>
          <w:marBottom w:val="0"/>
          <w:divBdr>
            <w:top w:val="none" w:sz="0" w:space="0" w:color="auto"/>
            <w:left w:val="none" w:sz="0" w:space="0" w:color="auto"/>
            <w:bottom w:val="none" w:sz="0" w:space="0" w:color="auto"/>
            <w:right w:val="none" w:sz="0" w:space="0" w:color="auto"/>
          </w:divBdr>
        </w:div>
        <w:div w:id="224418544">
          <w:marLeft w:val="274"/>
          <w:marRight w:val="0"/>
          <w:marTop w:val="0"/>
          <w:marBottom w:val="0"/>
          <w:divBdr>
            <w:top w:val="none" w:sz="0" w:space="0" w:color="auto"/>
            <w:left w:val="none" w:sz="0" w:space="0" w:color="auto"/>
            <w:bottom w:val="none" w:sz="0" w:space="0" w:color="auto"/>
            <w:right w:val="none" w:sz="0" w:space="0" w:color="auto"/>
          </w:divBdr>
        </w:div>
        <w:div w:id="240719456">
          <w:marLeft w:val="274"/>
          <w:marRight w:val="0"/>
          <w:marTop w:val="0"/>
          <w:marBottom w:val="0"/>
          <w:divBdr>
            <w:top w:val="none" w:sz="0" w:space="0" w:color="auto"/>
            <w:left w:val="none" w:sz="0" w:space="0" w:color="auto"/>
            <w:bottom w:val="none" w:sz="0" w:space="0" w:color="auto"/>
            <w:right w:val="none" w:sz="0" w:space="0" w:color="auto"/>
          </w:divBdr>
        </w:div>
        <w:div w:id="246378385">
          <w:marLeft w:val="274"/>
          <w:marRight w:val="0"/>
          <w:marTop w:val="0"/>
          <w:marBottom w:val="0"/>
          <w:divBdr>
            <w:top w:val="none" w:sz="0" w:space="0" w:color="auto"/>
            <w:left w:val="none" w:sz="0" w:space="0" w:color="auto"/>
            <w:bottom w:val="none" w:sz="0" w:space="0" w:color="auto"/>
            <w:right w:val="none" w:sz="0" w:space="0" w:color="auto"/>
          </w:divBdr>
        </w:div>
        <w:div w:id="340814872">
          <w:marLeft w:val="274"/>
          <w:marRight w:val="0"/>
          <w:marTop w:val="0"/>
          <w:marBottom w:val="0"/>
          <w:divBdr>
            <w:top w:val="none" w:sz="0" w:space="0" w:color="auto"/>
            <w:left w:val="none" w:sz="0" w:space="0" w:color="auto"/>
            <w:bottom w:val="none" w:sz="0" w:space="0" w:color="auto"/>
            <w:right w:val="none" w:sz="0" w:space="0" w:color="auto"/>
          </w:divBdr>
        </w:div>
        <w:div w:id="369917737">
          <w:marLeft w:val="274"/>
          <w:marRight w:val="0"/>
          <w:marTop w:val="0"/>
          <w:marBottom w:val="0"/>
          <w:divBdr>
            <w:top w:val="none" w:sz="0" w:space="0" w:color="auto"/>
            <w:left w:val="none" w:sz="0" w:space="0" w:color="auto"/>
            <w:bottom w:val="none" w:sz="0" w:space="0" w:color="auto"/>
            <w:right w:val="none" w:sz="0" w:space="0" w:color="auto"/>
          </w:divBdr>
        </w:div>
        <w:div w:id="406458175">
          <w:marLeft w:val="274"/>
          <w:marRight w:val="0"/>
          <w:marTop w:val="0"/>
          <w:marBottom w:val="0"/>
          <w:divBdr>
            <w:top w:val="none" w:sz="0" w:space="0" w:color="auto"/>
            <w:left w:val="none" w:sz="0" w:space="0" w:color="auto"/>
            <w:bottom w:val="none" w:sz="0" w:space="0" w:color="auto"/>
            <w:right w:val="none" w:sz="0" w:space="0" w:color="auto"/>
          </w:divBdr>
        </w:div>
        <w:div w:id="413206959">
          <w:marLeft w:val="274"/>
          <w:marRight w:val="0"/>
          <w:marTop w:val="0"/>
          <w:marBottom w:val="0"/>
          <w:divBdr>
            <w:top w:val="none" w:sz="0" w:space="0" w:color="auto"/>
            <w:left w:val="none" w:sz="0" w:space="0" w:color="auto"/>
            <w:bottom w:val="none" w:sz="0" w:space="0" w:color="auto"/>
            <w:right w:val="none" w:sz="0" w:space="0" w:color="auto"/>
          </w:divBdr>
        </w:div>
        <w:div w:id="446391685">
          <w:marLeft w:val="274"/>
          <w:marRight w:val="0"/>
          <w:marTop w:val="0"/>
          <w:marBottom w:val="0"/>
          <w:divBdr>
            <w:top w:val="none" w:sz="0" w:space="0" w:color="auto"/>
            <w:left w:val="none" w:sz="0" w:space="0" w:color="auto"/>
            <w:bottom w:val="none" w:sz="0" w:space="0" w:color="auto"/>
            <w:right w:val="none" w:sz="0" w:space="0" w:color="auto"/>
          </w:divBdr>
        </w:div>
        <w:div w:id="473715316">
          <w:marLeft w:val="274"/>
          <w:marRight w:val="0"/>
          <w:marTop w:val="0"/>
          <w:marBottom w:val="0"/>
          <w:divBdr>
            <w:top w:val="none" w:sz="0" w:space="0" w:color="auto"/>
            <w:left w:val="none" w:sz="0" w:space="0" w:color="auto"/>
            <w:bottom w:val="none" w:sz="0" w:space="0" w:color="auto"/>
            <w:right w:val="none" w:sz="0" w:space="0" w:color="auto"/>
          </w:divBdr>
        </w:div>
        <w:div w:id="483468049">
          <w:marLeft w:val="274"/>
          <w:marRight w:val="0"/>
          <w:marTop w:val="0"/>
          <w:marBottom w:val="0"/>
          <w:divBdr>
            <w:top w:val="none" w:sz="0" w:space="0" w:color="auto"/>
            <w:left w:val="none" w:sz="0" w:space="0" w:color="auto"/>
            <w:bottom w:val="none" w:sz="0" w:space="0" w:color="auto"/>
            <w:right w:val="none" w:sz="0" w:space="0" w:color="auto"/>
          </w:divBdr>
        </w:div>
        <w:div w:id="494885041">
          <w:marLeft w:val="274"/>
          <w:marRight w:val="0"/>
          <w:marTop w:val="0"/>
          <w:marBottom w:val="0"/>
          <w:divBdr>
            <w:top w:val="none" w:sz="0" w:space="0" w:color="auto"/>
            <w:left w:val="none" w:sz="0" w:space="0" w:color="auto"/>
            <w:bottom w:val="none" w:sz="0" w:space="0" w:color="auto"/>
            <w:right w:val="none" w:sz="0" w:space="0" w:color="auto"/>
          </w:divBdr>
        </w:div>
        <w:div w:id="550919038">
          <w:marLeft w:val="274"/>
          <w:marRight w:val="0"/>
          <w:marTop w:val="0"/>
          <w:marBottom w:val="0"/>
          <w:divBdr>
            <w:top w:val="none" w:sz="0" w:space="0" w:color="auto"/>
            <w:left w:val="none" w:sz="0" w:space="0" w:color="auto"/>
            <w:bottom w:val="none" w:sz="0" w:space="0" w:color="auto"/>
            <w:right w:val="none" w:sz="0" w:space="0" w:color="auto"/>
          </w:divBdr>
        </w:div>
        <w:div w:id="561212616">
          <w:marLeft w:val="274"/>
          <w:marRight w:val="0"/>
          <w:marTop w:val="0"/>
          <w:marBottom w:val="0"/>
          <w:divBdr>
            <w:top w:val="none" w:sz="0" w:space="0" w:color="auto"/>
            <w:left w:val="none" w:sz="0" w:space="0" w:color="auto"/>
            <w:bottom w:val="none" w:sz="0" w:space="0" w:color="auto"/>
            <w:right w:val="none" w:sz="0" w:space="0" w:color="auto"/>
          </w:divBdr>
        </w:div>
        <w:div w:id="573707082">
          <w:marLeft w:val="274"/>
          <w:marRight w:val="0"/>
          <w:marTop w:val="0"/>
          <w:marBottom w:val="0"/>
          <w:divBdr>
            <w:top w:val="none" w:sz="0" w:space="0" w:color="auto"/>
            <w:left w:val="none" w:sz="0" w:space="0" w:color="auto"/>
            <w:bottom w:val="none" w:sz="0" w:space="0" w:color="auto"/>
            <w:right w:val="none" w:sz="0" w:space="0" w:color="auto"/>
          </w:divBdr>
        </w:div>
        <w:div w:id="636490039">
          <w:marLeft w:val="274"/>
          <w:marRight w:val="0"/>
          <w:marTop w:val="0"/>
          <w:marBottom w:val="0"/>
          <w:divBdr>
            <w:top w:val="none" w:sz="0" w:space="0" w:color="auto"/>
            <w:left w:val="none" w:sz="0" w:space="0" w:color="auto"/>
            <w:bottom w:val="none" w:sz="0" w:space="0" w:color="auto"/>
            <w:right w:val="none" w:sz="0" w:space="0" w:color="auto"/>
          </w:divBdr>
        </w:div>
        <w:div w:id="668488161">
          <w:marLeft w:val="274"/>
          <w:marRight w:val="0"/>
          <w:marTop w:val="0"/>
          <w:marBottom w:val="0"/>
          <w:divBdr>
            <w:top w:val="none" w:sz="0" w:space="0" w:color="auto"/>
            <w:left w:val="none" w:sz="0" w:space="0" w:color="auto"/>
            <w:bottom w:val="none" w:sz="0" w:space="0" w:color="auto"/>
            <w:right w:val="none" w:sz="0" w:space="0" w:color="auto"/>
          </w:divBdr>
        </w:div>
        <w:div w:id="681007731">
          <w:marLeft w:val="274"/>
          <w:marRight w:val="0"/>
          <w:marTop w:val="0"/>
          <w:marBottom w:val="0"/>
          <w:divBdr>
            <w:top w:val="none" w:sz="0" w:space="0" w:color="auto"/>
            <w:left w:val="none" w:sz="0" w:space="0" w:color="auto"/>
            <w:bottom w:val="none" w:sz="0" w:space="0" w:color="auto"/>
            <w:right w:val="none" w:sz="0" w:space="0" w:color="auto"/>
          </w:divBdr>
        </w:div>
        <w:div w:id="693071501">
          <w:marLeft w:val="274"/>
          <w:marRight w:val="0"/>
          <w:marTop w:val="0"/>
          <w:marBottom w:val="0"/>
          <w:divBdr>
            <w:top w:val="none" w:sz="0" w:space="0" w:color="auto"/>
            <w:left w:val="none" w:sz="0" w:space="0" w:color="auto"/>
            <w:bottom w:val="none" w:sz="0" w:space="0" w:color="auto"/>
            <w:right w:val="none" w:sz="0" w:space="0" w:color="auto"/>
          </w:divBdr>
        </w:div>
        <w:div w:id="704672646">
          <w:marLeft w:val="274"/>
          <w:marRight w:val="0"/>
          <w:marTop w:val="0"/>
          <w:marBottom w:val="0"/>
          <w:divBdr>
            <w:top w:val="none" w:sz="0" w:space="0" w:color="auto"/>
            <w:left w:val="none" w:sz="0" w:space="0" w:color="auto"/>
            <w:bottom w:val="none" w:sz="0" w:space="0" w:color="auto"/>
            <w:right w:val="none" w:sz="0" w:space="0" w:color="auto"/>
          </w:divBdr>
        </w:div>
        <w:div w:id="722020298">
          <w:marLeft w:val="274"/>
          <w:marRight w:val="0"/>
          <w:marTop w:val="0"/>
          <w:marBottom w:val="0"/>
          <w:divBdr>
            <w:top w:val="none" w:sz="0" w:space="0" w:color="auto"/>
            <w:left w:val="none" w:sz="0" w:space="0" w:color="auto"/>
            <w:bottom w:val="none" w:sz="0" w:space="0" w:color="auto"/>
            <w:right w:val="none" w:sz="0" w:space="0" w:color="auto"/>
          </w:divBdr>
        </w:div>
        <w:div w:id="756024058">
          <w:marLeft w:val="274"/>
          <w:marRight w:val="0"/>
          <w:marTop w:val="0"/>
          <w:marBottom w:val="0"/>
          <w:divBdr>
            <w:top w:val="none" w:sz="0" w:space="0" w:color="auto"/>
            <w:left w:val="none" w:sz="0" w:space="0" w:color="auto"/>
            <w:bottom w:val="none" w:sz="0" w:space="0" w:color="auto"/>
            <w:right w:val="none" w:sz="0" w:space="0" w:color="auto"/>
          </w:divBdr>
        </w:div>
        <w:div w:id="757677488">
          <w:marLeft w:val="274"/>
          <w:marRight w:val="0"/>
          <w:marTop w:val="0"/>
          <w:marBottom w:val="0"/>
          <w:divBdr>
            <w:top w:val="none" w:sz="0" w:space="0" w:color="auto"/>
            <w:left w:val="none" w:sz="0" w:space="0" w:color="auto"/>
            <w:bottom w:val="none" w:sz="0" w:space="0" w:color="auto"/>
            <w:right w:val="none" w:sz="0" w:space="0" w:color="auto"/>
          </w:divBdr>
        </w:div>
        <w:div w:id="758713904">
          <w:marLeft w:val="274"/>
          <w:marRight w:val="0"/>
          <w:marTop w:val="0"/>
          <w:marBottom w:val="0"/>
          <w:divBdr>
            <w:top w:val="none" w:sz="0" w:space="0" w:color="auto"/>
            <w:left w:val="none" w:sz="0" w:space="0" w:color="auto"/>
            <w:bottom w:val="none" w:sz="0" w:space="0" w:color="auto"/>
            <w:right w:val="none" w:sz="0" w:space="0" w:color="auto"/>
          </w:divBdr>
        </w:div>
        <w:div w:id="793401187">
          <w:marLeft w:val="274"/>
          <w:marRight w:val="0"/>
          <w:marTop w:val="0"/>
          <w:marBottom w:val="0"/>
          <w:divBdr>
            <w:top w:val="none" w:sz="0" w:space="0" w:color="auto"/>
            <w:left w:val="none" w:sz="0" w:space="0" w:color="auto"/>
            <w:bottom w:val="none" w:sz="0" w:space="0" w:color="auto"/>
            <w:right w:val="none" w:sz="0" w:space="0" w:color="auto"/>
          </w:divBdr>
        </w:div>
        <w:div w:id="825249076">
          <w:marLeft w:val="274"/>
          <w:marRight w:val="0"/>
          <w:marTop w:val="0"/>
          <w:marBottom w:val="0"/>
          <w:divBdr>
            <w:top w:val="none" w:sz="0" w:space="0" w:color="auto"/>
            <w:left w:val="none" w:sz="0" w:space="0" w:color="auto"/>
            <w:bottom w:val="none" w:sz="0" w:space="0" w:color="auto"/>
            <w:right w:val="none" w:sz="0" w:space="0" w:color="auto"/>
          </w:divBdr>
        </w:div>
        <w:div w:id="886718979">
          <w:marLeft w:val="274"/>
          <w:marRight w:val="0"/>
          <w:marTop w:val="0"/>
          <w:marBottom w:val="0"/>
          <w:divBdr>
            <w:top w:val="none" w:sz="0" w:space="0" w:color="auto"/>
            <w:left w:val="none" w:sz="0" w:space="0" w:color="auto"/>
            <w:bottom w:val="none" w:sz="0" w:space="0" w:color="auto"/>
            <w:right w:val="none" w:sz="0" w:space="0" w:color="auto"/>
          </w:divBdr>
        </w:div>
        <w:div w:id="892544344">
          <w:marLeft w:val="274"/>
          <w:marRight w:val="0"/>
          <w:marTop w:val="0"/>
          <w:marBottom w:val="0"/>
          <w:divBdr>
            <w:top w:val="none" w:sz="0" w:space="0" w:color="auto"/>
            <w:left w:val="none" w:sz="0" w:space="0" w:color="auto"/>
            <w:bottom w:val="none" w:sz="0" w:space="0" w:color="auto"/>
            <w:right w:val="none" w:sz="0" w:space="0" w:color="auto"/>
          </w:divBdr>
        </w:div>
        <w:div w:id="895507117">
          <w:marLeft w:val="274"/>
          <w:marRight w:val="0"/>
          <w:marTop w:val="0"/>
          <w:marBottom w:val="0"/>
          <w:divBdr>
            <w:top w:val="none" w:sz="0" w:space="0" w:color="auto"/>
            <w:left w:val="none" w:sz="0" w:space="0" w:color="auto"/>
            <w:bottom w:val="none" w:sz="0" w:space="0" w:color="auto"/>
            <w:right w:val="none" w:sz="0" w:space="0" w:color="auto"/>
          </w:divBdr>
        </w:div>
        <w:div w:id="916859327">
          <w:marLeft w:val="274"/>
          <w:marRight w:val="0"/>
          <w:marTop w:val="0"/>
          <w:marBottom w:val="0"/>
          <w:divBdr>
            <w:top w:val="none" w:sz="0" w:space="0" w:color="auto"/>
            <w:left w:val="none" w:sz="0" w:space="0" w:color="auto"/>
            <w:bottom w:val="none" w:sz="0" w:space="0" w:color="auto"/>
            <w:right w:val="none" w:sz="0" w:space="0" w:color="auto"/>
          </w:divBdr>
        </w:div>
        <w:div w:id="941642254">
          <w:marLeft w:val="274"/>
          <w:marRight w:val="0"/>
          <w:marTop w:val="0"/>
          <w:marBottom w:val="0"/>
          <w:divBdr>
            <w:top w:val="none" w:sz="0" w:space="0" w:color="auto"/>
            <w:left w:val="none" w:sz="0" w:space="0" w:color="auto"/>
            <w:bottom w:val="none" w:sz="0" w:space="0" w:color="auto"/>
            <w:right w:val="none" w:sz="0" w:space="0" w:color="auto"/>
          </w:divBdr>
        </w:div>
        <w:div w:id="956369149">
          <w:marLeft w:val="274"/>
          <w:marRight w:val="0"/>
          <w:marTop w:val="0"/>
          <w:marBottom w:val="0"/>
          <w:divBdr>
            <w:top w:val="none" w:sz="0" w:space="0" w:color="auto"/>
            <w:left w:val="none" w:sz="0" w:space="0" w:color="auto"/>
            <w:bottom w:val="none" w:sz="0" w:space="0" w:color="auto"/>
            <w:right w:val="none" w:sz="0" w:space="0" w:color="auto"/>
          </w:divBdr>
        </w:div>
        <w:div w:id="993802285">
          <w:marLeft w:val="274"/>
          <w:marRight w:val="0"/>
          <w:marTop w:val="0"/>
          <w:marBottom w:val="0"/>
          <w:divBdr>
            <w:top w:val="none" w:sz="0" w:space="0" w:color="auto"/>
            <w:left w:val="none" w:sz="0" w:space="0" w:color="auto"/>
            <w:bottom w:val="none" w:sz="0" w:space="0" w:color="auto"/>
            <w:right w:val="none" w:sz="0" w:space="0" w:color="auto"/>
          </w:divBdr>
        </w:div>
        <w:div w:id="1002926509">
          <w:marLeft w:val="274"/>
          <w:marRight w:val="0"/>
          <w:marTop w:val="0"/>
          <w:marBottom w:val="0"/>
          <w:divBdr>
            <w:top w:val="none" w:sz="0" w:space="0" w:color="auto"/>
            <w:left w:val="none" w:sz="0" w:space="0" w:color="auto"/>
            <w:bottom w:val="none" w:sz="0" w:space="0" w:color="auto"/>
            <w:right w:val="none" w:sz="0" w:space="0" w:color="auto"/>
          </w:divBdr>
        </w:div>
        <w:div w:id="1064718427">
          <w:marLeft w:val="274"/>
          <w:marRight w:val="0"/>
          <w:marTop w:val="0"/>
          <w:marBottom w:val="0"/>
          <w:divBdr>
            <w:top w:val="none" w:sz="0" w:space="0" w:color="auto"/>
            <w:left w:val="none" w:sz="0" w:space="0" w:color="auto"/>
            <w:bottom w:val="none" w:sz="0" w:space="0" w:color="auto"/>
            <w:right w:val="none" w:sz="0" w:space="0" w:color="auto"/>
          </w:divBdr>
        </w:div>
        <w:div w:id="1080563879">
          <w:marLeft w:val="274"/>
          <w:marRight w:val="0"/>
          <w:marTop w:val="0"/>
          <w:marBottom w:val="0"/>
          <w:divBdr>
            <w:top w:val="none" w:sz="0" w:space="0" w:color="auto"/>
            <w:left w:val="none" w:sz="0" w:space="0" w:color="auto"/>
            <w:bottom w:val="none" w:sz="0" w:space="0" w:color="auto"/>
            <w:right w:val="none" w:sz="0" w:space="0" w:color="auto"/>
          </w:divBdr>
        </w:div>
        <w:div w:id="1104615355">
          <w:marLeft w:val="274"/>
          <w:marRight w:val="0"/>
          <w:marTop w:val="0"/>
          <w:marBottom w:val="0"/>
          <w:divBdr>
            <w:top w:val="none" w:sz="0" w:space="0" w:color="auto"/>
            <w:left w:val="none" w:sz="0" w:space="0" w:color="auto"/>
            <w:bottom w:val="none" w:sz="0" w:space="0" w:color="auto"/>
            <w:right w:val="none" w:sz="0" w:space="0" w:color="auto"/>
          </w:divBdr>
        </w:div>
        <w:div w:id="1133910158">
          <w:marLeft w:val="274"/>
          <w:marRight w:val="0"/>
          <w:marTop w:val="0"/>
          <w:marBottom w:val="0"/>
          <w:divBdr>
            <w:top w:val="none" w:sz="0" w:space="0" w:color="auto"/>
            <w:left w:val="none" w:sz="0" w:space="0" w:color="auto"/>
            <w:bottom w:val="none" w:sz="0" w:space="0" w:color="auto"/>
            <w:right w:val="none" w:sz="0" w:space="0" w:color="auto"/>
          </w:divBdr>
        </w:div>
        <w:div w:id="1213082748">
          <w:marLeft w:val="274"/>
          <w:marRight w:val="0"/>
          <w:marTop w:val="0"/>
          <w:marBottom w:val="0"/>
          <w:divBdr>
            <w:top w:val="none" w:sz="0" w:space="0" w:color="auto"/>
            <w:left w:val="none" w:sz="0" w:space="0" w:color="auto"/>
            <w:bottom w:val="none" w:sz="0" w:space="0" w:color="auto"/>
            <w:right w:val="none" w:sz="0" w:space="0" w:color="auto"/>
          </w:divBdr>
        </w:div>
        <w:div w:id="1264268111">
          <w:marLeft w:val="274"/>
          <w:marRight w:val="0"/>
          <w:marTop w:val="0"/>
          <w:marBottom w:val="0"/>
          <w:divBdr>
            <w:top w:val="none" w:sz="0" w:space="0" w:color="auto"/>
            <w:left w:val="none" w:sz="0" w:space="0" w:color="auto"/>
            <w:bottom w:val="none" w:sz="0" w:space="0" w:color="auto"/>
            <w:right w:val="none" w:sz="0" w:space="0" w:color="auto"/>
          </w:divBdr>
        </w:div>
        <w:div w:id="1337460789">
          <w:marLeft w:val="274"/>
          <w:marRight w:val="0"/>
          <w:marTop w:val="0"/>
          <w:marBottom w:val="0"/>
          <w:divBdr>
            <w:top w:val="none" w:sz="0" w:space="0" w:color="auto"/>
            <w:left w:val="none" w:sz="0" w:space="0" w:color="auto"/>
            <w:bottom w:val="none" w:sz="0" w:space="0" w:color="auto"/>
            <w:right w:val="none" w:sz="0" w:space="0" w:color="auto"/>
          </w:divBdr>
        </w:div>
        <w:div w:id="1342707718">
          <w:marLeft w:val="274"/>
          <w:marRight w:val="0"/>
          <w:marTop w:val="0"/>
          <w:marBottom w:val="0"/>
          <w:divBdr>
            <w:top w:val="none" w:sz="0" w:space="0" w:color="auto"/>
            <w:left w:val="none" w:sz="0" w:space="0" w:color="auto"/>
            <w:bottom w:val="none" w:sz="0" w:space="0" w:color="auto"/>
            <w:right w:val="none" w:sz="0" w:space="0" w:color="auto"/>
          </w:divBdr>
        </w:div>
        <w:div w:id="1353528420">
          <w:marLeft w:val="274"/>
          <w:marRight w:val="0"/>
          <w:marTop w:val="0"/>
          <w:marBottom w:val="0"/>
          <w:divBdr>
            <w:top w:val="none" w:sz="0" w:space="0" w:color="auto"/>
            <w:left w:val="none" w:sz="0" w:space="0" w:color="auto"/>
            <w:bottom w:val="none" w:sz="0" w:space="0" w:color="auto"/>
            <w:right w:val="none" w:sz="0" w:space="0" w:color="auto"/>
          </w:divBdr>
        </w:div>
        <w:div w:id="1355768774">
          <w:marLeft w:val="274"/>
          <w:marRight w:val="0"/>
          <w:marTop w:val="0"/>
          <w:marBottom w:val="0"/>
          <w:divBdr>
            <w:top w:val="none" w:sz="0" w:space="0" w:color="auto"/>
            <w:left w:val="none" w:sz="0" w:space="0" w:color="auto"/>
            <w:bottom w:val="none" w:sz="0" w:space="0" w:color="auto"/>
            <w:right w:val="none" w:sz="0" w:space="0" w:color="auto"/>
          </w:divBdr>
        </w:div>
        <w:div w:id="1412040120">
          <w:marLeft w:val="274"/>
          <w:marRight w:val="0"/>
          <w:marTop w:val="0"/>
          <w:marBottom w:val="0"/>
          <w:divBdr>
            <w:top w:val="none" w:sz="0" w:space="0" w:color="auto"/>
            <w:left w:val="none" w:sz="0" w:space="0" w:color="auto"/>
            <w:bottom w:val="none" w:sz="0" w:space="0" w:color="auto"/>
            <w:right w:val="none" w:sz="0" w:space="0" w:color="auto"/>
          </w:divBdr>
        </w:div>
        <w:div w:id="1431663017">
          <w:marLeft w:val="274"/>
          <w:marRight w:val="0"/>
          <w:marTop w:val="0"/>
          <w:marBottom w:val="0"/>
          <w:divBdr>
            <w:top w:val="none" w:sz="0" w:space="0" w:color="auto"/>
            <w:left w:val="none" w:sz="0" w:space="0" w:color="auto"/>
            <w:bottom w:val="none" w:sz="0" w:space="0" w:color="auto"/>
            <w:right w:val="none" w:sz="0" w:space="0" w:color="auto"/>
          </w:divBdr>
        </w:div>
        <w:div w:id="1479103961">
          <w:marLeft w:val="274"/>
          <w:marRight w:val="0"/>
          <w:marTop w:val="0"/>
          <w:marBottom w:val="0"/>
          <w:divBdr>
            <w:top w:val="none" w:sz="0" w:space="0" w:color="auto"/>
            <w:left w:val="none" w:sz="0" w:space="0" w:color="auto"/>
            <w:bottom w:val="none" w:sz="0" w:space="0" w:color="auto"/>
            <w:right w:val="none" w:sz="0" w:space="0" w:color="auto"/>
          </w:divBdr>
        </w:div>
        <w:div w:id="1480227327">
          <w:marLeft w:val="274"/>
          <w:marRight w:val="0"/>
          <w:marTop w:val="0"/>
          <w:marBottom w:val="0"/>
          <w:divBdr>
            <w:top w:val="none" w:sz="0" w:space="0" w:color="auto"/>
            <w:left w:val="none" w:sz="0" w:space="0" w:color="auto"/>
            <w:bottom w:val="none" w:sz="0" w:space="0" w:color="auto"/>
            <w:right w:val="none" w:sz="0" w:space="0" w:color="auto"/>
          </w:divBdr>
        </w:div>
        <w:div w:id="1480461111">
          <w:marLeft w:val="274"/>
          <w:marRight w:val="0"/>
          <w:marTop w:val="0"/>
          <w:marBottom w:val="0"/>
          <w:divBdr>
            <w:top w:val="none" w:sz="0" w:space="0" w:color="auto"/>
            <w:left w:val="none" w:sz="0" w:space="0" w:color="auto"/>
            <w:bottom w:val="none" w:sz="0" w:space="0" w:color="auto"/>
            <w:right w:val="none" w:sz="0" w:space="0" w:color="auto"/>
          </w:divBdr>
        </w:div>
        <w:div w:id="1536506167">
          <w:marLeft w:val="274"/>
          <w:marRight w:val="0"/>
          <w:marTop w:val="0"/>
          <w:marBottom w:val="0"/>
          <w:divBdr>
            <w:top w:val="none" w:sz="0" w:space="0" w:color="auto"/>
            <w:left w:val="none" w:sz="0" w:space="0" w:color="auto"/>
            <w:bottom w:val="none" w:sz="0" w:space="0" w:color="auto"/>
            <w:right w:val="none" w:sz="0" w:space="0" w:color="auto"/>
          </w:divBdr>
        </w:div>
        <w:div w:id="1549414488">
          <w:marLeft w:val="274"/>
          <w:marRight w:val="0"/>
          <w:marTop w:val="0"/>
          <w:marBottom w:val="0"/>
          <w:divBdr>
            <w:top w:val="none" w:sz="0" w:space="0" w:color="auto"/>
            <w:left w:val="none" w:sz="0" w:space="0" w:color="auto"/>
            <w:bottom w:val="none" w:sz="0" w:space="0" w:color="auto"/>
            <w:right w:val="none" w:sz="0" w:space="0" w:color="auto"/>
          </w:divBdr>
        </w:div>
        <w:div w:id="1561087364">
          <w:marLeft w:val="274"/>
          <w:marRight w:val="0"/>
          <w:marTop w:val="0"/>
          <w:marBottom w:val="0"/>
          <w:divBdr>
            <w:top w:val="none" w:sz="0" w:space="0" w:color="auto"/>
            <w:left w:val="none" w:sz="0" w:space="0" w:color="auto"/>
            <w:bottom w:val="none" w:sz="0" w:space="0" w:color="auto"/>
            <w:right w:val="none" w:sz="0" w:space="0" w:color="auto"/>
          </w:divBdr>
        </w:div>
        <w:div w:id="1597514216">
          <w:marLeft w:val="274"/>
          <w:marRight w:val="0"/>
          <w:marTop w:val="0"/>
          <w:marBottom w:val="0"/>
          <w:divBdr>
            <w:top w:val="none" w:sz="0" w:space="0" w:color="auto"/>
            <w:left w:val="none" w:sz="0" w:space="0" w:color="auto"/>
            <w:bottom w:val="none" w:sz="0" w:space="0" w:color="auto"/>
            <w:right w:val="none" w:sz="0" w:space="0" w:color="auto"/>
          </w:divBdr>
        </w:div>
        <w:div w:id="1611400147">
          <w:marLeft w:val="274"/>
          <w:marRight w:val="0"/>
          <w:marTop w:val="0"/>
          <w:marBottom w:val="0"/>
          <w:divBdr>
            <w:top w:val="none" w:sz="0" w:space="0" w:color="auto"/>
            <w:left w:val="none" w:sz="0" w:space="0" w:color="auto"/>
            <w:bottom w:val="none" w:sz="0" w:space="0" w:color="auto"/>
            <w:right w:val="none" w:sz="0" w:space="0" w:color="auto"/>
          </w:divBdr>
        </w:div>
        <w:div w:id="1612398052">
          <w:marLeft w:val="274"/>
          <w:marRight w:val="0"/>
          <w:marTop w:val="0"/>
          <w:marBottom w:val="0"/>
          <w:divBdr>
            <w:top w:val="none" w:sz="0" w:space="0" w:color="auto"/>
            <w:left w:val="none" w:sz="0" w:space="0" w:color="auto"/>
            <w:bottom w:val="none" w:sz="0" w:space="0" w:color="auto"/>
            <w:right w:val="none" w:sz="0" w:space="0" w:color="auto"/>
          </w:divBdr>
        </w:div>
        <w:div w:id="1628271111">
          <w:marLeft w:val="274"/>
          <w:marRight w:val="0"/>
          <w:marTop w:val="0"/>
          <w:marBottom w:val="0"/>
          <w:divBdr>
            <w:top w:val="none" w:sz="0" w:space="0" w:color="auto"/>
            <w:left w:val="none" w:sz="0" w:space="0" w:color="auto"/>
            <w:bottom w:val="none" w:sz="0" w:space="0" w:color="auto"/>
            <w:right w:val="none" w:sz="0" w:space="0" w:color="auto"/>
          </w:divBdr>
        </w:div>
        <w:div w:id="1747025139">
          <w:marLeft w:val="274"/>
          <w:marRight w:val="0"/>
          <w:marTop w:val="0"/>
          <w:marBottom w:val="0"/>
          <w:divBdr>
            <w:top w:val="none" w:sz="0" w:space="0" w:color="auto"/>
            <w:left w:val="none" w:sz="0" w:space="0" w:color="auto"/>
            <w:bottom w:val="none" w:sz="0" w:space="0" w:color="auto"/>
            <w:right w:val="none" w:sz="0" w:space="0" w:color="auto"/>
          </w:divBdr>
        </w:div>
        <w:div w:id="1747067329">
          <w:marLeft w:val="274"/>
          <w:marRight w:val="0"/>
          <w:marTop w:val="0"/>
          <w:marBottom w:val="0"/>
          <w:divBdr>
            <w:top w:val="none" w:sz="0" w:space="0" w:color="auto"/>
            <w:left w:val="none" w:sz="0" w:space="0" w:color="auto"/>
            <w:bottom w:val="none" w:sz="0" w:space="0" w:color="auto"/>
            <w:right w:val="none" w:sz="0" w:space="0" w:color="auto"/>
          </w:divBdr>
        </w:div>
        <w:div w:id="1776555089">
          <w:marLeft w:val="274"/>
          <w:marRight w:val="0"/>
          <w:marTop w:val="0"/>
          <w:marBottom w:val="0"/>
          <w:divBdr>
            <w:top w:val="none" w:sz="0" w:space="0" w:color="auto"/>
            <w:left w:val="none" w:sz="0" w:space="0" w:color="auto"/>
            <w:bottom w:val="none" w:sz="0" w:space="0" w:color="auto"/>
            <w:right w:val="none" w:sz="0" w:space="0" w:color="auto"/>
          </w:divBdr>
        </w:div>
        <w:div w:id="1801874512">
          <w:marLeft w:val="274"/>
          <w:marRight w:val="0"/>
          <w:marTop w:val="0"/>
          <w:marBottom w:val="0"/>
          <w:divBdr>
            <w:top w:val="none" w:sz="0" w:space="0" w:color="auto"/>
            <w:left w:val="none" w:sz="0" w:space="0" w:color="auto"/>
            <w:bottom w:val="none" w:sz="0" w:space="0" w:color="auto"/>
            <w:right w:val="none" w:sz="0" w:space="0" w:color="auto"/>
          </w:divBdr>
        </w:div>
        <w:div w:id="1822303619">
          <w:marLeft w:val="274"/>
          <w:marRight w:val="0"/>
          <w:marTop w:val="0"/>
          <w:marBottom w:val="0"/>
          <w:divBdr>
            <w:top w:val="none" w:sz="0" w:space="0" w:color="auto"/>
            <w:left w:val="none" w:sz="0" w:space="0" w:color="auto"/>
            <w:bottom w:val="none" w:sz="0" w:space="0" w:color="auto"/>
            <w:right w:val="none" w:sz="0" w:space="0" w:color="auto"/>
          </w:divBdr>
        </w:div>
        <w:div w:id="1823698861">
          <w:marLeft w:val="274"/>
          <w:marRight w:val="0"/>
          <w:marTop w:val="0"/>
          <w:marBottom w:val="0"/>
          <w:divBdr>
            <w:top w:val="none" w:sz="0" w:space="0" w:color="auto"/>
            <w:left w:val="none" w:sz="0" w:space="0" w:color="auto"/>
            <w:bottom w:val="none" w:sz="0" w:space="0" w:color="auto"/>
            <w:right w:val="none" w:sz="0" w:space="0" w:color="auto"/>
          </w:divBdr>
        </w:div>
        <w:div w:id="1827428301">
          <w:marLeft w:val="274"/>
          <w:marRight w:val="0"/>
          <w:marTop w:val="0"/>
          <w:marBottom w:val="0"/>
          <w:divBdr>
            <w:top w:val="none" w:sz="0" w:space="0" w:color="auto"/>
            <w:left w:val="none" w:sz="0" w:space="0" w:color="auto"/>
            <w:bottom w:val="none" w:sz="0" w:space="0" w:color="auto"/>
            <w:right w:val="none" w:sz="0" w:space="0" w:color="auto"/>
          </w:divBdr>
        </w:div>
        <w:div w:id="1836678717">
          <w:marLeft w:val="274"/>
          <w:marRight w:val="0"/>
          <w:marTop w:val="0"/>
          <w:marBottom w:val="0"/>
          <w:divBdr>
            <w:top w:val="none" w:sz="0" w:space="0" w:color="auto"/>
            <w:left w:val="none" w:sz="0" w:space="0" w:color="auto"/>
            <w:bottom w:val="none" w:sz="0" w:space="0" w:color="auto"/>
            <w:right w:val="none" w:sz="0" w:space="0" w:color="auto"/>
          </w:divBdr>
        </w:div>
        <w:div w:id="1841235936">
          <w:marLeft w:val="274"/>
          <w:marRight w:val="0"/>
          <w:marTop w:val="0"/>
          <w:marBottom w:val="0"/>
          <w:divBdr>
            <w:top w:val="none" w:sz="0" w:space="0" w:color="auto"/>
            <w:left w:val="none" w:sz="0" w:space="0" w:color="auto"/>
            <w:bottom w:val="none" w:sz="0" w:space="0" w:color="auto"/>
            <w:right w:val="none" w:sz="0" w:space="0" w:color="auto"/>
          </w:divBdr>
        </w:div>
        <w:div w:id="1868177569">
          <w:marLeft w:val="274"/>
          <w:marRight w:val="0"/>
          <w:marTop w:val="0"/>
          <w:marBottom w:val="0"/>
          <w:divBdr>
            <w:top w:val="none" w:sz="0" w:space="0" w:color="auto"/>
            <w:left w:val="none" w:sz="0" w:space="0" w:color="auto"/>
            <w:bottom w:val="none" w:sz="0" w:space="0" w:color="auto"/>
            <w:right w:val="none" w:sz="0" w:space="0" w:color="auto"/>
          </w:divBdr>
        </w:div>
        <w:div w:id="1920824206">
          <w:marLeft w:val="274"/>
          <w:marRight w:val="0"/>
          <w:marTop w:val="0"/>
          <w:marBottom w:val="0"/>
          <w:divBdr>
            <w:top w:val="none" w:sz="0" w:space="0" w:color="auto"/>
            <w:left w:val="none" w:sz="0" w:space="0" w:color="auto"/>
            <w:bottom w:val="none" w:sz="0" w:space="0" w:color="auto"/>
            <w:right w:val="none" w:sz="0" w:space="0" w:color="auto"/>
          </w:divBdr>
        </w:div>
        <w:div w:id="1968008100">
          <w:marLeft w:val="274"/>
          <w:marRight w:val="0"/>
          <w:marTop w:val="0"/>
          <w:marBottom w:val="0"/>
          <w:divBdr>
            <w:top w:val="none" w:sz="0" w:space="0" w:color="auto"/>
            <w:left w:val="none" w:sz="0" w:space="0" w:color="auto"/>
            <w:bottom w:val="none" w:sz="0" w:space="0" w:color="auto"/>
            <w:right w:val="none" w:sz="0" w:space="0" w:color="auto"/>
          </w:divBdr>
        </w:div>
        <w:div w:id="2009359468">
          <w:marLeft w:val="274"/>
          <w:marRight w:val="0"/>
          <w:marTop w:val="0"/>
          <w:marBottom w:val="0"/>
          <w:divBdr>
            <w:top w:val="none" w:sz="0" w:space="0" w:color="auto"/>
            <w:left w:val="none" w:sz="0" w:space="0" w:color="auto"/>
            <w:bottom w:val="none" w:sz="0" w:space="0" w:color="auto"/>
            <w:right w:val="none" w:sz="0" w:space="0" w:color="auto"/>
          </w:divBdr>
        </w:div>
        <w:div w:id="2075278963">
          <w:marLeft w:val="274"/>
          <w:marRight w:val="0"/>
          <w:marTop w:val="0"/>
          <w:marBottom w:val="0"/>
          <w:divBdr>
            <w:top w:val="none" w:sz="0" w:space="0" w:color="auto"/>
            <w:left w:val="none" w:sz="0" w:space="0" w:color="auto"/>
            <w:bottom w:val="none" w:sz="0" w:space="0" w:color="auto"/>
            <w:right w:val="none" w:sz="0" w:space="0" w:color="auto"/>
          </w:divBdr>
        </w:div>
        <w:div w:id="2099671365">
          <w:marLeft w:val="274"/>
          <w:marRight w:val="0"/>
          <w:marTop w:val="0"/>
          <w:marBottom w:val="0"/>
          <w:divBdr>
            <w:top w:val="none" w:sz="0" w:space="0" w:color="auto"/>
            <w:left w:val="none" w:sz="0" w:space="0" w:color="auto"/>
            <w:bottom w:val="none" w:sz="0" w:space="0" w:color="auto"/>
            <w:right w:val="none" w:sz="0" w:space="0" w:color="auto"/>
          </w:divBdr>
        </w:div>
        <w:div w:id="2115442140">
          <w:marLeft w:val="274"/>
          <w:marRight w:val="0"/>
          <w:marTop w:val="0"/>
          <w:marBottom w:val="0"/>
          <w:divBdr>
            <w:top w:val="none" w:sz="0" w:space="0" w:color="auto"/>
            <w:left w:val="none" w:sz="0" w:space="0" w:color="auto"/>
            <w:bottom w:val="none" w:sz="0" w:space="0" w:color="auto"/>
            <w:right w:val="none" w:sz="0" w:space="0" w:color="auto"/>
          </w:divBdr>
        </w:div>
        <w:div w:id="2117484322">
          <w:marLeft w:val="274"/>
          <w:marRight w:val="0"/>
          <w:marTop w:val="0"/>
          <w:marBottom w:val="0"/>
          <w:divBdr>
            <w:top w:val="none" w:sz="0" w:space="0" w:color="auto"/>
            <w:left w:val="none" w:sz="0" w:space="0" w:color="auto"/>
            <w:bottom w:val="none" w:sz="0" w:space="0" w:color="auto"/>
            <w:right w:val="none" w:sz="0" w:space="0" w:color="auto"/>
          </w:divBdr>
        </w:div>
        <w:div w:id="2123260514">
          <w:marLeft w:val="274"/>
          <w:marRight w:val="0"/>
          <w:marTop w:val="0"/>
          <w:marBottom w:val="0"/>
          <w:divBdr>
            <w:top w:val="none" w:sz="0" w:space="0" w:color="auto"/>
            <w:left w:val="none" w:sz="0" w:space="0" w:color="auto"/>
            <w:bottom w:val="none" w:sz="0" w:space="0" w:color="auto"/>
            <w:right w:val="none" w:sz="0" w:space="0" w:color="auto"/>
          </w:divBdr>
        </w:div>
      </w:divsChild>
    </w:div>
    <w:div w:id="825129337">
      <w:bodyDiv w:val="1"/>
      <w:marLeft w:val="0"/>
      <w:marRight w:val="0"/>
      <w:marTop w:val="0"/>
      <w:marBottom w:val="0"/>
      <w:divBdr>
        <w:top w:val="none" w:sz="0" w:space="0" w:color="auto"/>
        <w:left w:val="none" w:sz="0" w:space="0" w:color="auto"/>
        <w:bottom w:val="none" w:sz="0" w:space="0" w:color="auto"/>
        <w:right w:val="none" w:sz="0" w:space="0" w:color="auto"/>
      </w:divBdr>
    </w:div>
    <w:div w:id="903566968">
      <w:bodyDiv w:val="1"/>
      <w:marLeft w:val="0"/>
      <w:marRight w:val="0"/>
      <w:marTop w:val="0"/>
      <w:marBottom w:val="0"/>
      <w:divBdr>
        <w:top w:val="none" w:sz="0" w:space="0" w:color="auto"/>
        <w:left w:val="none" w:sz="0" w:space="0" w:color="auto"/>
        <w:bottom w:val="none" w:sz="0" w:space="0" w:color="auto"/>
        <w:right w:val="none" w:sz="0" w:space="0" w:color="auto"/>
      </w:divBdr>
      <w:divsChild>
        <w:div w:id="1034381458">
          <w:marLeft w:val="0"/>
          <w:marRight w:val="0"/>
          <w:marTop w:val="0"/>
          <w:marBottom w:val="0"/>
          <w:divBdr>
            <w:top w:val="none" w:sz="0" w:space="0" w:color="auto"/>
            <w:left w:val="none" w:sz="0" w:space="0" w:color="auto"/>
            <w:bottom w:val="none" w:sz="0" w:space="0" w:color="auto"/>
            <w:right w:val="none" w:sz="0" w:space="0" w:color="auto"/>
          </w:divBdr>
        </w:div>
        <w:div w:id="1605335984">
          <w:marLeft w:val="0"/>
          <w:marRight w:val="0"/>
          <w:marTop w:val="0"/>
          <w:marBottom w:val="0"/>
          <w:divBdr>
            <w:top w:val="none" w:sz="0" w:space="0" w:color="auto"/>
            <w:left w:val="none" w:sz="0" w:space="0" w:color="auto"/>
            <w:bottom w:val="none" w:sz="0" w:space="0" w:color="auto"/>
            <w:right w:val="none" w:sz="0" w:space="0" w:color="auto"/>
          </w:divBdr>
        </w:div>
      </w:divsChild>
    </w:div>
    <w:div w:id="958802622">
      <w:bodyDiv w:val="1"/>
      <w:marLeft w:val="0"/>
      <w:marRight w:val="0"/>
      <w:marTop w:val="0"/>
      <w:marBottom w:val="0"/>
      <w:divBdr>
        <w:top w:val="none" w:sz="0" w:space="0" w:color="auto"/>
        <w:left w:val="none" w:sz="0" w:space="0" w:color="auto"/>
        <w:bottom w:val="none" w:sz="0" w:space="0" w:color="auto"/>
        <w:right w:val="none" w:sz="0" w:space="0" w:color="auto"/>
      </w:divBdr>
    </w:div>
    <w:div w:id="1004671141">
      <w:bodyDiv w:val="1"/>
      <w:marLeft w:val="0"/>
      <w:marRight w:val="0"/>
      <w:marTop w:val="0"/>
      <w:marBottom w:val="0"/>
      <w:divBdr>
        <w:top w:val="none" w:sz="0" w:space="0" w:color="auto"/>
        <w:left w:val="none" w:sz="0" w:space="0" w:color="auto"/>
        <w:bottom w:val="none" w:sz="0" w:space="0" w:color="auto"/>
        <w:right w:val="none" w:sz="0" w:space="0" w:color="auto"/>
      </w:divBdr>
    </w:div>
    <w:div w:id="1050301553">
      <w:bodyDiv w:val="1"/>
      <w:marLeft w:val="0"/>
      <w:marRight w:val="0"/>
      <w:marTop w:val="0"/>
      <w:marBottom w:val="0"/>
      <w:divBdr>
        <w:top w:val="none" w:sz="0" w:space="0" w:color="auto"/>
        <w:left w:val="none" w:sz="0" w:space="0" w:color="auto"/>
        <w:bottom w:val="none" w:sz="0" w:space="0" w:color="auto"/>
        <w:right w:val="none" w:sz="0" w:space="0" w:color="auto"/>
      </w:divBdr>
    </w:div>
    <w:div w:id="1057053214">
      <w:bodyDiv w:val="1"/>
      <w:marLeft w:val="0"/>
      <w:marRight w:val="0"/>
      <w:marTop w:val="0"/>
      <w:marBottom w:val="0"/>
      <w:divBdr>
        <w:top w:val="none" w:sz="0" w:space="0" w:color="auto"/>
        <w:left w:val="none" w:sz="0" w:space="0" w:color="auto"/>
        <w:bottom w:val="none" w:sz="0" w:space="0" w:color="auto"/>
        <w:right w:val="none" w:sz="0" w:space="0" w:color="auto"/>
      </w:divBdr>
    </w:div>
    <w:div w:id="1127744217">
      <w:bodyDiv w:val="1"/>
      <w:marLeft w:val="0"/>
      <w:marRight w:val="0"/>
      <w:marTop w:val="0"/>
      <w:marBottom w:val="0"/>
      <w:divBdr>
        <w:top w:val="none" w:sz="0" w:space="0" w:color="auto"/>
        <w:left w:val="none" w:sz="0" w:space="0" w:color="auto"/>
        <w:bottom w:val="none" w:sz="0" w:space="0" w:color="auto"/>
        <w:right w:val="none" w:sz="0" w:space="0" w:color="auto"/>
      </w:divBdr>
    </w:div>
    <w:div w:id="1245459063">
      <w:bodyDiv w:val="1"/>
      <w:marLeft w:val="0"/>
      <w:marRight w:val="0"/>
      <w:marTop w:val="0"/>
      <w:marBottom w:val="0"/>
      <w:divBdr>
        <w:top w:val="none" w:sz="0" w:space="0" w:color="auto"/>
        <w:left w:val="none" w:sz="0" w:space="0" w:color="auto"/>
        <w:bottom w:val="none" w:sz="0" w:space="0" w:color="auto"/>
        <w:right w:val="none" w:sz="0" w:space="0" w:color="auto"/>
      </w:divBdr>
    </w:div>
    <w:div w:id="1359694475">
      <w:bodyDiv w:val="1"/>
      <w:marLeft w:val="0"/>
      <w:marRight w:val="0"/>
      <w:marTop w:val="0"/>
      <w:marBottom w:val="0"/>
      <w:divBdr>
        <w:top w:val="none" w:sz="0" w:space="0" w:color="auto"/>
        <w:left w:val="none" w:sz="0" w:space="0" w:color="auto"/>
        <w:bottom w:val="none" w:sz="0" w:space="0" w:color="auto"/>
        <w:right w:val="none" w:sz="0" w:space="0" w:color="auto"/>
      </w:divBdr>
    </w:div>
    <w:div w:id="1407919742">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536653512">
      <w:bodyDiv w:val="1"/>
      <w:marLeft w:val="0"/>
      <w:marRight w:val="0"/>
      <w:marTop w:val="0"/>
      <w:marBottom w:val="0"/>
      <w:divBdr>
        <w:top w:val="none" w:sz="0" w:space="0" w:color="auto"/>
        <w:left w:val="none" w:sz="0" w:space="0" w:color="auto"/>
        <w:bottom w:val="none" w:sz="0" w:space="0" w:color="auto"/>
        <w:right w:val="none" w:sz="0" w:space="0" w:color="auto"/>
      </w:divBdr>
    </w:div>
    <w:div w:id="1580485962">
      <w:bodyDiv w:val="1"/>
      <w:marLeft w:val="0"/>
      <w:marRight w:val="0"/>
      <w:marTop w:val="0"/>
      <w:marBottom w:val="0"/>
      <w:divBdr>
        <w:top w:val="none" w:sz="0" w:space="0" w:color="auto"/>
        <w:left w:val="none" w:sz="0" w:space="0" w:color="auto"/>
        <w:bottom w:val="none" w:sz="0" w:space="0" w:color="auto"/>
        <w:right w:val="none" w:sz="0" w:space="0" w:color="auto"/>
      </w:divBdr>
    </w:div>
    <w:div w:id="1621719062">
      <w:bodyDiv w:val="1"/>
      <w:marLeft w:val="0"/>
      <w:marRight w:val="0"/>
      <w:marTop w:val="0"/>
      <w:marBottom w:val="0"/>
      <w:divBdr>
        <w:top w:val="none" w:sz="0" w:space="0" w:color="auto"/>
        <w:left w:val="none" w:sz="0" w:space="0" w:color="auto"/>
        <w:bottom w:val="none" w:sz="0" w:space="0" w:color="auto"/>
        <w:right w:val="none" w:sz="0" w:space="0" w:color="auto"/>
      </w:divBdr>
    </w:div>
    <w:div w:id="1659191894">
      <w:bodyDiv w:val="1"/>
      <w:marLeft w:val="0"/>
      <w:marRight w:val="0"/>
      <w:marTop w:val="0"/>
      <w:marBottom w:val="0"/>
      <w:divBdr>
        <w:top w:val="none" w:sz="0" w:space="0" w:color="auto"/>
        <w:left w:val="none" w:sz="0" w:space="0" w:color="auto"/>
        <w:bottom w:val="none" w:sz="0" w:space="0" w:color="auto"/>
        <w:right w:val="none" w:sz="0" w:space="0" w:color="auto"/>
      </w:divBdr>
    </w:div>
    <w:div w:id="1670713435">
      <w:bodyDiv w:val="1"/>
      <w:marLeft w:val="0"/>
      <w:marRight w:val="0"/>
      <w:marTop w:val="0"/>
      <w:marBottom w:val="0"/>
      <w:divBdr>
        <w:top w:val="none" w:sz="0" w:space="0" w:color="auto"/>
        <w:left w:val="none" w:sz="0" w:space="0" w:color="auto"/>
        <w:bottom w:val="none" w:sz="0" w:space="0" w:color="auto"/>
        <w:right w:val="none" w:sz="0" w:space="0" w:color="auto"/>
      </w:divBdr>
    </w:div>
    <w:div w:id="1715041728">
      <w:bodyDiv w:val="1"/>
      <w:marLeft w:val="0"/>
      <w:marRight w:val="0"/>
      <w:marTop w:val="0"/>
      <w:marBottom w:val="0"/>
      <w:divBdr>
        <w:top w:val="none" w:sz="0" w:space="0" w:color="auto"/>
        <w:left w:val="none" w:sz="0" w:space="0" w:color="auto"/>
        <w:bottom w:val="none" w:sz="0" w:space="0" w:color="auto"/>
        <w:right w:val="none" w:sz="0" w:space="0" w:color="auto"/>
      </w:divBdr>
    </w:div>
    <w:div w:id="1743408230">
      <w:bodyDiv w:val="1"/>
      <w:marLeft w:val="0"/>
      <w:marRight w:val="0"/>
      <w:marTop w:val="0"/>
      <w:marBottom w:val="0"/>
      <w:divBdr>
        <w:top w:val="none" w:sz="0" w:space="0" w:color="auto"/>
        <w:left w:val="none" w:sz="0" w:space="0" w:color="auto"/>
        <w:bottom w:val="none" w:sz="0" w:space="0" w:color="auto"/>
        <w:right w:val="none" w:sz="0" w:space="0" w:color="auto"/>
      </w:divBdr>
    </w:div>
    <w:div w:id="1773628366">
      <w:bodyDiv w:val="1"/>
      <w:marLeft w:val="0"/>
      <w:marRight w:val="0"/>
      <w:marTop w:val="0"/>
      <w:marBottom w:val="0"/>
      <w:divBdr>
        <w:top w:val="none" w:sz="0" w:space="0" w:color="auto"/>
        <w:left w:val="none" w:sz="0" w:space="0" w:color="auto"/>
        <w:bottom w:val="none" w:sz="0" w:space="0" w:color="auto"/>
        <w:right w:val="none" w:sz="0" w:space="0" w:color="auto"/>
      </w:divBdr>
    </w:div>
    <w:div w:id="1919553933">
      <w:bodyDiv w:val="1"/>
      <w:marLeft w:val="0"/>
      <w:marRight w:val="0"/>
      <w:marTop w:val="0"/>
      <w:marBottom w:val="0"/>
      <w:divBdr>
        <w:top w:val="none" w:sz="0" w:space="0" w:color="auto"/>
        <w:left w:val="none" w:sz="0" w:space="0" w:color="auto"/>
        <w:bottom w:val="none" w:sz="0" w:space="0" w:color="auto"/>
        <w:right w:val="none" w:sz="0" w:space="0" w:color="auto"/>
      </w:divBdr>
    </w:div>
    <w:div w:id="2000111851">
      <w:bodyDiv w:val="1"/>
      <w:marLeft w:val="0"/>
      <w:marRight w:val="0"/>
      <w:marTop w:val="0"/>
      <w:marBottom w:val="0"/>
      <w:divBdr>
        <w:top w:val="none" w:sz="0" w:space="0" w:color="auto"/>
        <w:left w:val="none" w:sz="0" w:space="0" w:color="auto"/>
        <w:bottom w:val="none" w:sz="0" w:space="0" w:color="auto"/>
        <w:right w:val="none" w:sz="0" w:space="0" w:color="auto"/>
      </w:divBdr>
    </w:div>
    <w:div w:id="2121336541">
      <w:bodyDiv w:val="1"/>
      <w:marLeft w:val="0"/>
      <w:marRight w:val="0"/>
      <w:marTop w:val="0"/>
      <w:marBottom w:val="0"/>
      <w:divBdr>
        <w:top w:val="none" w:sz="0" w:space="0" w:color="auto"/>
        <w:left w:val="none" w:sz="0" w:space="0" w:color="auto"/>
        <w:bottom w:val="none" w:sz="0" w:space="0" w:color="auto"/>
        <w:right w:val="none" w:sz="0" w:space="0" w:color="auto"/>
      </w:divBdr>
    </w:div>
    <w:div w:id="21273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sr.unep.org/download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a.europa.eu/data-and-maps/indicators/land-take-3/assess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SharedWithUsers xmlns="a20aa909-956d-4941-9e8e-d4bf2c5fe97e">
      <UserInfo>
        <DisplayName>Christine Kitzler</DisplayName>
        <AccountId>24</AccountId>
        <AccountType/>
      </UserInfo>
      <UserInfo>
        <DisplayName>Antoine Nunes</DisplayName>
        <AccountId>17</AccountId>
        <AccountType/>
      </UserInfo>
      <UserInfo>
        <DisplayName>Jyrki Hirvonen</DisplayName>
        <AccountId>35</AccountId>
        <AccountType/>
      </UserInfo>
      <UserInfo>
        <DisplayName>Angela Sochirca</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10D3-26BE-4610-84F3-79C5DE40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791B0-82BF-4B87-A349-7C408E28A935}">
  <ds:schemaRefs>
    <ds:schemaRef ds:uri="http://schemas.microsoft.com/sharepoint/v3/contenttype/forms"/>
  </ds:schemaRefs>
</ds:datastoreItem>
</file>

<file path=customXml/itemProps3.xml><?xml version="1.0" encoding="utf-8"?>
<ds:datastoreItem xmlns:ds="http://schemas.openxmlformats.org/officeDocument/2006/customXml" ds:itemID="{975830A2-E5C0-48DA-822B-06ACF2263192}">
  <ds:schemaRefs>
    <ds:schemaRef ds:uri="http://schemas.microsoft.com/office/2006/metadata/properties"/>
    <ds:schemaRef ds:uri="http://schemas.microsoft.com/office/infopath/2007/PartnerControls"/>
    <ds:schemaRef ds:uri="99a2c2c3-fdcf-4e63-9c12-39b3de610a76"/>
    <ds:schemaRef ds:uri="a20aa909-956d-4941-9e8e-d4bf2c5fe97e"/>
  </ds:schemaRefs>
</ds:datastoreItem>
</file>

<file path=customXml/itemProps4.xml><?xml version="1.0" encoding="utf-8"?>
<ds:datastoreItem xmlns:ds="http://schemas.openxmlformats.org/officeDocument/2006/customXml" ds:itemID="{A066CD91-C744-4744-B022-BE4327EB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9884</Words>
  <Characters>56342</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ECE/CEP/SS/2022 info. 4</vt:lpstr>
      <vt:lpstr>United Nations</vt:lpstr>
    </vt:vector>
  </TitlesOfParts>
  <Manager>nicholas.bonvoisin@un.org</Manager>
  <Company>UNECE</Company>
  <LinksUpToDate>false</LinksUpToDate>
  <CharactersWithSpaces>66094</CharactersWithSpaces>
  <SharedDoc>false</SharedDoc>
  <HLinks>
    <vt:vector size="972" baseType="variant">
      <vt:variant>
        <vt:i4>3211301</vt:i4>
      </vt:variant>
      <vt:variant>
        <vt:i4>81</vt:i4>
      </vt:variant>
      <vt:variant>
        <vt:i4>0</vt:i4>
      </vt:variant>
      <vt:variant>
        <vt:i4>5</vt:i4>
      </vt:variant>
      <vt:variant>
        <vt:lpwstr>https://tcg.uis.unesco.org/sdg-4-dashboard/</vt:lpwstr>
      </vt:variant>
      <vt:variant>
        <vt:lpwstr/>
      </vt:variant>
      <vt:variant>
        <vt:i4>6029389</vt:i4>
      </vt:variant>
      <vt:variant>
        <vt:i4>78</vt:i4>
      </vt:variant>
      <vt:variant>
        <vt:i4>0</vt:i4>
      </vt:variant>
      <vt:variant>
        <vt:i4>5</vt:i4>
      </vt:variant>
      <vt:variant>
        <vt:lpwstr>https://unesdoc.unesco.org/ark:/48223/pf0000374802.locale=en</vt:lpwstr>
      </vt:variant>
      <vt:variant>
        <vt:lpwstr/>
      </vt:variant>
      <vt:variant>
        <vt:i4>1441850</vt:i4>
      </vt:variant>
      <vt:variant>
        <vt:i4>75</vt:i4>
      </vt:variant>
      <vt:variant>
        <vt:i4>0</vt:i4>
      </vt:variant>
      <vt:variant>
        <vt:i4>5</vt:i4>
      </vt:variant>
      <vt:variant>
        <vt:lpwstr>http://awsassets.panda.org/downloads/wwf_ldgc.pdf</vt:lpwstr>
      </vt:variant>
      <vt:variant>
        <vt:lpwstr/>
      </vt:variant>
      <vt:variant>
        <vt:i4>393297</vt:i4>
      </vt:variant>
      <vt:variant>
        <vt:i4>72</vt:i4>
      </vt:variant>
      <vt:variant>
        <vt:i4>0</vt:i4>
      </vt:variant>
      <vt:variant>
        <vt:i4>5</vt:i4>
      </vt:variant>
      <vt:variant>
        <vt:lpwstr>https://climate-adapt.eea.europa.eu/metadata/case-studies/lower-danube-green-corridor-floodplain-restoration-for-flood-protection</vt:lpwstr>
      </vt:variant>
      <vt:variant>
        <vt:lpwstr/>
      </vt:variant>
      <vt:variant>
        <vt:i4>7733281</vt:i4>
      </vt:variant>
      <vt:variant>
        <vt:i4>69</vt:i4>
      </vt:variant>
      <vt:variant>
        <vt:i4>0</vt:i4>
      </vt:variant>
      <vt:variant>
        <vt:i4>5</vt:i4>
      </vt:variant>
      <vt:variant>
        <vt:lpwstr>C:\Users\naplin\AppData\Local\Microsoft\Windows\INetCache\Content.Outlook\KQ6MRZTT\www.transparency.org\en\cpi\2020\index</vt:lpwstr>
      </vt:variant>
      <vt:variant>
        <vt:lpwstr/>
      </vt:variant>
      <vt:variant>
        <vt:i4>6815854</vt:i4>
      </vt:variant>
      <vt:variant>
        <vt:i4>66</vt:i4>
      </vt:variant>
      <vt:variant>
        <vt:i4>0</vt:i4>
      </vt:variant>
      <vt:variant>
        <vt:i4>5</vt:i4>
      </vt:variant>
      <vt:variant>
        <vt:lpwstr>https://climatedata.imf.org/pages/go-indicators</vt:lpwstr>
      </vt:variant>
      <vt:variant>
        <vt:lpwstr/>
      </vt:variant>
      <vt:variant>
        <vt:i4>6815854</vt:i4>
      </vt:variant>
      <vt:variant>
        <vt:i4>63</vt:i4>
      </vt:variant>
      <vt:variant>
        <vt:i4>0</vt:i4>
      </vt:variant>
      <vt:variant>
        <vt:i4>5</vt:i4>
      </vt:variant>
      <vt:variant>
        <vt:lpwstr>https://climatedata.imf.org/pages/go-indicators</vt:lpwstr>
      </vt:variant>
      <vt:variant>
        <vt:lpwstr/>
      </vt:variant>
      <vt:variant>
        <vt:i4>2424883</vt:i4>
      </vt:variant>
      <vt:variant>
        <vt:i4>60</vt:i4>
      </vt:variant>
      <vt:variant>
        <vt:i4>0</vt:i4>
      </vt:variant>
      <vt:variant>
        <vt:i4>5</vt:i4>
      </vt:variant>
      <vt:variant>
        <vt:lpwstr>https://databank.worldbank.org/source/sustainable-development-goals(sdgs)/Series/NY.GDP.PCAP.KD</vt:lpwstr>
      </vt:variant>
      <vt:variant>
        <vt:lpwstr/>
      </vt:variant>
      <vt:variant>
        <vt:i4>5767174</vt:i4>
      </vt:variant>
      <vt:variant>
        <vt:i4>57</vt:i4>
      </vt:variant>
      <vt:variant>
        <vt:i4>0</vt:i4>
      </vt:variant>
      <vt:variant>
        <vt:i4>5</vt:i4>
      </vt:variant>
      <vt:variant>
        <vt:lpwstr>https://unstats.un.org/sdgs/indicators/database/</vt:lpwstr>
      </vt:variant>
      <vt:variant>
        <vt:lpwstr/>
      </vt:variant>
      <vt:variant>
        <vt:i4>1769551</vt:i4>
      </vt:variant>
      <vt:variant>
        <vt:i4>54</vt:i4>
      </vt:variant>
      <vt:variant>
        <vt:i4>0</vt:i4>
      </vt:variant>
      <vt:variant>
        <vt:i4>5</vt:i4>
      </vt:variant>
      <vt:variant>
        <vt:lpwstr>http://www.fao.org/faostat/en/</vt:lpwstr>
      </vt:variant>
      <vt:variant>
        <vt:lpwstr>data/RL</vt:lpwstr>
      </vt:variant>
      <vt:variant>
        <vt:i4>5373965</vt:i4>
      </vt:variant>
      <vt:variant>
        <vt:i4>51</vt:i4>
      </vt:variant>
      <vt:variant>
        <vt:i4>0</vt:i4>
      </vt:variant>
      <vt:variant>
        <vt:i4>5</vt:i4>
      </vt:variant>
      <vt:variant>
        <vt:lpwstr>https://www.vlaanderen.be/inbo/backgroundindicatoren/noordzee-oceaanverzuring</vt:lpwstr>
      </vt:variant>
      <vt:variant>
        <vt:lpwstr/>
      </vt:variant>
      <vt:variant>
        <vt:i4>5767174</vt:i4>
      </vt:variant>
      <vt:variant>
        <vt:i4>48</vt:i4>
      </vt:variant>
      <vt:variant>
        <vt:i4>0</vt:i4>
      </vt:variant>
      <vt:variant>
        <vt:i4>5</vt:i4>
      </vt:variant>
      <vt:variant>
        <vt:lpwstr>https://unstats.un.org/sdgs/indicators/database/</vt:lpwstr>
      </vt:variant>
      <vt:variant>
        <vt:lpwstr/>
      </vt:variant>
      <vt:variant>
        <vt:i4>1769513</vt:i4>
      </vt:variant>
      <vt:variant>
        <vt:i4>45</vt:i4>
      </vt:variant>
      <vt:variant>
        <vt:i4>0</vt:i4>
      </vt:variant>
      <vt:variant>
        <vt:i4>5</vt:i4>
      </vt:variant>
      <vt:variant>
        <vt:lpwstr>http://www.eea.europa.eu/data-and-maps/daviz/yearly-mean-surface-sea-water-1</vt:lpwstr>
      </vt:variant>
      <vt:variant>
        <vt:lpwstr>tab-chart_3</vt:lpwstr>
      </vt:variant>
      <vt:variant>
        <vt:i4>983048</vt:i4>
      </vt:variant>
      <vt:variant>
        <vt:i4>42</vt:i4>
      </vt:variant>
      <vt:variant>
        <vt:i4>0</vt:i4>
      </vt:variant>
      <vt:variant>
        <vt:i4>5</vt:i4>
      </vt:variant>
      <vt:variant>
        <vt:lpwstr>http://www.fao.org/3/I9540EN/i9540en.pdf</vt:lpwstr>
      </vt:variant>
      <vt:variant>
        <vt:lpwstr/>
      </vt:variant>
      <vt:variant>
        <vt:i4>393283</vt:i4>
      </vt:variant>
      <vt:variant>
        <vt:i4>36</vt:i4>
      </vt:variant>
      <vt:variant>
        <vt:i4>0</vt:i4>
      </vt:variant>
      <vt:variant>
        <vt:i4>5</vt:i4>
      </vt:variant>
      <vt:variant>
        <vt:lpwstr>https://unstats.un.org/sdgs/unsdg</vt:lpwstr>
      </vt:variant>
      <vt:variant>
        <vt:lpwstr/>
      </vt:variant>
      <vt:variant>
        <vt:i4>5767174</vt:i4>
      </vt:variant>
      <vt:variant>
        <vt:i4>33</vt:i4>
      </vt:variant>
      <vt:variant>
        <vt:i4>0</vt:i4>
      </vt:variant>
      <vt:variant>
        <vt:i4>5</vt:i4>
      </vt:variant>
      <vt:variant>
        <vt:lpwstr>https://unstats.un.org/sdgs/indicators/database/</vt:lpwstr>
      </vt:variant>
      <vt:variant>
        <vt:lpwstr/>
      </vt:variant>
      <vt:variant>
        <vt:i4>5767174</vt:i4>
      </vt:variant>
      <vt:variant>
        <vt:i4>30</vt:i4>
      </vt:variant>
      <vt:variant>
        <vt:i4>0</vt:i4>
      </vt:variant>
      <vt:variant>
        <vt:i4>5</vt:i4>
      </vt:variant>
      <vt:variant>
        <vt:lpwstr>https://unstats.un.org/sdgs/indicators/database/</vt:lpwstr>
      </vt:variant>
      <vt:variant>
        <vt:lpwstr/>
      </vt:variant>
      <vt:variant>
        <vt:i4>5701632</vt:i4>
      </vt:variant>
      <vt:variant>
        <vt:i4>27</vt:i4>
      </vt:variant>
      <vt:variant>
        <vt:i4>0</vt:i4>
      </vt:variant>
      <vt:variant>
        <vt:i4>5</vt:i4>
      </vt:variant>
      <vt:variant>
        <vt:lpwstr>https://unstats.un.org/unsd/energystats/pubs/balance/</vt:lpwstr>
      </vt:variant>
      <vt:variant>
        <vt:lpwstr/>
      </vt:variant>
      <vt:variant>
        <vt:i4>4128808</vt:i4>
      </vt:variant>
      <vt:variant>
        <vt:i4>24</vt:i4>
      </vt:variant>
      <vt:variant>
        <vt:i4>0</vt:i4>
      </vt:variant>
      <vt:variant>
        <vt:i4>5</vt:i4>
      </vt:variant>
      <vt:variant>
        <vt:lpwstr>http://www.who.int/data/gho/data/indicators/indicator-details/GHO/concentrations-of-fine-particulate-matter-(pm2-5)</vt:lpwstr>
      </vt:variant>
      <vt:variant>
        <vt:lpwstr/>
      </vt:variant>
      <vt:variant>
        <vt:i4>3342399</vt:i4>
      </vt:variant>
      <vt:variant>
        <vt:i4>21</vt:i4>
      </vt:variant>
      <vt:variant>
        <vt:i4>0</vt:i4>
      </vt:variant>
      <vt:variant>
        <vt:i4>5</vt:i4>
      </vt:variant>
      <vt:variant>
        <vt:lpwstr>http://www.ceip.at/webdab-emissions-database/reported-emissiondata</vt:lpwstr>
      </vt:variant>
      <vt:variant>
        <vt:lpwstr/>
      </vt:variant>
      <vt:variant>
        <vt:i4>2555961</vt:i4>
      </vt:variant>
      <vt:variant>
        <vt:i4>18</vt:i4>
      </vt:variant>
      <vt:variant>
        <vt:i4>0</vt:i4>
      </vt:variant>
      <vt:variant>
        <vt:i4>5</vt:i4>
      </vt:variant>
      <vt:variant>
        <vt:lpwstr>https://www.ceip.at/webdab-emissions-database/reported-emissiondata</vt:lpwstr>
      </vt:variant>
      <vt:variant>
        <vt:lpwstr/>
      </vt:variant>
      <vt:variant>
        <vt:i4>3342399</vt:i4>
      </vt:variant>
      <vt:variant>
        <vt:i4>15</vt:i4>
      </vt:variant>
      <vt:variant>
        <vt:i4>0</vt:i4>
      </vt:variant>
      <vt:variant>
        <vt:i4>5</vt:i4>
      </vt:variant>
      <vt:variant>
        <vt:lpwstr>http://www.ceip.at/webdab-emissions-database/reported-emissiondata</vt:lpwstr>
      </vt:variant>
      <vt:variant>
        <vt:lpwstr/>
      </vt:variant>
      <vt:variant>
        <vt:i4>1900551</vt:i4>
      </vt:variant>
      <vt:variant>
        <vt:i4>12</vt:i4>
      </vt:variant>
      <vt:variant>
        <vt:i4>0</vt:i4>
      </vt:variant>
      <vt:variant>
        <vt:i4>5</vt:i4>
      </vt:variant>
      <vt:variant>
        <vt:lpwstr>https://wesr.unep.org/downloader</vt:lpwstr>
      </vt:variant>
      <vt:variant>
        <vt:lpwstr/>
      </vt:variant>
      <vt:variant>
        <vt:i4>4194389</vt:i4>
      </vt:variant>
      <vt:variant>
        <vt:i4>9</vt:i4>
      </vt:variant>
      <vt:variant>
        <vt:i4>0</vt:i4>
      </vt:variant>
      <vt:variant>
        <vt:i4>5</vt:i4>
      </vt:variant>
      <vt:variant>
        <vt:lpwstr>http://www.informea.org/</vt:lpwstr>
      </vt:variant>
      <vt:variant>
        <vt:lpwstr/>
      </vt:variant>
      <vt:variant>
        <vt:i4>1900551</vt:i4>
      </vt:variant>
      <vt:variant>
        <vt:i4>6</vt:i4>
      </vt:variant>
      <vt:variant>
        <vt:i4>0</vt:i4>
      </vt:variant>
      <vt:variant>
        <vt:i4>5</vt:i4>
      </vt:variant>
      <vt:variant>
        <vt:lpwstr>https://wesr.unep.org/downloader</vt:lpwstr>
      </vt:variant>
      <vt:variant>
        <vt:lpwstr/>
      </vt:variant>
      <vt:variant>
        <vt:i4>327755</vt:i4>
      </vt:variant>
      <vt:variant>
        <vt:i4>3</vt:i4>
      </vt:variant>
      <vt:variant>
        <vt:i4>0</vt:i4>
      </vt:variant>
      <vt:variant>
        <vt:i4>5</vt:i4>
      </vt:variant>
      <vt:variant>
        <vt:lpwstr>https://www.eea.europa.eu/data-and-maps/indicators/land-take-3/assessment</vt:lpwstr>
      </vt:variant>
      <vt:variant>
        <vt:lpwstr/>
      </vt:variant>
      <vt:variant>
        <vt:i4>3014690</vt:i4>
      </vt:variant>
      <vt:variant>
        <vt:i4>411</vt:i4>
      </vt:variant>
      <vt:variant>
        <vt:i4>0</vt:i4>
      </vt:variant>
      <vt:variant>
        <vt:i4>5</vt:i4>
      </vt:variant>
      <vt:variant>
        <vt:lpwstr>https://unstats.un.org/sdgs/UNSDG/DataAvailability</vt:lpwstr>
      </vt:variant>
      <vt:variant>
        <vt:lpwstr/>
      </vt:variant>
      <vt:variant>
        <vt:i4>458760</vt:i4>
      </vt:variant>
      <vt:variant>
        <vt:i4>408</vt:i4>
      </vt:variant>
      <vt:variant>
        <vt:i4>0</vt:i4>
      </vt:variant>
      <vt:variant>
        <vt:i4>5</vt:i4>
      </vt:variant>
      <vt:variant>
        <vt:lpwstr>https://genderandenvironment.org/wp-content/uploads/2015/02/CI-REPORT.pdf</vt:lpwstr>
      </vt:variant>
      <vt:variant>
        <vt:lpwstr/>
      </vt:variant>
      <vt:variant>
        <vt:i4>3997729</vt:i4>
      </vt:variant>
      <vt:variant>
        <vt:i4>405</vt:i4>
      </vt:variant>
      <vt:variant>
        <vt:i4>0</vt:i4>
      </vt:variant>
      <vt:variant>
        <vt:i4>5</vt:i4>
      </vt:variant>
      <vt:variant>
        <vt:lpwstr>https://unece.org/environment-policy/environmental-assessment/review-implementation-national-reporting</vt:lpwstr>
      </vt:variant>
      <vt:variant>
        <vt:lpwstr/>
      </vt:variant>
      <vt:variant>
        <vt:i4>3997818</vt:i4>
      </vt:variant>
      <vt:variant>
        <vt:i4>402</vt:i4>
      </vt:variant>
      <vt:variant>
        <vt:i4>0</vt:i4>
      </vt:variant>
      <vt:variant>
        <vt:i4>5</vt:i4>
      </vt:variant>
      <vt:variant>
        <vt:lpwstr>https://unsdg.un.org/sites/default/files/2019-09/UNCT GEM UN INFO final draft June 2019.pdf</vt:lpwstr>
      </vt:variant>
      <vt:variant>
        <vt:lpwstr/>
      </vt:variant>
      <vt:variant>
        <vt:i4>4128813</vt:i4>
      </vt:variant>
      <vt:variant>
        <vt:i4>399</vt:i4>
      </vt:variant>
      <vt:variant>
        <vt:i4>0</vt:i4>
      </vt:variant>
      <vt:variant>
        <vt:i4>5</vt:i4>
      </vt:variant>
      <vt:variant>
        <vt:lpwstr>http://www.hoteljakarta.com/sustainably-built/</vt:lpwstr>
      </vt:variant>
      <vt:variant>
        <vt:lpwstr/>
      </vt:variant>
      <vt:variant>
        <vt:i4>4521998</vt:i4>
      </vt:variant>
      <vt:variant>
        <vt:i4>396</vt:i4>
      </vt:variant>
      <vt:variant>
        <vt:i4>0</vt:i4>
      </vt:variant>
      <vt:variant>
        <vt:i4>5</vt:i4>
      </vt:variant>
      <vt:variant>
        <vt:lpwstr>https://news.klm.com/world-first-in-the-netherlands-by-klm-shell-and-dutch-ministry-for-infrastructure-and-water-management-first-passenger-flight-performed-with-sustainable-synthetic-kerosene/</vt:lpwstr>
      </vt:variant>
      <vt:variant>
        <vt:lpwstr/>
      </vt:variant>
      <vt:variant>
        <vt:i4>2031736</vt:i4>
      </vt:variant>
      <vt:variant>
        <vt:i4>393</vt:i4>
      </vt:variant>
      <vt:variant>
        <vt:i4>0</vt:i4>
      </vt:variant>
      <vt:variant>
        <vt:i4>5</vt:i4>
      </vt:variant>
      <vt:variant>
        <vt:lpwstr>https://unitednations.sharepoint.com/sites/ECE-SUB-JOINT-EnvironmentandStatistics/Shared Documents/Environment and Statistics/_18th Meeting 18-19 Oct 2021/Documents/5. PEEA general/www.norsk-e-fuel.com/en</vt:lpwstr>
      </vt:variant>
      <vt:variant>
        <vt:lpwstr/>
      </vt:variant>
      <vt:variant>
        <vt:i4>2949170</vt:i4>
      </vt:variant>
      <vt:variant>
        <vt:i4>390</vt:i4>
      </vt:variant>
      <vt:variant>
        <vt:i4>0</vt:i4>
      </vt:variant>
      <vt:variant>
        <vt:i4>5</vt:i4>
      </vt:variant>
      <vt:variant>
        <vt:lpwstr>https://skynrg.com/press-releases/consortium-launches-zenid-sustainable-aviation-fuel-from-air/</vt:lpwstr>
      </vt:variant>
      <vt:variant>
        <vt:lpwstr/>
      </vt:variant>
      <vt:variant>
        <vt:i4>1114192</vt:i4>
      </vt:variant>
      <vt:variant>
        <vt:i4>387</vt:i4>
      </vt:variant>
      <vt:variant>
        <vt:i4>0</vt:i4>
      </vt:variant>
      <vt:variant>
        <vt:i4>5</vt:i4>
      </vt:variant>
      <vt:variant>
        <vt:lpwstr>https://skynrg.com/press-releases/klm-skynrg-and-shv-energy-announce-project-first-european-plant-for-sustainable-aviation-fuel/</vt:lpwstr>
      </vt:variant>
      <vt:variant>
        <vt:lpwstr/>
      </vt:variant>
      <vt:variant>
        <vt:i4>6881313</vt:i4>
      </vt:variant>
      <vt:variant>
        <vt:i4>384</vt:i4>
      </vt:variant>
      <vt:variant>
        <vt:i4>0</vt:i4>
      </vt:variant>
      <vt:variant>
        <vt:i4>5</vt:i4>
      </vt:variant>
      <vt:variant>
        <vt:lpwstr>https://synkero.com/wp-content/uploads/2021/06/Synkero-White-Paper.pdf</vt:lpwstr>
      </vt:variant>
      <vt:variant>
        <vt:lpwstr/>
      </vt:variant>
      <vt:variant>
        <vt:i4>6357113</vt:i4>
      </vt:variant>
      <vt:variant>
        <vt:i4>381</vt:i4>
      </vt:variant>
      <vt:variant>
        <vt:i4>0</vt:i4>
      </vt:variant>
      <vt:variant>
        <vt:i4>5</vt:i4>
      </vt:variant>
      <vt:variant>
        <vt:lpwstr>https://unece.org/text-protocol</vt:lpwstr>
      </vt:variant>
      <vt:variant>
        <vt:lpwstr/>
      </vt:variant>
      <vt:variant>
        <vt:i4>7798907</vt:i4>
      </vt:variant>
      <vt:variant>
        <vt:i4>378</vt:i4>
      </vt:variant>
      <vt:variant>
        <vt:i4>0</vt:i4>
      </vt:variant>
      <vt:variant>
        <vt:i4>5</vt:i4>
      </vt:variant>
      <vt:variant>
        <vt:lpwstr>https://appsso.eurostat.ec.europa.eu/nui/show.do?dataset=tour_dem_tttr&amp;lang=en</vt:lpwstr>
      </vt:variant>
      <vt:variant>
        <vt:lpwstr/>
      </vt:variant>
      <vt:variant>
        <vt:i4>3014700</vt:i4>
      </vt:variant>
      <vt:variant>
        <vt:i4>375</vt:i4>
      </vt:variant>
      <vt:variant>
        <vt:i4>0</vt:i4>
      </vt:variant>
      <vt:variant>
        <vt:i4>5</vt:i4>
      </vt:variant>
      <vt:variant>
        <vt:lpwstr>https://w3.unece.org/SDG/en</vt:lpwstr>
      </vt:variant>
      <vt:variant>
        <vt:lpwstr/>
      </vt:variant>
      <vt:variant>
        <vt:i4>7209011</vt:i4>
      </vt:variant>
      <vt:variant>
        <vt:i4>372</vt:i4>
      </vt:variant>
      <vt:variant>
        <vt:i4>0</vt:i4>
      </vt:variant>
      <vt:variant>
        <vt:i4>5</vt:i4>
      </vt:variant>
      <vt:variant>
        <vt:lpwstr>https://www.unwto.org/standards/un-standards-for-measuring-tourism</vt:lpwstr>
      </vt:variant>
      <vt:variant>
        <vt:lpwstr/>
      </vt:variant>
      <vt:variant>
        <vt:i4>6291572</vt:i4>
      </vt:variant>
      <vt:variant>
        <vt:i4>369</vt:i4>
      </vt:variant>
      <vt:variant>
        <vt:i4>0</vt:i4>
      </vt:variant>
      <vt:variant>
        <vt:i4>5</vt:i4>
      </vt:variant>
      <vt:variant>
        <vt:lpwstr>https://ec.europa.eu/eurostat/web/circular-economy/indicators/monitoring-framework</vt:lpwstr>
      </vt:variant>
      <vt:variant>
        <vt:lpwstr/>
      </vt:variant>
      <vt:variant>
        <vt:i4>4784130</vt:i4>
      </vt:variant>
      <vt:variant>
        <vt:i4>366</vt:i4>
      </vt:variant>
      <vt:variant>
        <vt:i4>0</vt:i4>
      </vt:variant>
      <vt:variant>
        <vt:i4>5</vt:i4>
      </vt:variant>
      <vt:variant>
        <vt:lpwstr>http://www.unwto.org/covid-19-oneplanet-responsible-recovery-initiatives</vt:lpwstr>
      </vt:variant>
      <vt:variant>
        <vt:lpwstr/>
      </vt:variant>
      <vt:variant>
        <vt:i4>3866733</vt:i4>
      </vt:variant>
      <vt:variant>
        <vt:i4>363</vt:i4>
      </vt:variant>
      <vt:variant>
        <vt:i4>0</vt:i4>
      </vt:variant>
      <vt:variant>
        <vt:i4>5</vt:i4>
      </vt:variant>
      <vt:variant>
        <vt:lpwstr>http://www.oecd.org/coronavirus/policy-responses/tourism-policy-responses-to-the-coronavirus-covid-19-6466aa20/</vt:lpwstr>
      </vt:variant>
      <vt:variant>
        <vt:lpwstr/>
      </vt:variant>
      <vt:variant>
        <vt:i4>3538979</vt:i4>
      </vt:variant>
      <vt:variant>
        <vt:i4>360</vt:i4>
      </vt:variant>
      <vt:variant>
        <vt:i4>0</vt:i4>
      </vt:variant>
      <vt:variant>
        <vt:i4>5</vt:i4>
      </vt:variant>
      <vt:variant>
        <vt:lpwstr>http://www.e-unwto.org/toc/wtobarometereng/19/6</vt:lpwstr>
      </vt:variant>
      <vt:variant>
        <vt:lpwstr/>
      </vt:variant>
      <vt:variant>
        <vt:i4>524375</vt:i4>
      </vt:variant>
      <vt:variant>
        <vt:i4>357</vt:i4>
      </vt:variant>
      <vt:variant>
        <vt:i4>0</vt:i4>
      </vt:variant>
      <vt:variant>
        <vt:i4>5</vt:i4>
      </vt:variant>
      <vt:variant>
        <vt:lpwstr>http://www.unwto.org/news/2020-worst-year-in-tourism-history-with-1-billion-fewer-international-arrivals</vt:lpwstr>
      </vt:variant>
      <vt:variant>
        <vt:lpwstr/>
      </vt:variant>
      <vt:variant>
        <vt:i4>4980750</vt:i4>
      </vt:variant>
      <vt:variant>
        <vt:i4>354</vt:i4>
      </vt:variant>
      <vt:variant>
        <vt:i4>0</vt:i4>
      </vt:variant>
      <vt:variant>
        <vt:i4>5</vt:i4>
      </vt:variant>
      <vt:variant>
        <vt:lpwstr>https://unece.org/info/Sustainable-Energy/UNFC-and-Sustainable-Resource-Management/pub/355180</vt:lpwstr>
      </vt:variant>
      <vt:variant>
        <vt:lpwstr/>
      </vt:variant>
      <vt:variant>
        <vt:i4>4718670</vt:i4>
      </vt:variant>
      <vt:variant>
        <vt:i4>351</vt:i4>
      </vt:variant>
      <vt:variant>
        <vt:i4>0</vt:i4>
      </vt:variant>
      <vt:variant>
        <vt:i4>5</vt:i4>
      </vt:variant>
      <vt:variant>
        <vt:lpwstr>http://www.circularity-gap.world/2021</vt:lpwstr>
      </vt:variant>
      <vt:variant>
        <vt:lpwstr/>
      </vt:variant>
      <vt:variant>
        <vt:i4>4128880</vt:i4>
      </vt:variant>
      <vt:variant>
        <vt:i4>348</vt:i4>
      </vt:variant>
      <vt:variant>
        <vt:i4>0</vt:i4>
      </vt:variant>
      <vt:variant>
        <vt:i4>5</vt:i4>
      </vt:variant>
      <vt:variant>
        <vt:lpwstr>http://www.unwto.org/international-tourism-growth-continues-to-outpace-the-economy</vt:lpwstr>
      </vt:variant>
      <vt:variant>
        <vt:lpwstr/>
      </vt:variant>
      <vt:variant>
        <vt:i4>7536753</vt:i4>
      </vt:variant>
      <vt:variant>
        <vt:i4>345</vt:i4>
      </vt:variant>
      <vt:variant>
        <vt:i4>0</vt:i4>
      </vt:variant>
      <vt:variant>
        <vt:i4>5</vt:i4>
      </vt:variant>
      <vt:variant>
        <vt:lpwstr>http://science.sciencemag.org/content/347/6223/1259855.abstract</vt:lpwstr>
      </vt:variant>
      <vt:variant>
        <vt:lpwstr/>
      </vt:variant>
      <vt:variant>
        <vt:i4>4653081</vt:i4>
      </vt:variant>
      <vt:variant>
        <vt:i4>342</vt:i4>
      </vt:variant>
      <vt:variant>
        <vt:i4>0</vt:i4>
      </vt:variant>
      <vt:variant>
        <vt:i4>5</vt:i4>
      </vt:variant>
      <vt:variant>
        <vt:lpwstr>http://www.resourcepanel.org/reports/global-resources-outlook</vt:lpwstr>
      </vt:variant>
      <vt:variant>
        <vt:lpwstr/>
      </vt:variant>
      <vt:variant>
        <vt:i4>983163</vt:i4>
      </vt:variant>
      <vt:variant>
        <vt:i4>339</vt:i4>
      </vt:variant>
      <vt:variant>
        <vt:i4>0</vt:i4>
      </vt:variant>
      <vt:variant>
        <vt:i4>5</vt:i4>
      </vt:variant>
      <vt:variant>
        <vt:lpwstr>https://webunwto.s3-eu-west-1.amazonaws.com/2019-08/unwtosdgtourismindicators02032016_unlocked.pdf</vt:lpwstr>
      </vt:variant>
      <vt:variant>
        <vt:lpwstr/>
      </vt:variant>
      <vt:variant>
        <vt:i4>1441850</vt:i4>
      </vt:variant>
      <vt:variant>
        <vt:i4>336</vt:i4>
      </vt:variant>
      <vt:variant>
        <vt:i4>0</vt:i4>
      </vt:variant>
      <vt:variant>
        <vt:i4>5</vt:i4>
      </vt:variant>
      <vt:variant>
        <vt:lpwstr>http://awsassets.panda.org/downloads/wwf_ldgc.pdf</vt:lpwstr>
      </vt:variant>
      <vt:variant>
        <vt:lpwstr/>
      </vt:variant>
      <vt:variant>
        <vt:i4>5963848</vt:i4>
      </vt:variant>
      <vt:variant>
        <vt:i4>333</vt:i4>
      </vt:variant>
      <vt:variant>
        <vt:i4>0</vt:i4>
      </vt:variant>
      <vt:variant>
        <vt:i4>5</vt:i4>
      </vt:variant>
      <vt:variant>
        <vt:lpwstr>http://awsassets.panda.org/downloads/ldgcdeclaration.pdf</vt:lpwstr>
      </vt:variant>
      <vt:variant>
        <vt:lpwstr/>
      </vt:variant>
      <vt:variant>
        <vt:i4>3866690</vt:i4>
      </vt:variant>
      <vt:variant>
        <vt:i4>330</vt:i4>
      </vt:variant>
      <vt:variant>
        <vt:i4>0</vt:i4>
      </vt:variant>
      <vt:variant>
        <vt:i4>5</vt:i4>
      </vt:variant>
      <vt:variant>
        <vt:lpwstr>https://climate-adapt.eea.europa.eu/metadata/case-studies/lower-danube-green-corridor-floodplain-restoration-for-flood-protection/danube_document-1.pdf</vt:lpwstr>
      </vt:variant>
      <vt:variant>
        <vt:lpwstr/>
      </vt:variant>
      <vt:variant>
        <vt:i4>3866660</vt:i4>
      </vt:variant>
      <vt:variant>
        <vt:i4>324</vt:i4>
      </vt:variant>
      <vt:variant>
        <vt:i4>0</vt:i4>
      </vt:variant>
      <vt:variant>
        <vt:i4>5</vt:i4>
      </vt:variant>
      <vt:variant>
        <vt:lpwstr>https://sustainableinfrastructure.org/itinerario-ferroviario-napoli-bari-tratta-frasso-telesino-s-lorenzo/</vt:lpwstr>
      </vt:variant>
      <vt:variant>
        <vt:lpwstr/>
      </vt:variant>
      <vt:variant>
        <vt:i4>6750322</vt:i4>
      </vt:variant>
      <vt:variant>
        <vt:i4>321</vt:i4>
      </vt:variant>
      <vt:variant>
        <vt:i4>0</vt:i4>
      </vt:variant>
      <vt:variant>
        <vt:i4>5</vt:i4>
      </vt:variant>
      <vt:variant>
        <vt:lpwstr>https://qdd.oecd.org/subject.aspx?Subject=17375f7e-fc6c-4a5f-81bf-5b7e6a1da53c</vt:lpwstr>
      </vt:variant>
      <vt:variant>
        <vt:lpwstr/>
      </vt:variant>
      <vt:variant>
        <vt:i4>5242916</vt:i4>
      </vt:variant>
      <vt:variant>
        <vt:i4>318</vt:i4>
      </vt:variant>
      <vt:variant>
        <vt:i4>0</vt:i4>
      </vt:variant>
      <vt:variant>
        <vt:i4>5</vt:i4>
      </vt:variant>
      <vt:variant>
        <vt:lpwstr>C:\Users\naplin\AppData\Local\Microsoft\Windows\INetCache\Content.Outlook\KQ6MRZTT\www.undp.org\content\dam\tajikistan\docs\projects\PEI\Economics of Land Degradation Report ENG pre-final (2).pdf</vt:lpwstr>
      </vt:variant>
      <vt:variant>
        <vt:lpwstr/>
      </vt:variant>
      <vt:variant>
        <vt:i4>5701715</vt:i4>
      </vt:variant>
      <vt:variant>
        <vt:i4>315</vt:i4>
      </vt:variant>
      <vt:variant>
        <vt:i4>0</vt:i4>
      </vt:variant>
      <vt:variant>
        <vt:i4>5</vt:i4>
      </vt:variant>
      <vt:variant>
        <vt:lpwstr>https://sustainable-infrastructure-tools.org/</vt:lpwstr>
      </vt:variant>
      <vt:variant>
        <vt:lpwstr/>
      </vt:variant>
      <vt:variant>
        <vt:i4>4259964</vt:i4>
      </vt:variant>
      <vt:variant>
        <vt:i4>312</vt:i4>
      </vt:variant>
      <vt:variant>
        <vt:i4>0</vt:i4>
      </vt:variant>
      <vt:variant>
        <vt:i4>5</vt:i4>
      </vt:variant>
      <vt:variant>
        <vt:lpwstr>https://ec.europa.eu/info/sites/default/files/business_economy_euro/banking_and_finance/documents/200309-sustainable-finance-teg-final-report-taxonomy_en.pdf</vt:lpwstr>
      </vt:variant>
      <vt:variant>
        <vt:lpwstr/>
      </vt:variant>
      <vt:variant>
        <vt:i4>5111851</vt:i4>
      </vt:variant>
      <vt:variant>
        <vt:i4>309</vt:i4>
      </vt:variant>
      <vt:variant>
        <vt:i4>0</vt:i4>
      </vt:variant>
      <vt:variant>
        <vt:i4>5</vt:i4>
      </vt:variant>
      <vt:variant>
        <vt:lpwstr>https://unece.org/DAM/env/eia/documents/legaltexts/Espoo_Convention_authentic_ENG.pdf</vt:lpwstr>
      </vt:variant>
      <vt:variant>
        <vt:lpwstr/>
      </vt:variant>
      <vt:variant>
        <vt:i4>393311</vt:i4>
      </vt:variant>
      <vt:variant>
        <vt:i4>306</vt:i4>
      </vt:variant>
      <vt:variant>
        <vt:i4>0</vt:i4>
      </vt:variant>
      <vt:variant>
        <vt:i4>5</vt:i4>
      </vt:variant>
      <vt:variant>
        <vt:lpwstr>http://www.greengrowthknowledge.org/big-e</vt:lpwstr>
      </vt:variant>
      <vt:variant>
        <vt:lpwstr/>
      </vt:variant>
      <vt:variant>
        <vt:i4>83</vt:i4>
      </vt:variant>
      <vt:variant>
        <vt:i4>303</vt:i4>
      </vt:variant>
      <vt:variant>
        <vt:i4>0</vt:i4>
      </vt:variant>
      <vt:variant>
        <vt:i4>5</vt:i4>
      </vt:variant>
      <vt:variant>
        <vt:lpwstr>https://publications.iadb.org/en/attributes-and-framework-sustainable-infrastructure</vt:lpwstr>
      </vt:variant>
      <vt:variant>
        <vt:lpwstr/>
      </vt:variant>
      <vt:variant>
        <vt:i4>7143467</vt:i4>
      </vt:variant>
      <vt:variant>
        <vt:i4>300</vt:i4>
      </vt:variant>
      <vt:variant>
        <vt:i4>0</vt:i4>
      </vt:variant>
      <vt:variant>
        <vt:i4>5</vt:i4>
      </vt:variant>
      <vt:variant>
        <vt:lpwstr>https://reliefweb.int/sites/reliefweb.int/files/resources/Migration-policy-Report-Final-LR.pdf</vt:lpwstr>
      </vt:variant>
      <vt:variant>
        <vt:lpwstr/>
      </vt:variant>
      <vt:variant>
        <vt:i4>3407909</vt:i4>
      </vt:variant>
      <vt:variant>
        <vt:i4>297</vt:i4>
      </vt:variant>
      <vt:variant>
        <vt:i4>0</vt:i4>
      </vt:variant>
      <vt:variant>
        <vt:i4>5</vt:i4>
      </vt:variant>
      <vt:variant>
        <vt:lpwstr>https://publications.iom.int/books/world-migration-report-2020</vt:lpwstr>
      </vt:variant>
      <vt:variant>
        <vt:lpwstr/>
      </vt:variant>
      <vt:variant>
        <vt:i4>3932226</vt:i4>
      </vt:variant>
      <vt:variant>
        <vt:i4>294</vt:i4>
      </vt:variant>
      <vt:variant>
        <vt:i4>0</vt:i4>
      </vt:variant>
      <vt:variant>
        <vt:i4>5</vt:i4>
      </vt:variant>
      <vt:variant>
        <vt:lpwstr>http://www.ilo.org/wcmsp5/groups/public/---dgreports/---dcomm/---publ/documents/publication/wcms_795453.pdf</vt:lpwstr>
      </vt:variant>
      <vt:variant>
        <vt:lpwstr/>
      </vt:variant>
      <vt:variant>
        <vt:i4>7077896</vt:i4>
      </vt:variant>
      <vt:variant>
        <vt:i4>291</vt:i4>
      </vt:variant>
      <vt:variant>
        <vt:i4>0</vt:i4>
      </vt:variant>
      <vt:variant>
        <vt:i4>5</vt:i4>
      </vt:variant>
      <vt:variant>
        <vt:lpwstr>C:\Users\naplin\AppData\Local\Microsoft\Windows\INetCache\Content.Outlook\KQ6MRZTT\Available at www.conservation.org\docs\default-source\publication-pdfs\ci-green-gray-practical-guide-v07.pdf?Status=Master&amp;sfvrsn=3cc5cf18_4</vt:lpwstr>
      </vt:variant>
      <vt:variant>
        <vt:lpwstr/>
      </vt:variant>
      <vt:variant>
        <vt:i4>76</vt:i4>
      </vt:variant>
      <vt:variant>
        <vt:i4>288</vt:i4>
      </vt:variant>
      <vt:variant>
        <vt:i4>0</vt:i4>
      </vt:variant>
      <vt:variant>
        <vt:i4>5</vt:i4>
      </vt:variant>
      <vt:variant>
        <vt:lpwstr>https://ppi.worldbank.org/content/dam/PPI/documents/2017_Low_Carbon_Infrastructure_PPI.pdf</vt:lpwstr>
      </vt:variant>
      <vt:variant>
        <vt:lpwstr/>
      </vt:variant>
      <vt:variant>
        <vt:i4>2556006</vt:i4>
      </vt:variant>
      <vt:variant>
        <vt:i4>285</vt:i4>
      </vt:variant>
      <vt:variant>
        <vt:i4>0</vt:i4>
      </vt:variant>
      <vt:variant>
        <vt:i4>5</vt:i4>
      </vt:variant>
      <vt:variant>
        <vt:lpwstr>http://www.unep.org/news-and-stories/story/sustainable-infrastructure-can-drive-development-and-covid-19-recovery-unep</vt:lpwstr>
      </vt:variant>
      <vt:variant>
        <vt:lpwstr/>
      </vt:variant>
      <vt:variant>
        <vt:i4>2883684</vt:i4>
      </vt:variant>
      <vt:variant>
        <vt:i4>282</vt:i4>
      </vt:variant>
      <vt:variant>
        <vt:i4>0</vt:i4>
      </vt:variant>
      <vt:variant>
        <vt:i4>5</vt:i4>
      </vt:variant>
      <vt:variant>
        <vt:lpwstr>http://www.oecd.org/environment/cc/climate-futures/policy-highlights-financing-climate-futures.pdf</vt:lpwstr>
      </vt:variant>
      <vt:variant>
        <vt:lpwstr/>
      </vt:variant>
      <vt:variant>
        <vt:i4>4718621</vt:i4>
      </vt:variant>
      <vt:variant>
        <vt:i4>279</vt:i4>
      </vt:variant>
      <vt:variant>
        <vt:i4>0</vt:i4>
      </vt:variant>
      <vt:variant>
        <vt:i4>5</vt:i4>
      </vt:variant>
      <vt:variant>
        <vt:lpwstr>https://publications.iadb.org/publications/english/document/Increasing-Infrastructure-Resilience-with-Nature-Based-Solutions-NbS.pdf</vt:lpwstr>
      </vt:variant>
      <vt:variant>
        <vt:lpwstr/>
      </vt:variant>
      <vt:variant>
        <vt:i4>7864373</vt:i4>
      </vt:variant>
      <vt:variant>
        <vt:i4>276</vt:i4>
      </vt:variant>
      <vt:variant>
        <vt:i4>0</vt:i4>
      </vt:variant>
      <vt:variant>
        <vt:i4>5</vt:i4>
      </vt:variant>
      <vt:variant>
        <vt:lpwstr>https://www.f4b-initiative.net/publications-1/greenness-of-stimulus-index---6th-edition</vt:lpwstr>
      </vt:variant>
      <vt:variant>
        <vt:lpwstr/>
      </vt:variant>
      <vt:variant>
        <vt:i4>2949157</vt:i4>
      </vt:variant>
      <vt:variant>
        <vt:i4>273</vt:i4>
      </vt:variant>
      <vt:variant>
        <vt:i4>0</vt:i4>
      </vt:variant>
      <vt:variant>
        <vt:i4>5</vt:i4>
      </vt:variant>
      <vt:variant>
        <vt:lpwstr>https://openknowledge.worldbank.org/handle/10986/35620</vt:lpwstr>
      </vt:variant>
      <vt:variant>
        <vt:lpwstr/>
      </vt:variant>
      <vt:variant>
        <vt:i4>327806</vt:i4>
      </vt:variant>
      <vt:variant>
        <vt:i4>270</vt:i4>
      </vt:variant>
      <vt:variant>
        <vt:i4>0</vt:i4>
      </vt:variant>
      <vt:variant>
        <vt:i4>5</vt:i4>
      </vt:variant>
      <vt:variant>
        <vt:lpwstr>https://www.oecd-ilibrary.org/environment/oecd-environmental-performance-reviews-turkey-2019_9789264309753-en</vt:lpwstr>
      </vt:variant>
      <vt:variant>
        <vt:lpwstr/>
      </vt:variant>
      <vt:variant>
        <vt:i4>6094943</vt:i4>
      </vt:variant>
      <vt:variant>
        <vt:i4>267</vt:i4>
      </vt:variant>
      <vt:variant>
        <vt:i4>0</vt:i4>
      </vt:variant>
      <vt:variant>
        <vt:i4>5</vt:i4>
      </vt:variant>
      <vt:variant>
        <vt:lpwstr>https://www.eea.europa.eu/soer/2015/countries/turkey</vt:lpwstr>
      </vt:variant>
      <vt:variant>
        <vt:lpwstr/>
      </vt:variant>
      <vt:variant>
        <vt:i4>8126511</vt:i4>
      </vt:variant>
      <vt:variant>
        <vt:i4>264</vt:i4>
      </vt:variant>
      <vt:variant>
        <vt:i4>0</vt:i4>
      </vt:variant>
      <vt:variant>
        <vt:i4>5</vt:i4>
      </vt:variant>
      <vt:variant>
        <vt:lpwstr>https://cohesiondata.ec.europa.eu/overview</vt:lpwstr>
      </vt:variant>
      <vt:variant>
        <vt:lpwstr/>
      </vt:variant>
      <vt:variant>
        <vt:i4>6815759</vt:i4>
      </vt:variant>
      <vt:variant>
        <vt:i4>261</vt:i4>
      </vt:variant>
      <vt:variant>
        <vt:i4>0</vt:i4>
      </vt:variant>
      <vt:variant>
        <vt:i4>5</vt:i4>
      </vt:variant>
      <vt:variant>
        <vt:lpwstr>https://www.sgi-network.org/2018/Croatia/Environmental_Policies</vt:lpwstr>
      </vt:variant>
      <vt:variant>
        <vt:lpwstr/>
      </vt:variant>
      <vt:variant>
        <vt:i4>7209026</vt:i4>
      </vt:variant>
      <vt:variant>
        <vt:i4>258</vt:i4>
      </vt:variant>
      <vt:variant>
        <vt:i4>0</vt:i4>
      </vt:variant>
      <vt:variant>
        <vt:i4>5</vt:i4>
      </vt:variant>
      <vt:variant>
        <vt:lpwstr>https://ec.europa.eu/eurostat/databrowser/view/ENV_AC_EPNEIS__custom_1428687/default/table?lang=en</vt:lpwstr>
      </vt:variant>
      <vt:variant>
        <vt:lpwstr/>
      </vt:variant>
      <vt:variant>
        <vt:i4>6815854</vt:i4>
      </vt:variant>
      <vt:variant>
        <vt:i4>252</vt:i4>
      </vt:variant>
      <vt:variant>
        <vt:i4>0</vt:i4>
      </vt:variant>
      <vt:variant>
        <vt:i4>5</vt:i4>
      </vt:variant>
      <vt:variant>
        <vt:lpwstr>https://climatedata.imf.org/pages/go-indicators</vt:lpwstr>
      </vt:variant>
      <vt:variant>
        <vt:lpwstr/>
      </vt:variant>
      <vt:variant>
        <vt:i4>3932199</vt:i4>
      </vt:variant>
      <vt:variant>
        <vt:i4>249</vt:i4>
      </vt:variant>
      <vt:variant>
        <vt:i4>0</vt:i4>
      </vt:variant>
      <vt:variant>
        <vt:i4>5</vt:i4>
      </vt:variant>
      <vt:variant>
        <vt:lpwstr>https://sverigesmiljomal.se/sa-fungerar-arbetet-med-sveriges-miljomal/uppfoljning-av-miljomalen/arlig-uppfoljning-2021/</vt:lpwstr>
      </vt:variant>
      <vt:variant>
        <vt:lpwstr/>
      </vt:variant>
      <vt:variant>
        <vt:i4>8126563</vt:i4>
      </vt:variant>
      <vt:variant>
        <vt:i4>246</vt:i4>
      </vt:variant>
      <vt:variant>
        <vt:i4>0</vt:i4>
      </vt:variant>
      <vt:variant>
        <vt:i4>5</vt:i4>
      </vt:variant>
      <vt:variant>
        <vt:lpwstr>http://www.eea.europa.eu/highlights/achieving-eus-key-environmental-objectives</vt:lpwstr>
      </vt:variant>
      <vt:variant>
        <vt:lpwstr>:~:text=According%20to%20the%20European%20Environment,protecting%20biodiversity%20and%20natural%20capital</vt:lpwstr>
      </vt:variant>
      <vt:variant>
        <vt:i4>3538954</vt:i4>
      </vt:variant>
      <vt:variant>
        <vt:i4>243</vt:i4>
      </vt:variant>
      <vt:variant>
        <vt:i4>0</vt:i4>
      </vt:variant>
      <vt:variant>
        <vt:i4>5</vt:i4>
      </vt:variant>
      <vt:variant>
        <vt:lpwstr>https://europa.eu/investeu/contribution-green-deal-and-just-transition-scheme_en</vt:lpwstr>
      </vt:variant>
      <vt:variant>
        <vt:lpwstr/>
      </vt:variant>
      <vt:variant>
        <vt:i4>3080309</vt:i4>
      </vt:variant>
      <vt:variant>
        <vt:i4>240</vt:i4>
      </vt:variant>
      <vt:variant>
        <vt:i4>0</vt:i4>
      </vt:variant>
      <vt:variant>
        <vt:i4>5</vt:i4>
      </vt:variant>
      <vt:variant>
        <vt:lpwstr>https://ec.europa.eu/eurostat/statistics-explained/index.php?title=Waste_statistics_-_electrical_and_electronic_equipment</vt:lpwstr>
      </vt:variant>
      <vt:variant>
        <vt:lpwstr/>
      </vt:variant>
      <vt:variant>
        <vt:i4>5242987</vt:i4>
      </vt:variant>
      <vt:variant>
        <vt:i4>237</vt:i4>
      </vt:variant>
      <vt:variant>
        <vt:i4>0</vt:i4>
      </vt:variant>
      <vt:variant>
        <vt:i4>5</vt:i4>
      </vt:variant>
      <vt:variant>
        <vt:lpwstr>https://circulareconomy.europa.eu/platform/sites/default/files/eea_report_waste_prevention_in_europe_2017_th-al-18-0008-en-n.pdf</vt:lpwstr>
      </vt:variant>
      <vt:variant>
        <vt:lpwstr/>
      </vt:variant>
      <vt:variant>
        <vt:i4>262167</vt:i4>
      </vt:variant>
      <vt:variant>
        <vt:i4>234</vt:i4>
      </vt:variant>
      <vt:variant>
        <vt:i4>0</vt:i4>
      </vt:variant>
      <vt:variant>
        <vt:i4>5</vt:i4>
      </vt:variant>
      <vt:variant>
        <vt:lpwstr>https://icca-chem.org/focus/responsible-care/</vt:lpwstr>
      </vt:variant>
      <vt:variant>
        <vt:lpwstr/>
      </vt:variant>
      <vt:variant>
        <vt:i4>3735615</vt:i4>
      </vt:variant>
      <vt:variant>
        <vt:i4>231</vt:i4>
      </vt:variant>
      <vt:variant>
        <vt:i4>0</vt:i4>
      </vt:variant>
      <vt:variant>
        <vt:i4>5</vt:i4>
      </vt:variant>
      <vt:variant>
        <vt:lpwstr>https://www.saicm.org/</vt:lpwstr>
      </vt:variant>
      <vt:variant>
        <vt:lpwstr/>
      </vt:variant>
      <vt:variant>
        <vt:i4>8257650</vt:i4>
      </vt:variant>
      <vt:variant>
        <vt:i4>228</vt:i4>
      </vt:variant>
      <vt:variant>
        <vt:i4>0</vt:i4>
      </vt:variant>
      <vt:variant>
        <vt:i4>5</vt:i4>
      </vt:variant>
      <vt:variant>
        <vt:lpwstr>https://unece.org/ghs-implementation-0</vt:lpwstr>
      </vt:variant>
      <vt:variant>
        <vt:lpwstr/>
      </vt:variant>
      <vt:variant>
        <vt:i4>8257637</vt:i4>
      </vt:variant>
      <vt:variant>
        <vt:i4>225</vt:i4>
      </vt:variant>
      <vt:variant>
        <vt:i4>0</vt:i4>
      </vt:variant>
      <vt:variant>
        <vt:i4>5</vt:i4>
      </vt:variant>
      <vt:variant>
        <vt:lpwstr>https://ec.europa.eu/commission/presscorner/detail/en/ip_20_1839</vt:lpwstr>
      </vt:variant>
      <vt:variant>
        <vt:lpwstr/>
      </vt:variant>
      <vt:variant>
        <vt:i4>65567</vt:i4>
      </vt:variant>
      <vt:variant>
        <vt:i4>222</vt:i4>
      </vt:variant>
      <vt:variant>
        <vt:i4>0</vt:i4>
      </vt:variant>
      <vt:variant>
        <vt:i4>5</vt:i4>
      </vt:variant>
      <vt:variant>
        <vt:lpwstr>https://op.europa.eu/en/publication-detail/-/publication/89fbbb74-969c-11e7-b92d-01aa75ed71a1</vt:lpwstr>
      </vt:variant>
      <vt:variant>
        <vt:lpwstr/>
      </vt:variant>
      <vt:variant>
        <vt:i4>88</vt:i4>
      </vt:variant>
      <vt:variant>
        <vt:i4>219</vt:i4>
      </vt:variant>
      <vt:variant>
        <vt:i4>0</vt:i4>
      </vt:variant>
      <vt:variant>
        <vt:i4>5</vt:i4>
      </vt:variant>
      <vt:variant>
        <vt:lpwstr>https://www.eea.europa.eu/soer/publications/soer-2020</vt:lpwstr>
      </vt:variant>
      <vt:variant>
        <vt:lpwstr/>
      </vt:variant>
      <vt:variant>
        <vt:i4>6815792</vt:i4>
      </vt:variant>
      <vt:variant>
        <vt:i4>216</vt:i4>
      </vt:variant>
      <vt:variant>
        <vt:i4>0</vt:i4>
      </vt:variant>
      <vt:variant>
        <vt:i4>5</vt:i4>
      </vt:variant>
      <vt:variant>
        <vt:lpwstr>http://www.eea.europa.eu/airs/2018/environment-and-health/production-of-hazardous-chemicals</vt:lpwstr>
      </vt:variant>
      <vt:variant>
        <vt:lpwstr/>
      </vt:variant>
      <vt:variant>
        <vt:i4>2490449</vt:i4>
      </vt:variant>
      <vt:variant>
        <vt:i4>213</vt:i4>
      </vt:variant>
      <vt:variant>
        <vt:i4>0</vt:i4>
      </vt:variant>
      <vt:variant>
        <vt:i4>5</vt:i4>
      </vt:variant>
      <vt:variant>
        <vt:lpwstr>https://unitednations.sharepoint.com/sites/ECE-SUB-JOINT-EnvironmentandStatistics/Shared Documents/Environment and Statistics/_18th Meeting 18-19 Oct 2021/Documents/8. PEEA land etc/www.unep.org/resources/report/global-waste-management-outlook</vt:lpwstr>
      </vt:variant>
      <vt:variant>
        <vt:lpwstr/>
      </vt:variant>
      <vt:variant>
        <vt:i4>7209060</vt:i4>
      </vt:variant>
      <vt:variant>
        <vt:i4>210</vt:i4>
      </vt:variant>
      <vt:variant>
        <vt:i4>0</vt:i4>
      </vt:variant>
      <vt:variant>
        <vt:i4>5</vt:i4>
      </vt:variant>
      <vt:variant>
        <vt:lpwstr>http://www.unep.org/resources/report/global-chemicals-outlook-ii-legacies-innovative-solutions</vt:lpwstr>
      </vt:variant>
      <vt:variant>
        <vt:lpwstr/>
      </vt:variant>
      <vt:variant>
        <vt:i4>5111816</vt:i4>
      </vt:variant>
      <vt:variant>
        <vt:i4>207</vt:i4>
      </vt:variant>
      <vt:variant>
        <vt:i4>0</vt:i4>
      </vt:variant>
      <vt:variant>
        <vt:i4>5</vt:i4>
      </vt:variant>
      <vt:variant>
        <vt:lpwstr>https://unece.org/info/Sustainable-Energy/UNFC-and-Sustainable-Resource-Management/pub/356790</vt:lpwstr>
      </vt:variant>
      <vt:variant>
        <vt:lpwstr/>
      </vt:variant>
      <vt:variant>
        <vt:i4>1441908</vt:i4>
      </vt:variant>
      <vt:variant>
        <vt:i4>204</vt:i4>
      </vt:variant>
      <vt:variant>
        <vt:i4>0</vt:i4>
      </vt:variant>
      <vt:variant>
        <vt:i4>5</vt:i4>
      </vt:variant>
      <vt:variant>
        <vt:lpwstr>http://www.europarl.europa.eu/thinktank/en/document.html?reference=IPOL_STU%282020%29652238</vt:lpwstr>
      </vt:variant>
      <vt:variant>
        <vt:lpwstr/>
      </vt:variant>
      <vt:variant>
        <vt:i4>262160</vt:i4>
      </vt:variant>
      <vt:variant>
        <vt:i4>201</vt:i4>
      </vt:variant>
      <vt:variant>
        <vt:i4>0</vt:i4>
      </vt:variant>
      <vt:variant>
        <vt:i4>5</vt:i4>
      </vt:variant>
      <vt:variant>
        <vt:lpwstr>https://eur-lex.europa.eu/legal-content/EN/TXT/?uri=CELEX:52011DC0571</vt:lpwstr>
      </vt:variant>
      <vt:variant>
        <vt:lpwstr/>
      </vt:variant>
      <vt:variant>
        <vt:i4>458819</vt:i4>
      </vt:variant>
      <vt:variant>
        <vt:i4>198</vt:i4>
      </vt:variant>
      <vt:variant>
        <vt:i4>0</vt:i4>
      </vt:variant>
      <vt:variant>
        <vt:i4>5</vt:i4>
      </vt:variant>
      <vt:variant>
        <vt:lpwstr>https://publications.jrc.ec.europa.eu/repository/handle/JRC50424</vt:lpwstr>
      </vt:variant>
      <vt:variant>
        <vt:lpwstr/>
      </vt:variant>
      <vt:variant>
        <vt:i4>5636115</vt:i4>
      </vt:variant>
      <vt:variant>
        <vt:i4>195</vt:i4>
      </vt:variant>
      <vt:variant>
        <vt:i4>0</vt:i4>
      </vt:variant>
      <vt:variant>
        <vt:i4>5</vt:i4>
      </vt:variant>
      <vt:variant>
        <vt:lpwstr>https://ro.uow.edu.au/theses1/437</vt:lpwstr>
      </vt:variant>
      <vt:variant>
        <vt:lpwstr/>
      </vt:variant>
      <vt:variant>
        <vt:i4>6291507</vt:i4>
      </vt:variant>
      <vt:variant>
        <vt:i4>192</vt:i4>
      </vt:variant>
      <vt:variant>
        <vt:i4>0</vt:i4>
      </vt:variant>
      <vt:variant>
        <vt:i4>5</vt:i4>
      </vt:variant>
      <vt:variant>
        <vt:lpwstr>http://www.oecd.org/coronavirus/policy-responses/policy-implications-of-coronavirus-crisis-for-rural-development-6b9d189a/</vt:lpwstr>
      </vt:variant>
      <vt:variant>
        <vt:lpwstr/>
      </vt:variant>
      <vt:variant>
        <vt:i4>65552</vt:i4>
      </vt:variant>
      <vt:variant>
        <vt:i4>189</vt:i4>
      </vt:variant>
      <vt:variant>
        <vt:i4>0</vt:i4>
      </vt:variant>
      <vt:variant>
        <vt:i4>5</vt:i4>
      </vt:variant>
      <vt:variant>
        <vt:lpwstr>https://eur-lex.europa.eu/legal-content/EN/TXT/?uri=CELEX:52006DC0231</vt:lpwstr>
      </vt:variant>
      <vt:variant>
        <vt:lpwstr/>
      </vt:variant>
      <vt:variant>
        <vt:i4>4980843</vt:i4>
      </vt:variant>
      <vt:variant>
        <vt:i4>186</vt:i4>
      </vt:variant>
      <vt:variant>
        <vt:i4>0</vt:i4>
      </vt:variant>
      <vt:variant>
        <vt:i4>5</vt:i4>
      </vt:variant>
      <vt:variant>
        <vt:lpwstr>https://unitednations.sharepoint.com/sites/ECE-SUB-JOINT-EnvironmentandStatistics/Shared Documents/Environment and Statistics/_18th Meeting 18-19 Oct 2021/Documents/8. PEEA land etc/www.4p1000.org</vt:lpwstr>
      </vt:variant>
      <vt:variant>
        <vt:lpwstr/>
      </vt:variant>
      <vt:variant>
        <vt:i4>1048643</vt:i4>
      </vt:variant>
      <vt:variant>
        <vt:i4>183</vt:i4>
      </vt:variant>
      <vt:variant>
        <vt:i4>0</vt:i4>
      </vt:variant>
      <vt:variant>
        <vt:i4>5</vt:i4>
      </vt:variant>
      <vt:variant>
        <vt:lpwstr>https://www.eea.europa.eu/publications/state-of-nature-in-the-eu-2020</vt:lpwstr>
      </vt:variant>
      <vt:variant>
        <vt:lpwstr/>
      </vt:variant>
      <vt:variant>
        <vt:i4>1441913</vt:i4>
      </vt:variant>
      <vt:variant>
        <vt:i4>180</vt:i4>
      </vt:variant>
      <vt:variant>
        <vt:i4>0</vt:i4>
      </vt:variant>
      <vt:variant>
        <vt:i4>5</vt:i4>
      </vt:variant>
      <vt:variant>
        <vt:lpwstr>https://foresteurope.org/wp-content/uploads/2016/08/SoEF_2020.pdf</vt:lpwstr>
      </vt:variant>
      <vt:variant>
        <vt:lpwstr/>
      </vt:variant>
      <vt:variant>
        <vt:i4>2949155</vt:i4>
      </vt:variant>
      <vt:variant>
        <vt:i4>177</vt:i4>
      </vt:variant>
      <vt:variant>
        <vt:i4>0</vt:i4>
      </vt:variant>
      <vt:variant>
        <vt:i4>5</vt:i4>
      </vt:variant>
      <vt:variant>
        <vt:lpwstr>https://unece.org/forestry/press/forest-area-unece-region-continues-increase-says-fao-report-greater-efforts-needed</vt:lpwstr>
      </vt:variant>
      <vt:variant>
        <vt:lpwstr/>
      </vt:variant>
      <vt:variant>
        <vt:i4>3080241</vt:i4>
      </vt:variant>
      <vt:variant>
        <vt:i4>174</vt:i4>
      </vt:variant>
      <vt:variant>
        <vt:i4>0</vt:i4>
      </vt:variant>
      <vt:variant>
        <vt:i4>5</vt:i4>
      </vt:variant>
      <vt:variant>
        <vt:lpwstr>https://planbleu.org/en/projects/med-sustainable-tourism-community/</vt:lpwstr>
      </vt:variant>
      <vt:variant>
        <vt:lpwstr/>
      </vt:variant>
      <vt:variant>
        <vt:i4>2228282</vt:i4>
      </vt:variant>
      <vt:variant>
        <vt:i4>171</vt:i4>
      </vt:variant>
      <vt:variant>
        <vt:i4>0</vt:i4>
      </vt:variant>
      <vt:variant>
        <vt:i4>5</vt:i4>
      </vt:variant>
      <vt:variant>
        <vt:lpwstr>https://www.ecounion.eu/wp-content/uploads/2021/04/Nota_Thefuture_mediterranean_tourism_03.pdf</vt:lpwstr>
      </vt:variant>
      <vt:variant>
        <vt:lpwstr/>
      </vt:variant>
      <vt:variant>
        <vt:i4>2490421</vt:i4>
      </vt:variant>
      <vt:variant>
        <vt:i4>168</vt:i4>
      </vt:variant>
      <vt:variant>
        <vt:i4>0</vt:i4>
      </vt:variant>
      <vt:variant>
        <vt:i4>5</vt:i4>
      </vt:variant>
      <vt:variant>
        <vt:lpwstr>http://www.bbc.com/reel/video/p07w83tq/can-europe-s-most-polluted-sea-be-saved-</vt:lpwstr>
      </vt:variant>
      <vt:variant>
        <vt:lpwstr/>
      </vt:variant>
      <vt:variant>
        <vt:i4>4915292</vt:i4>
      </vt:variant>
      <vt:variant>
        <vt:i4>165</vt:i4>
      </vt:variant>
      <vt:variant>
        <vt:i4>0</vt:i4>
      </vt:variant>
      <vt:variant>
        <vt:i4>5</vt:i4>
      </vt:variant>
      <vt:variant>
        <vt:lpwstr>http://emblasproject.org/</vt:lpwstr>
      </vt:variant>
      <vt:variant>
        <vt:lpwstr/>
      </vt:variant>
      <vt:variant>
        <vt:i4>6619195</vt:i4>
      </vt:variant>
      <vt:variant>
        <vt:i4>162</vt:i4>
      </vt:variant>
      <vt:variant>
        <vt:i4>0</vt:i4>
      </vt:variant>
      <vt:variant>
        <vt:i4>5</vt:i4>
      </vt:variant>
      <vt:variant>
        <vt:lpwstr>https://livereport.protectedplanet.net/</vt:lpwstr>
      </vt:variant>
      <vt:variant>
        <vt:lpwstr/>
      </vt:variant>
      <vt:variant>
        <vt:i4>4259912</vt:i4>
      </vt:variant>
      <vt:variant>
        <vt:i4>159</vt:i4>
      </vt:variant>
      <vt:variant>
        <vt:i4>0</vt:i4>
      </vt:variant>
      <vt:variant>
        <vt:i4>5</vt:i4>
      </vt:variant>
      <vt:variant>
        <vt:lpwstr>https://www.eea.europa.eu/themes/water/europes-seas-and-coasts/assessments/marine-protected-areas</vt:lpwstr>
      </vt:variant>
      <vt:variant>
        <vt:lpwstr/>
      </vt:variant>
      <vt:variant>
        <vt:i4>6750332</vt:i4>
      </vt:variant>
      <vt:variant>
        <vt:i4>156</vt:i4>
      </vt:variant>
      <vt:variant>
        <vt:i4>0</vt:i4>
      </vt:variant>
      <vt:variant>
        <vt:i4>5</vt:i4>
      </vt:variant>
      <vt:variant>
        <vt:lpwstr>https://water.europa.eu/marine</vt:lpwstr>
      </vt:variant>
      <vt:variant>
        <vt:lpwstr/>
      </vt:variant>
      <vt:variant>
        <vt:i4>1572894</vt:i4>
      </vt:variant>
      <vt:variant>
        <vt:i4>153</vt:i4>
      </vt:variant>
      <vt:variant>
        <vt:i4>0</vt:i4>
      </vt:variant>
      <vt:variant>
        <vt:i4>5</vt:i4>
      </vt:variant>
      <vt:variant>
        <vt:lpwstr>http://www.ipcc.ch/srocc/</vt:lpwstr>
      </vt:variant>
      <vt:variant>
        <vt:lpwstr/>
      </vt:variant>
      <vt:variant>
        <vt:i4>4522055</vt:i4>
      </vt:variant>
      <vt:variant>
        <vt:i4>150</vt:i4>
      </vt:variant>
      <vt:variant>
        <vt:i4>0</vt:i4>
      </vt:variant>
      <vt:variant>
        <vt:i4>5</vt:i4>
      </vt:variant>
      <vt:variant>
        <vt:lpwstr>http://www.eionet.europa.eu/etcs/etc-icm/products/marine-litter-watch-mlw-european-beach-litter-assessment-2013-2019</vt:lpwstr>
      </vt:variant>
      <vt:variant>
        <vt:lpwstr/>
      </vt:variant>
      <vt:variant>
        <vt:i4>4915271</vt:i4>
      </vt:variant>
      <vt:variant>
        <vt:i4>147</vt:i4>
      </vt:variant>
      <vt:variant>
        <vt:i4>0</vt:i4>
      </vt:variant>
      <vt:variant>
        <vt:i4>5</vt:i4>
      </vt:variant>
      <vt:variant>
        <vt:lpwstr>http://www.gov.uk/government/topical-events/global-ocean-alliance-30by30-initiative/about</vt:lpwstr>
      </vt:variant>
      <vt:variant>
        <vt:lpwstr/>
      </vt:variant>
      <vt:variant>
        <vt:i4>3801196</vt:i4>
      </vt:variant>
      <vt:variant>
        <vt:i4>144</vt:i4>
      </vt:variant>
      <vt:variant>
        <vt:i4>0</vt:i4>
      </vt:variant>
      <vt:variant>
        <vt:i4>5</vt:i4>
      </vt:variant>
      <vt:variant>
        <vt:lpwstr>http://www.eea.europa.eu/data-and-maps/indicators/fish-distribution-shifts/assessment-1</vt:lpwstr>
      </vt:variant>
      <vt:variant>
        <vt:lpwstr/>
      </vt:variant>
      <vt:variant>
        <vt:i4>6750332</vt:i4>
      </vt:variant>
      <vt:variant>
        <vt:i4>141</vt:i4>
      </vt:variant>
      <vt:variant>
        <vt:i4>0</vt:i4>
      </vt:variant>
      <vt:variant>
        <vt:i4>5</vt:i4>
      </vt:variant>
      <vt:variant>
        <vt:lpwstr>https://water.europa.eu/marine</vt:lpwstr>
      </vt:variant>
      <vt:variant>
        <vt:lpwstr/>
      </vt:variant>
      <vt:variant>
        <vt:i4>2490401</vt:i4>
      </vt:variant>
      <vt:variant>
        <vt:i4>138</vt:i4>
      </vt:variant>
      <vt:variant>
        <vt:i4>0</vt:i4>
      </vt:variant>
      <vt:variant>
        <vt:i4>5</vt:i4>
      </vt:variant>
      <vt:variant>
        <vt:lpwstr>http://www.iucn.org/content/sturgeon-more-critically-endangered-any-other-group-species</vt:lpwstr>
      </vt:variant>
      <vt:variant>
        <vt:lpwstr/>
      </vt:variant>
      <vt:variant>
        <vt:i4>5505108</vt:i4>
      </vt:variant>
      <vt:variant>
        <vt:i4>135</vt:i4>
      </vt:variant>
      <vt:variant>
        <vt:i4>0</vt:i4>
      </vt:variant>
      <vt:variant>
        <vt:i4>5</vt:i4>
      </vt:variant>
      <vt:variant>
        <vt:lpwstr>http://www.eea.europa.eu/publications/marine-messages-2/</vt:lpwstr>
      </vt:variant>
      <vt:variant>
        <vt:lpwstr/>
      </vt:variant>
      <vt:variant>
        <vt:i4>6750332</vt:i4>
      </vt:variant>
      <vt:variant>
        <vt:i4>132</vt:i4>
      </vt:variant>
      <vt:variant>
        <vt:i4>0</vt:i4>
      </vt:variant>
      <vt:variant>
        <vt:i4>5</vt:i4>
      </vt:variant>
      <vt:variant>
        <vt:lpwstr>https://water.europa.eu/marine</vt:lpwstr>
      </vt:variant>
      <vt:variant>
        <vt:lpwstr/>
      </vt:variant>
      <vt:variant>
        <vt:i4>7077946</vt:i4>
      </vt:variant>
      <vt:variant>
        <vt:i4>129</vt:i4>
      </vt:variant>
      <vt:variant>
        <vt:i4>0</vt:i4>
      </vt:variant>
      <vt:variant>
        <vt:i4>5</vt:i4>
      </vt:variant>
      <vt:variant>
        <vt:lpwstr>http://www.eea.europa.eu/publications/state-of-europes-seas</vt:lpwstr>
      </vt:variant>
      <vt:variant>
        <vt:lpwstr/>
      </vt:variant>
      <vt:variant>
        <vt:i4>1179662</vt:i4>
      </vt:variant>
      <vt:variant>
        <vt:i4>126</vt:i4>
      </vt:variant>
      <vt:variant>
        <vt:i4>0</vt:i4>
      </vt:variant>
      <vt:variant>
        <vt:i4>5</vt:i4>
      </vt:variant>
      <vt:variant>
        <vt:lpwstr>https://doi.org/10.3389/fmars.2018.00072</vt:lpwstr>
      </vt:variant>
      <vt:variant>
        <vt:lpwstr/>
      </vt:variant>
      <vt:variant>
        <vt:i4>4063294</vt:i4>
      </vt:variant>
      <vt:variant>
        <vt:i4>123</vt:i4>
      </vt:variant>
      <vt:variant>
        <vt:i4>0</vt:i4>
      </vt:variant>
      <vt:variant>
        <vt:i4>5</vt:i4>
      </vt:variant>
      <vt:variant>
        <vt:lpwstr>http://www.eea.europa.eu/publications/technical-assessment-of-progress-towards</vt:lpwstr>
      </vt:variant>
      <vt:variant>
        <vt:lpwstr/>
      </vt:variant>
      <vt:variant>
        <vt:i4>6160394</vt:i4>
      </vt:variant>
      <vt:variant>
        <vt:i4>120</vt:i4>
      </vt:variant>
      <vt:variant>
        <vt:i4>0</vt:i4>
      </vt:variant>
      <vt:variant>
        <vt:i4>5</vt:i4>
      </vt:variant>
      <vt:variant>
        <vt:lpwstr>https://planbleu.org/en/soed-2020-state-of-environment-and-development-in-mediterranean/</vt:lpwstr>
      </vt:variant>
      <vt:variant>
        <vt:lpwstr/>
      </vt:variant>
      <vt:variant>
        <vt:i4>1376258</vt:i4>
      </vt:variant>
      <vt:variant>
        <vt:i4>117</vt:i4>
      </vt:variant>
      <vt:variant>
        <vt:i4>0</vt:i4>
      </vt:variant>
      <vt:variant>
        <vt:i4>5</vt:i4>
      </vt:variant>
      <vt:variant>
        <vt:lpwstr>http://www.grida.no/publications/476</vt:lpwstr>
      </vt:variant>
      <vt:variant>
        <vt:lpwstr/>
      </vt:variant>
      <vt:variant>
        <vt:i4>7077939</vt:i4>
      </vt:variant>
      <vt:variant>
        <vt:i4>114</vt:i4>
      </vt:variant>
      <vt:variant>
        <vt:i4>0</vt:i4>
      </vt:variant>
      <vt:variant>
        <vt:i4>5</vt:i4>
      </vt:variant>
      <vt:variant>
        <vt:lpwstr>http://www.eea.europa.eu/themes/water/europes-seas-and-coasts/multiple-pressures-and-their-combined</vt:lpwstr>
      </vt:variant>
      <vt:variant>
        <vt:lpwstr/>
      </vt:variant>
      <vt:variant>
        <vt:i4>589912</vt:i4>
      </vt:variant>
      <vt:variant>
        <vt:i4>111</vt:i4>
      </vt:variant>
      <vt:variant>
        <vt:i4>0</vt:i4>
      </vt:variant>
      <vt:variant>
        <vt:i4>5</vt:i4>
      </vt:variant>
      <vt:variant>
        <vt:lpwstr>http://www.unep.org/resources/making-peace-nature</vt:lpwstr>
      </vt:variant>
      <vt:variant>
        <vt:lpwstr/>
      </vt:variant>
      <vt:variant>
        <vt:i4>7209003</vt:i4>
      </vt:variant>
      <vt:variant>
        <vt:i4>108</vt:i4>
      </vt:variant>
      <vt:variant>
        <vt:i4>0</vt:i4>
      </vt:variant>
      <vt:variant>
        <vt:i4>5</vt:i4>
      </vt:variant>
      <vt:variant>
        <vt:lpwstr>https://unece.org/indicators-and-reporting</vt:lpwstr>
      </vt:variant>
      <vt:variant>
        <vt:lpwstr/>
      </vt:variant>
      <vt:variant>
        <vt:i4>393283</vt:i4>
      </vt:variant>
      <vt:variant>
        <vt:i4>105</vt:i4>
      </vt:variant>
      <vt:variant>
        <vt:i4>0</vt:i4>
      </vt:variant>
      <vt:variant>
        <vt:i4>5</vt:i4>
      </vt:variant>
      <vt:variant>
        <vt:lpwstr>https://unstats.un.org/sdgs/unsdg</vt:lpwstr>
      </vt:variant>
      <vt:variant>
        <vt:lpwstr/>
      </vt:variant>
      <vt:variant>
        <vt:i4>524364</vt:i4>
      </vt:variant>
      <vt:variant>
        <vt:i4>102</vt:i4>
      </vt:variant>
      <vt:variant>
        <vt:i4>0</vt:i4>
      </vt:variant>
      <vt:variant>
        <vt:i4>5</vt:i4>
      </vt:variant>
      <vt:variant>
        <vt:lpwstr>https://unstats.un.org/sdgs/metadata/</vt:lpwstr>
      </vt:variant>
      <vt:variant>
        <vt:lpwstr/>
      </vt:variant>
      <vt:variant>
        <vt:i4>6291507</vt:i4>
      </vt:variant>
      <vt:variant>
        <vt:i4>99</vt:i4>
      </vt:variant>
      <vt:variant>
        <vt:i4>0</vt:i4>
      </vt:variant>
      <vt:variant>
        <vt:i4>5</vt:i4>
      </vt:variant>
      <vt:variant>
        <vt:lpwstr>https://international.stockholm.se/globalassets/rapporter/strategy-for-a-fossil-fuel-free-stockholm-by-2040.pdf</vt:lpwstr>
      </vt:variant>
      <vt:variant>
        <vt:lpwstr/>
      </vt:variant>
      <vt:variant>
        <vt:i4>2949152</vt:i4>
      </vt:variant>
      <vt:variant>
        <vt:i4>96</vt:i4>
      </vt:variant>
      <vt:variant>
        <vt:i4>0</vt:i4>
      </vt:variant>
      <vt:variant>
        <vt:i4>5</vt:i4>
      </vt:variant>
      <vt:variant>
        <vt:lpwstr>https://www.unisdr.org/campaign/resilientcities/cities</vt:lpwstr>
      </vt:variant>
      <vt:variant>
        <vt:lpwstr/>
      </vt:variant>
      <vt:variant>
        <vt:i4>7143523</vt:i4>
      </vt:variant>
      <vt:variant>
        <vt:i4>93</vt:i4>
      </vt:variant>
      <vt:variant>
        <vt:i4>0</vt:i4>
      </vt:variant>
      <vt:variant>
        <vt:i4>5</vt:i4>
      </vt:variant>
      <vt:variant>
        <vt:lpwstr>https://www.irena.org/publications/2021/March/World-Energy-Transitions-Outlook</vt:lpwstr>
      </vt:variant>
      <vt:variant>
        <vt:lpwstr/>
      </vt:variant>
      <vt:variant>
        <vt:i4>6029345</vt:i4>
      </vt:variant>
      <vt:variant>
        <vt:i4>90</vt:i4>
      </vt:variant>
      <vt:variant>
        <vt:i4>0</vt:i4>
      </vt:variant>
      <vt:variant>
        <vt:i4>5</vt:i4>
      </vt:variant>
      <vt:variant>
        <vt:lpwstr>https://www.jstor.org/stable/resrep28617?seq=1</vt:lpwstr>
      </vt:variant>
      <vt:variant>
        <vt:lpwstr>metadata_info_tab_contents</vt:lpwstr>
      </vt:variant>
      <vt:variant>
        <vt:i4>6488116</vt:i4>
      </vt:variant>
      <vt:variant>
        <vt:i4>87</vt:i4>
      </vt:variant>
      <vt:variant>
        <vt:i4>0</vt:i4>
      </vt:variant>
      <vt:variant>
        <vt:i4>5</vt:i4>
      </vt:variant>
      <vt:variant>
        <vt:lpwstr>https://ec.europa.eu/eurostat/statistics-explained/index.php/Renewable_energy_statistics</vt:lpwstr>
      </vt:variant>
      <vt:variant>
        <vt:lpwstr>:~:text=In%202019%2C%20renewable%20energy%20represented,of%20gross%20final%20energy%20consumption</vt:lpwstr>
      </vt:variant>
      <vt:variant>
        <vt:i4>3997729</vt:i4>
      </vt:variant>
      <vt:variant>
        <vt:i4>84</vt:i4>
      </vt:variant>
      <vt:variant>
        <vt:i4>0</vt:i4>
      </vt:variant>
      <vt:variant>
        <vt:i4>5</vt:i4>
      </vt:variant>
      <vt:variant>
        <vt:lpwstr>https://www.irena.org/publications/2020/Apr/Global-Renewables-Outlook-2020</vt:lpwstr>
      </vt:variant>
      <vt:variant>
        <vt:lpwstr/>
      </vt:variant>
      <vt:variant>
        <vt:i4>4653071</vt:i4>
      </vt:variant>
      <vt:variant>
        <vt:i4>81</vt:i4>
      </vt:variant>
      <vt:variant>
        <vt:i4>0</vt:i4>
      </vt:variant>
      <vt:variant>
        <vt:i4>5</vt:i4>
      </vt:variant>
      <vt:variant>
        <vt:lpwstr>https://www.iea.org/news/after-steep-drop-in-early-2020-global-carbon-dioxide-emissions-have-rebounded-strongly</vt:lpwstr>
      </vt:variant>
      <vt:variant>
        <vt:lpwstr>:~:text=Global%20emissions%20plunged%20by%20almost,for%20road%20transport%20and%20aviation</vt:lpwstr>
      </vt:variant>
      <vt:variant>
        <vt:i4>5308491</vt:i4>
      </vt:variant>
      <vt:variant>
        <vt:i4>78</vt:i4>
      </vt:variant>
      <vt:variant>
        <vt:i4>0</vt:i4>
      </vt:variant>
      <vt:variant>
        <vt:i4>5</vt:i4>
      </vt:variant>
      <vt:variant>
        <vt:lpwstr>https://www.eea.europa.eu/highlights/eu-on-track-to-meet</vt:lpwstr>
      </vt:variant>
      <vt:variant>
        <vt:lpwstr/>
      </vt:variant>
      <vt:variant>
        <vt:i4>3080305</vt:i4>
      </vt:variant>
      <vt:variant>
        <vt:i4>75</vt:i4>
      </vt:variant>
      <vt:variant>
        <vt:i4>0</vt:i4>
      </vt:variant>
      <vt:variant>
        <vt:i4>5</vt:i4>
      </vt:variant>
      <vt:variant>
        <vt:lpwstr>https://www.eea.europa.eu/soer/2020</vt:lpwstr>
      </vt:variant>
      <vt:variant>
        <vt:lpwstr/>
      </vt:variant>
      <vt:variant>
        <vt:i4>5767171</vt:i4>
      </vt:variant>
      <vt:variant>
        <vt:i4>72</vt:i4>
      </vt:variant>
      <vt:variant>
        <vt:i4>0</vt:i4>
      </vt:variant>
      <vt:variant>
        <vt:i4>5</vt:i4>
      </vt:variant>
      <vt:variant>
        <vt:lpwstr>https://www.iea.org/reports/world-energy-outlook-2018</vt:lpwstr>
      </vt:variant>
      <vt:variant>
        <vt:lpwstr/>
      </vt:variant>
      <vt:variant>
        <vt:i4>3670055</vt:i4>
      </vt:variant>
      <vt:variant>
        <vt:i4>69</vt:i4>
      </vt:variant>
      <vt:variant>
        <vt:i4>0</vt:i4>
      </vt:variant>
      <vt:variant>
        <vt:i4>5</vt:i4>
      </vt:variant>
      <vt:variant>
        <vt:lpwstr>https://www.cityoflondon.gov.uk/services/environmental-health/air-quality/air-quality-strategy</vt:lpwstr>
      </vt:variant>
      <vt:variant>
        <vt:lpwstr/>
      </vt:variant>
      <vt:variant>
        <vt:i4>2555960</vt:i4>
      </vt:variant>
      <vt:variant>
        <vt:i4>66</vt:i4>
      </vt:variant>
      <vt:variant>
        <vt:i4>0</vt:i4>
      </vt:variant>
      <vt:variant>
        <vt:i4>5</vt:i4>
      </vt:variant>
      <vt:variant>
        <vt:lpwstr>https://unece.org/sites/default/files/2021-02/IBC Env Green post-pandemic measures 31.1.21.pdf</vt:lpwstr>
      </vt:variant>
      <vt:variant>
        <vt:lpwstr/>
      </vt:variant>
      <vt:variant>
        <vt:i4>2949157</vt:i4>
      </vt:variant>
      <vt:variant>
        <vt:i4>63</vt:i4>
      </vt:variant>
      <vt:variant>
        <vt:i4>0</vt:i4>
      </vt:variant>
      <vt:variant>
        <vt:i4>5</vt:i4>
      </vt:variant>
      <vt:variant>
        <vt:lpwstr>http://ozone.unep.org/</vt:lpwstr>
      </vt:variant>
      <vt:variant>
        <vt:lpwstr/>
      </vt:variant>
      <vt:variant>
        <vt:i4>6946894</vt:i4>
      </vt:variant>
      <vt:variant>
        <vt:i4>60</vt:i4>
      </vt:variant>
      <vt:variant>
        <vt:i4>0</vt:i4>
      </vt:variant>
      <vt:variant>
        <vt:i4>5</vt:i4>
      </vt:variant>
      <vt:variant>
        <vt:lpwstr>https://ec.europa.eu/clima/sites/default/files/ozone/docs/swd_2019_406_en.pdf</vt:lpwstr>
      </vt:variant>
      <vt:variant>
        <vt:lpwstr/>
      </vt:variant>
      <vt:variant>
        <vt:i4>1179730</vt:i4>
      </vt:variant>
      <vt:variant>
        <vt:i4>57</vt:i4>
      </vt:variant>
      <vt:variant>
        <vt:i4>0</vt:i4>
      </vt:variant>
      <vt:variant>
        <vt:i4>5</vt:i4>
      </vt:variant>
      <vt:variant>
        <vt:lpwstr>https://breathelife2030.org/</vt:lpwstr>
      </vt:variant>
      <vt:variant>
        <vt:lpwstr/>
      </vt:variant>
      <vt:variant>
        <vt:i4>7274556</vt:i4>
      </vt:variant>
      <vt:variant>
        <vt:i4>54</vt:i4>
      </vt:variant>
      <vt:variant>
        <vt:i4>0</vt:i4>
      </vt:variant>
      <vt:variant>
        <vt:i4>5</vt:i4>
      </vt:variant>
      <vt:variant>
        <vt:lpwstr>https://unece.org/baca</vt:lpwstr>
      </vt:variant>
      <vt:variant>
        <vt:lpwstr/>
      </vt:variant>
      <vt:variant>
        <vt:i4>2621565</vt:i4>
      </vt:variant>
      <vt:variant>
        <vt:i4>51</vt:i4>
      </vt:variant>
      <vt:variant>
        <vt:i4>0</vt:i4>
      </vt:variant>
      <vt:variant>
        <vt:i4>5</vt:i4>
      </vt:variant>
      <vt:variant>
        <vt:lpwstr>https://rpn.gov.ru/activity/fresh-air/info/</vt:lpwstr>
      </vt:variant>
      <vt:variant>
        <vt:lpwstr/>
      </vt:variant>
      <vt:variant>
        <vt:i4>6160402</vt:i4>
      </vt:variant>
      <vt:variant>
        <vt:i4>48</vt:i4>
      </vt:variant>
      <vt:variant>
        <vt:i4>0</vt:i4>
      </vt:variant>
      <vt:variant>
        <vt:i4>5</vt:i4>
      </vt:variant>
      <vt:variant>
        <vt:lpwstr>https://apps.who.int/iris/handle/10665/345329</vt:lpwstr>
      </vt:variant>
      <vt:variant>
        <vt:lpwstr/>
      </vt:variant>
      <vt:variant>
        <vt:i4>393252</vt:i4>
      </vt:variant>
      <vt:variant>
        <vt:i4>45</vt:i4>
      </vt:variant>
      <vt:variant>
        <vt:i4>0</vt:i4>
      </vt:variant>
      <vt:variant>
        <vt:i4>5</vt:i4>
      </vt:variant>
      <vt:variant>
        <vt:lpwstr>https://ec.europa.eu/info/publications/fitness-check-eu-ambient-air-quality-directives_en</vt:lpwstr>
      </vt:variant>
      <vt:variant>
        <vt:lpwstr/>
      </vt:variant>
      <vt:variant>
        <vt:i4>6160452</vt:i4>
      </vt:variant>
      <vt:variant>
        <vt:i4>42</vt:i4>
      </vt:variant>
      <vt:variant>
        <vt:i4>0</vt:i4>
      </vt:variant>
      <vt:variant>
        <vt:i4>5</vt:i4>
      </vt:variant>
      <vt:variant>
        <vt:lpwstr>http://atmosphere.copernicus.eu/</vt:lpwstr>
      </vt:variant>
      <vt:variant>
        <vt:lpwstr/>
      </vt:variant>
      <vt:variant>
        <vt:i4>6226000</vt:i4>
      </vt:variant>
      <vt:variant>
        <vt:i4>39</vt:i4>
      </vt:variant>
      <vt:variant>
        <vt:i4>0</vt:i4>
      </vt:variant>
      <vt:variant>
        <vt:i4>5</vt:i4>
      </vt:variant>
      <vt:variant>
        <vt:lpwstr>http://iqair.com/</vt:lpwstr>
      </vt:variant>
      <vt:variant>
        <vt:lpwstr/>
      </vt:variant>
      <vt:variant>
        <vt:i4>1507453</vt:i4>
      </vt:variant>
      <vt:variant>
        <vt:i4>36</vt:i4>
      </vt:variant>
      <vt:variant>
        <vt:i4>0</vt:i4>
      </vt:variant>
      <vt:variant>
        <vt:i4>5</vt:i4>
      </vt:variant>
      <vt:variant>
        <vt:lpwstr>http://www.eea.europa.eu/publications/air-quality-in-europe-2020-report/at_download/file</vt:lpwstr>
      </vt:variant>
      <vt:variant>
        <vt:lpwstr/>
      </vt:variant>
      <vt:variant>
        <vt:i4>720912</vt:i4>
      </vt:variant>
      <vt:variant>
        <vt:i4>33</vt:i4>
      </vt:variant>
      <vt:variant>
        <vt:i4>0</vt:i4>
      </vt:variant>
      <vt:variant>
        <vt:i4>5</vt:i4>
      </vt:variant>
      <vt:variant>
        <vt:lpwstr>https://unece.org/guidelines-application-environmental-indicators</vt:lpwstr>
      </vt:variant>
      <vt:variant>
        <vt:lpwstr/>
      </vt:variant>
      <vt:variant>
        <vt:i4>7733367</vt:i4>
      </vt:variant>
      <vt:variant>
        <vt:i4>30</vt:i4>
      </vt:variant>
      <vt:variant>
        <vt:i4>0</vt:i4>
      </vt:variant>
      <vt:variant>
        <vt:i4>5</vt:i4>
      </vt:variant>
      <vt:variant>
        <vt:lpwstr>https://www.icos-cp.eu/science-and-impact/global-carbon-budget/2020</vt:lpwstr>
      </vt:variant>
      <vt:variant>
        <vt:lpwstr/>
      </vt:variant>
      <vt:variant>
        <vt:i4>6815792</vt:i4>
      </vt:variant>
      <vt:variant>
        <vt:i4>27</vt:i4>
      </vt:variant>
      <vt:variant>
        <vt:i4>0</vt:i4>
      </vt:variant>
      <vt:variant>
        <vt:i4>5</vt:i4>
      </vt:variant>
      <vt:variant>
        <vt:lpwstr>http://www.eea.europa.eu/airs/2018/environment-and-health/production-of-hazardous-chemicals</vt:lpwstr>
      </vt:variant>
      <vt:variant>
        <vt:lpwstr/>
      </vt:variant>
      <vt:variant>
        <vt:i4>3080315</vt:i4>
      </vt:variant>
      <vt:variant>
        <vt:i4>24</vt:i4>
      </vt:variant>
      <vt:variant>
        <vt:i4>0</vt:i4>
      </vt:variant>
      <vt:variant>
        <vt:i4>5</vt:i4>
      </vt:variant>
      <vt:variant>
        <vt:lpwstr>http://www.unep.org/resources/global-environment-outlook-6</vt:lpwstr>
      </vt:variant>
      <vt:variant>
        <vt:lpwstr/>
      </vt:variant>
      <vt:variant>
        <vt:i4>7143468</vt:i4>
      </vt:variant>
      <vt:variant>
        <vt:i4>21</vt:i4>
      </vt:variant>
      <vt:variant>
        <vt:i4>0</vt:i4>
      </vt:variant>
      <vt:variant>
        <vt:i4>5</vt:i4>
      </vt:variant>
      <vt:variant>
        <vt:lpwstr>https://www.footprintnetwork.org/our-work/ecological-footprint/</vt:lpwstr>
      </vt:variant>
      <vt:variant>
        <vt:lpwstr/>
      </vt:variant>
      <vt:variant>
        <vt:i4>3080309</vt:i4>
      </vt:variant>
      <vt:variant>
        <vt:i4>18</vt:i4>
      </vt:variant>
      <vt:variant>
        <vt:i4>0</vt:i4>
      </vt:variant>
      <vt:variant>
        <vt:i4>5</vt:i4>
      </vt:variant>
      <vt:variant>
        <vt:lpwstr>https://doi.org/10.1016/j.gloplacha.2016.08.009</vt:lpwstr>
      </vt:variant>
      <vt:variant>
        <vt:lpwstr/>
      </vt:variant>
      <vt:variant>
        <vt:i4>3539057</vt:i4>
      </vt:variant>
      <vt:variant>
        <vt:i4>15</vt:i4>
      </vt:variant>
      <vt:variant>
        <vt:i4>0</vt:i4>
      </vt:variant>
      <vt:variant>
        <vt:i4>5</vt:i4>
      </vt:variant>
      <vt:variant>
        <vt:lpwstr>https://stats.oecd.org/</vt:lpwstr>
      </vt:variant>
      <vt:variant>
        <vt:lpwstr/>
      </vt:variant>
      <vt:variant>
        <vt:i4>6881313</vt:i4>
      </vt:variant>
      <vt:variant>
        <vt:i4>12</vt:i4>
      </vt:variant>
      <vt:variant>
        <vt:i4>0</vt:i4>
      </vt:variant>
      <vt:variant>
        <vt:i4>5</vt:i4>
      </vt:variant>
      <vt:variant>
        <vt:lpwstr>https://population.un.org/wpp/Download/Standard/Population/</vt:lpwstr>
      </vt:variant>
      <vt:variant>
        <vt:lpwstr/>
      </vt:variant>
      <vt:variant>
        <vt:i4>7143457</vt:i4>
      </vt:variant>
      <vt:variant>
        <vt:i4>9</vt:i4>
      </vt:variant>
      <vt:variant>
        <vt:i4>0</vt:i4>
      </vt:variant>
      <vt:variant>
        <vt:i4>5</vt:i4>
      </vt:variant>
      <vt:variant>
        <vt:lpwstr>https://www.euro.who.int/en/publications/abstracts/concern-for-europes-tomorrow.-health-and-the-environment-in-the-who-european-region</vt:lpwstr>
      </vt:variant>
      <vt:variant>
        <vt:lpwstr/>
      </vt:variant>
      <vt:variant>
        <vt:i4>7471162</vt:i4>
      </vt:variant>
      <vt:variant>
        <vt:i4>6</vt:i4>
      </vt:variant>
      <vt:variant>
        <vt:i4>0</vt:i4>
      </vt:variant>
      <vt:variant>
        <vt:i4>5</vt:i4>
      </vt:variant>
      <vt:variant>
        <vt:lpwstr>https://www.oecd.org/env/outreach/39271802.pdf</vt:lpwstr>
      </vt:variant>
      <vt:variant>
        <vt:lpwstr/>
      </vt:variant>
      <vt:variant>
        <vt:i4>5505126</vt:i4>
      </vt:variant>
      <vt:variant>
        <vt:i4>3</vt:i4>
      </vt:variant>
      <vt:variant>
        <vt:i4>0</vt:i4>
      </vt:variant>
      <vt:variant>
        <vt:i4>5</vt:i4>
      </vt:variant>
      <vt:variant>
        <vt:lpwstr>http://wedocs.unep.org/bitstream/handle/20.500.11822/9850/-Sub-regional_integrated_environment_assessment_Central_Asia-2007Sub_regional_integrated_environment_assessment_central_asia.pdf.pdf?sequence=3&amp;isAllowed=y</vt:lpwstr>
      </vt:variant>
      <vt:variant>
        <vt:lpwstr/>
      </vt:variant>
      <vt:variant>
        <vt:i4>4063267</vt:i4>
      </vt:variant>
      <vt:variant>
        <vt:i4>0</vt:i4>
      </vt:variant>
      <vt:variant>
        <vt:i4>0</vt:i4>
      </vt:variant>
      <vt:variant>
        <vt:i4>5</vt:i4>
      </vt:variant>
      <vt:variant>
        <vt:lpwstr>http://www.fao.org/conservation-agriculture/en/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ECE/CEP/SS/2022 info. 4</dc:title>
  <dc:subject>Pan-European environmental assessment</dc:subject>
  <dc:creator>nicholas.bonvoisin@un.org;christine.kitzler@un.org</dc:creator>
  <cp:keywords/>
  <dc:description/>
  <cp:lastModifiedBy>Katri Veldre</cp:lastModifiedBy>
  <cp:revision>2</cp:revision>
  <cp:lastPrinted>2022-04-21T08:00:00Z</cp:lastPrinted>
  <dcterms:created xsi:type="dcterms:W3CDTF">2022-04-21T13:36:00Z</dcterms:created>
  <dcterms:modified xsi:type="dcterms:W3CDTF">2022-04-21T13:36:00Z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