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5"/>
      </w:tblGrid>
      <w:tr w:rsidR="004C57D4" w:rsidRPr="007936CE" w14:paraId="2990B088" w14:textId="77777777" w:rsidTr="009F0195">
        <w:tc>
          <w:tcPr>
            <w:tcW w:w="4785" w:type="dxa"/>
          </w:tcPr>
          <w:p w14:paraId="2990B083" w14:textId="77777777" w:rsidR="004C57D4" w:rsidRPr="004C57D4" w:rsidRDefault="004C57D4" w:rsidP="009F01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Transmitted by the </w:t>
            </w: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br/>
              <w:t xml:space="preserve">Co-Chairs of the Informal Working </w:t>
            </w:r>
          </w:p>
          <w:p w14:paraId="2990B084" w14:textId="77777777" w:rsidR="004C57D4" w:rsidRPr="004C57D4" w:rsidRDefault="004C57D4" w:rsidP="009F019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Group on Periodical Technical Inspections  </w:t>
            </w:r>
          </w:p>
        </w:tc>
        <w:tc>
          <w:tcPr>
            <w:tcW w:w="4786" w:type="dxa"/>
          </w:tcPr>
          <w:p w14:paraId="2990B085" w14:textId="5821BBF4" w:rsidR="004C57D4" w:rsidRPr="007936CE" w:rsidRDefault="004C57D4" w:rsidP="009F0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4C57D4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Informal document</w:t>
            </w: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4C57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WP.29-1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="007936CE" w:rsidRPr="007936C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4C57D4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  <w:r w:rsidR="0053057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16</w:t>
            </w:r>
          </w:p>
          <w:p w14:paraId="2990B086" w14:textId="22473C6C" w:rsidR="004C57D4" w:rsidRPr="004C57D4" w:rsidRDefault="004C57D4" w:rsidP="009F0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="007936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  <w:r w:rsidRPr="004C57D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WP.29, </w:t>
            </w:r>
            <w:r w:rsidR="007936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  <w:r w:rsidR="007936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7936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March</w:t>
            </w:r>
            <w:r w:rsidRPr="004C57D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20</w:t>
            </w:r>
            <w:r w:rsidR="00CE64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  <w:r w:rsidR="007936C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  <w:p w14:paraId="2990B087" w14:textId="77777777" w:rsidR="004C57D4" w:rsidRPr="00DC1BF6" w:rsidRDefault="004C57D4" w:rsidP="009F019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fr-CH"/>
              </w:rPr>
            </w:pPr>
            <w:r w:rsidRPr="00DC1BF6"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 xml:space="preserve">Agenda item </w:t>
            </w:r>
            <w:r>
              <w:rPr>
                <w:rFonts w:ascii="Times New Roman" w:hAnsi="Times New Roman"/>
                <w:bCs/>
                <w:sz w:val="24"/>
                <w:szCs w:val="24"/>
                <w:lang w:val="fr-CH"/>
              </w:rPr>
              <w:t>7</w:t>
            </w:r>
          </w:p>
        </w:tc>
      </w:tr>
    </w:tbl>
    <w:p w14:paraId="2990B089" w14:textId="77777777" w:rsidR="004C57D4" w:rsidRPr="00DC1BF6" w:rsidRDefault="004C57D4" w:rsidP="004C57D4">
      <w:pPr>
        <w:pStyle w:val="HChG"/>
        <w:rPr>
          <w:lang w:val="fr-CH"/>
        </w:rPr>
      </w:pPr>
    </w:p>
    <w:p w14:paraId="2990B08A" w14:textId="02243907" w:rsidR="004C57D4" w:rsidRPr="00BB1E43" w:rsidRDefault="004C57D4" w:rsidP="004C57D4">
      <w:pPr>
        <w:pStyle w:val="HChG"/>
        <w:jc w:val="center"/>
        <w:rPr>
          <w:sz w:val="24"/>
          <w:szCs w:val="24"/>
        </w:rPr>
      </w:pPr>
      <w:r w:rsidRPr="00BB1E43">
        <w:rPr>
          <w:sz w:val="24"/>
          <w:szCs w:val="24"/>
        </w:rPr>
        <w:t xml:space="preserve">Report to WP.29 about results of the </w:t>
      </w:r>
      <w:r w:rsidR="00BD1523">
        <w:rPr>
          <w:sz w:val="24"/>
          <w:szCs w:val="24"/>
        </w:rPr>
        <w:t xml:space="preserve">25 and </w:t>
      </w:r>
      <w:r w:rsidRPr="00BB1E43">
        <w:rPr>
          <w:sz w:val="24"/>
          <w:szCs w:val="24"/>
        </w:rPr>
        <w:t>2</w:t>
      </w:r>
      <w:r w:rsidR="007936CE">
        <w:rPr>
          <w:sz w:val="24"/>
          <w:szCs w:val="24"/>
        </w:rPr>
        <w:t>6</w:t>
      </w:r>
      <w:r w:rsidR="003F5244">
        <w:rPr>
          <w:sz w:val="24"/>
          <w:szCs w:val="24"/>
          <w:vertAlign w:val="superscript"/>
        </w:rPr>
        <w:t>th</w:t>
      </w:r>
      <w:r w:rsidRPr="00BB1E43">
        <w:rPr>
          <w:sz w:val="24"/>
          <w:szCs w:val="24"/>
        </w:rPr>
        <w:t xml:space="preserve"> meeting</w:t>
      </w:r>
      <w:r w:rsidR="00BD1523">
        <w:rPr>
          <w:sz w:val="24"/>
          <w:szCs w:val="24"/>
        </w:rPr>
        <w:t>s</w:t>
      </w:r>
      <w:r w:rsidRPr="00BB1E43">
        <w:rPr>
          <w:sz w:val="24"/>
          <w:szCs w:val="24"/>
        </w:rPr>
        <w:t xml:space="preserve"> of the Informal Working Group on Periodical Technical Inspections</w:t>
      </w:r>
    </w:p>
    <w:p w14:paraId="2990B091" w14:textId="0BB5B3B6" w:rsidR="00A457F1" w:rsidRDefault="004C57D4" w:rsidP="00D308DE">
      <w:pPr>
        <w:pStyle w:val="SingleTxtG"/>
        <w:tabs>
          <w:tab w:val="left" w:pos="9072"/>
        </w:tabs>
        <w:spacing w:after="0" w:line="240" w:lineRule="auto"/>
        <w:ind w:left="0" w:right="283" w:firstLine="675"/>
        <w:rPr>
          <w:sz w:val="24"/>
          <w:szCs w:val="24"/>
          <w:lang w:val="en-US"/>
        </w:rPr>
      </w:pPr>
      <w:r w:rsidRPr="00C24882">
        <w:rPr>
          <w:sz w:val="24"/>
          <w:szCs w:val="24"/>
        </w:rPr>
        <w:t xml:space="preserve">The </w:t>
      </w:r>
      <w:r w:rsidR="00BD1523" w:rsidRPr="00BB1E43">
        <w:rPr>
          <w:sz w:val="24"/>
          <w:szCs w:val="24"/>
        </w:rPr>
        <w:t>2</w:t>
      </w:r>
      <w:r w:rsidR="00BD1523">
        <w:rPr>
          <w:sz w:val="24"/>
          <w:szCs w:val="24"/>
          <w:lang w:val="en-US"/>
        </w:rPr>
        <w:t>5</w:t>
      </w:r>
      <w:proofErr w:type="spellStart"/>
      <w:r w:rsidR="00BD1523">
        <w:rPr>
          <w:sz w:val="24"/>
          <w:szCs w:val="24"/>
          <w:vertAlign w:val="superscript"/>
        </w:rPr>
        <w:t>th</w:t>
      </w:r>
      <w:proofErr w:type="spellEnd"/>
      <w:r w:rsidR="00BD1523" w:rsidRPr="00BB1E43">
        <w:rPr>
          <w:sz w:val="24"/>
          <w:szCs w:val="24"/>
        </w:rPr>
        <w:t xml:space="preserve"> </w:t>
      </w:r>
      <w:r w:rsidR="00BD1523">
        <w:rPr>
          <w:sz w:val="24"/>
          <w:szCs w:val="24"/>
          <w:lang w:val="en-US"/>
        </w:rPr>
        <w:t xml:space="preserve">and </w:t>
      </w:r>
      <w:r w:rsidR="003F5244" w:rsidRPr="00BB1E43">
        <w:rPr>
          <w:sz w:val="24"/>
          <w:szCs w:val="24"/>
        </w:rPr>
        <w:t>2</w:t>
      </w:r>
      <w:r w:rsidR="007936CE">
        <w:rPr>
          <w:sz w:val="24"/>
          <w:szCs w:val="24"/>
          <w:lang w:val="en-US"/>
        </w:rPr>
        <w:t>6</w:t>
      </w:r>
      <w:proofErr w:type="spellStart"/>
      <w:r w:rsidR="003F5244">
        <w:rPr>
          <w:sz w:val="24"/>
          <w:szCs w:val="24"/>
          <w:vertAlign w:val="superscript"/>
        </w:rPr>
        <w:t>th</w:t>
      </w:r>
      <w:proofErr w:type="spellEnd"/>
      <w:r w:rsidR="003F5244" w:rsidRPr="00C24882">
        <w:rPr>
          <w:sz w:val="24"/>
          <w:szCs w:val="24"/>
        </w:rPr>
        <w:t xml:space="preserve"> </w:t>
      </w:r>
      <w:r w:rsidRPr="00C24882">
        <w:rPr>
          <w:sz w:val="24"/>
          <w:szCs w:val="24"/>
        </w:rPr>
        <w:t>IWG on PTI meeting</w:t>
      </w:r>
      <w:r w:rsidR="00BD1523">
        <w:rPr>
          <w:sz w:val="24"/>
          <w:szCs w:val="24"/>
          <w:lang w:val="en-US"/>
        </w:rPr>
        <w:t>s</w:t>
      </w:r>
      <w:r w:rsidRPr="00C24882">
        <w:rPr>
          <w:sz w:val="24"/>
          <w:szCs w:val="24"/>
        </w:rPr>
        <w:t xml:space="preserve"> w</w:t>
      </w:r>
      <w:r w:rsidR="003F5244">
        <w:rPr>
          <w:sz w:val="24"/>
          <w:szCs w:val="24"/>
          <w:lang w:val="en-US"/>
        </w:rPr>
        <w:t>as</w:t>
      </w:r>
      <w:r w:rsidRPr="00C24882">
        <w:rPr>
          <w:sz w:val="24"/>
          <w:szCs w:val="24"/>
        </w:rPr>
        <w:t xml:space="preserve"> arranged with support of </w:t>
      </w:r>
      <w:r w:rsidR="00940985" w:rsidRPr="00C24882">
        <w:rPr>
          <w:sz w:val="24"/>
          <w:szCs w:val="24"/>
          <w:lang w:val="en-US"/>
        </w:rPr>
        <w:t>the International Motor Vehicle Inspection Committee (</w:t>
      </w:r>
      <w:r w:rsidR="00940985" w:rsidRPr="00C24882">
        <w:rPr>
          <w:bCs/>
          <w:sz w:val="24"/>
          <w:szCs w:val="24"/>
          <w:lang w:val="nl-NL"/>
        </w:rPr>
        <w:t>CITA)</w:t>
      </w:r>
      <w:r w:rsidRPr="00C24882">
        <w:rPr>
          <w:color w:val="000000"/>
          <w:sz w:val="24"/>
          <w:szCs w:val="24"/>
        </w:rPr>
        <w:t xml:space="preserve"> </w:t>
      </w:r>
      <w:r w:rsidRPr="00C24882">
        <w:rPr>
          <w:sz w:val="24"/>
          <w:szCs w:val="24"/>
          <w:lang w:val="en-GB"/>
        </w:rPr>
        <w:t xml:space="preserve">and held on </w:t>
      </w:r>
      <w:r w:rsidR="00BD1523">
        <w:rPr>
          <w:sz w:val="24"/>
          <w:szCs w:val="24"/>
          <w:lang w:val="en-GB"/>
        </w:rPr>
        <w:t>Decem</w:t>
      </w:r>
      <w:r w:rsidR="003F5244">
        <w:rPr>
          <w:sz w:val="24"/>
          <w:szCs w:val="24"/>
          <w:lang w:val="en-GB"/>
        </w:rPr>
        <w:t>ber</w:t>
      </w:r>
      <w:r w:rsidR="00940985" w:rsidRPr="00C24882">
        <w:rPr>
          <w:sz w:val="24"/>
          <w:szCs w:val="24"/>
          <w:lang w:val="en-GB"/>
        </w:rPr>
        <w:t xml:space="preserve">, </w:t>
      </w:r>
      <w:r w:rsidR="003F5244">
        <w:rPr>
          <w:sz w:val="24"/>
          <w:szCs w:val="24"/>
          <w:lang w:val="en-GB"/>
        </w:rPr>
        <w:t>1</w:t>
      </w:r>
      <w:r w:rsidR="00BD1523">
        <w:rPr>
          <w:sz w:val="24"/>
          <w:szCs w:val="24"/>
          <w:lang w:val="en-GB"/>
        </w:rPr>
        <w:t>5</w:t>
      </w:r>
      <w:r w:rsidR="003F5244">
        <w:rPr>
          <w:sz w:val="24"/>
          <w:szCs w:val="24"/>
          <w:lang w:val="en-GB"/>
        </w:rPr>
        <w:t>, 2021</w:t>
      </w:r>
      <w:r w:rsidR="00940985" w:rsidRPr="00C24882">
        <w:rPr>
          <w:sz w:val="24"/>
          <w:szCs w:val="24"/>
          <w:lang w:val="en-GB"/>
        </w:rPr>
        <w:t xml:space="preserve"> </w:t>
      </w:r>
      <w:r w:rsidR="00BD1523">
        <w:rPr>
          <w:sz w:val="24"/>
          <w:szCs w:val="24"/>
          <w:lang w:val="en-GB"/>
        </w:rPr>
        <w:t xml:space="preserve">and February, 15, 2022 </w:t>
      </w:r>
      <w:r w:rsidRPr="00C24882">
        <w:rPr>
          <w:sz w:val="24"/>
          <w:szCs w:val="24"/>
          <w:lang w:val="en-GB"/>
        </w:rPr>
        <w:t xml:space="preserve">in </w:t>
      </w:r>
      <w:r w:rsidR="00940985" w:rsidRPr="00C24882">
        <w:rPr>
          <w:sz w:val="24"/>
          <w:szCs w:val="24"/>
          <w:lang w:val="en-GB"/>
        </w:rPr>
        <w:t xml:space="preserve">the form of virtual participation. </w:t>
      </w:r>
    </w:p>
    <w:p w14:paraId="54BC0264" w14:textId="77777777" w:rsidR="00AE783A" w:rsidRPr="00AE783A" w:rsidRDefault="00AE783A" w:rsidP="00D308DE">
      <w:pPr>
        <w:pStyle w:val="SingleTxtG"/>
        <w:tabs>
          <w:tab w:val="left" w:pos="9072"/>
        </w:tabs>
        <w:spacing w:after="0" w:line="240" w:lineRule="auto"/>
        <w:ind w:left="0" w:right="283" w:firstLine="675"/>
        <w:rPr>
          <w:sz w:val="24"/>
          <w:szCs w:val="24"/>
          <w:lang w:val="en-US"/>
        </w:rPr>
      </w:pPr>
    </w:p>
    <w:p w14:paraId="2990B092" w14:textId="69E32997" w:rsidR="007B64B3" w:rsidRDefault="00AE783A" w:rsidP="00D308DE">
      <w:pPr>
        <w:pStyle w:val="SingleTxtG"/>
        <w:tabs>
          <w:tab w:val="left" w:pos="9072"/>
        </w:tabs>
        <w:spacing w:before="0" w:after="0" w:line="240" w:lineRule="auto"/>
        <w:ind w:left="0" w:right="0" w:firstLine="567"/>
        <w:jc w:val="both"/>
        <w:rPr>
          <w:rFonts w:eastAsia="Calibri"/>
          <w:b/>
          <w:color w:val="000000"/>
          <w:sz w:val="24"/>
          <w:szCs w:val="24"/>
          <w:lang w:val="en-US" w:eastAsia="en-GB"/>
        </w:rPr>
      </w:pPr>
      <w:r>
        <w:rPr>
          <w:rFonts w:eastAsia="Calibri"/>
          <w:b/>
          <w:color w:val="000000"/>
          <w:sz w:val="24"/>
          <w:szCs w:val="24"/>
          <w:lang w:val="en-US" w:eastAsia="en-GB"/>
        </w:rPr>
        <w:t>I</w:t>
      </w:r>
      <w:r w:rsidR="007B64B3" w:rsidRPr="00C24882">
        <w:rPr>
          <w:rFonts w:eastAsia="Calibri"/>
          <w:b/>
          <w:color w:val="000000"/>
          <w:sz w:val="24"/>
          <w:szCs w:val="24"/>
          <w:lang w:val="en-US" w:eastAsia="en-GB"/>
        </w:rPr>
        <w:t xml:space="preserve">. In-service compliance assessment </w:t>
      </w:r>
    </w:p>
    <w:p w14:paraId="064B8F87" w14:textId="6ED33AFA" w:rsidR="00AF0389" w:rsidRDefault="00AE783A" w:rsidP="00D308DE">
      <w:pPr>
        <w:pStyle w:val="SingleTxtG"/>
        <w:tabs>
          <w:tab w:val="left" w:pos="9072"/>
        </w:tabs>
        <w:spacing w:after="0" w:line="240" w:lineRule="auto"/>
        <w:ind w:left="0" w:right="283" w:firstLine="67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445829" w:rsidRPr="00445829">
        <w:rPr>
          <w:sz w:val="24"/>
          <w:szCs w:val="24"/>
        </w:rPr>
        <w:t xml:space="preserve">he IWG on PTI introduced </w:t>
      </w:r>
      <w:r w:rsidR="00445829">
        <w:rPr>
          <w:sz w:val="24"/>
          <w:szCs w:val="24"/>
          <w:lang w:val="en-US"/>
        </w:rPr>
        <w:t>the document at the 85</w:t>
      </w:r>
      <w:r w:rsidR="00445829" w:rsidRPr="00445829">
        <w:rPr>
          <w:sz w:val="24"/>
          <w:szCs w:val="24"/>
          <w:vertAlign w:val="superscript"/>
          <w:lang w:val="en-US"/>
        </w:rPr>
        <w:t>th</w:t>
      </w:r>
      <w:r w:rsidR="00445829">
        <w:rPr>
          <w:sz w:val="24"/>
          <w:szCs w:val="24"/>
          <w:lang w:val="en-US"/>
        </w:rPr>
        <w:t xml:space="preserve"> session of </w:t>
      </w:r>
      <w:r w:rsidR="00445829" w:rsidRPr="00445829">
        <w:rPr>
          <w:sz w:val="24"/>
          <w:szCs w:val="24"/>
        </w:rPr>
        <w:t>GRPE</w:t>
      </w:r>
      <w:r w:rsidR="00445829">
        <w:rPr>
          <w:sz w:val="24"/>
          <w:szCs w:val="24"/>
          <w:lang w:val="en-US"/>
        </w:rPr>
        <w:t>, 12</w:t>
      </w:r>
      <w:r w:rsidR="00445829" w:rsidRPr="00445829">
        <w:rPr>
          <w:sz w:val="24"/>
          <w:szCs w:val="24"/>
          <w:vertAlign w:val="superscript"/>
          <w:lang w:val="en-US"/>
        </w:rPr>
        <w:t>th</w:t>
      </w:r>
      <w:r w:rsidR="00445829">
        <w:rPr>
          <w:sz w:val="24"/>
          <w:szCs w:val="24"/>
          <w:lang w:val="en-US"/>
        </w:rPr>
        <w:t xml:space="preserve"> session of GRVA and </w:t>
      </w:r>
      <w:r w:rsidR="00D44516">
        <w:rPr>
          <w:sz w:val="24"/>
          <w:szCs w:val="24"/>
          <w:lang w:val="en-US"/>
        </w:rPr>
        <w:t>75</w:t>
      </w:r>
      <w:r w:rsidR="00D44516" w:rsidRPr="00D44516">
        <w:rPr>
          <w:sz w:val="24"/>
          <w:szCs w:val="24"/>
          <w:vertAlign w:val="superscript"/>
          <w:lang w:val="en-US"/>
        </w:rPr>
        <w:t>th</w:t>
      </w:r>
      <w:r w:rsidR="00D44516">
        <w:rPr>
          <w:sz w:val="24"/>
          <w:szCs w:val="24"/>
          <w:lang w:val="en-US"/>
        </w:rPr>
        <w:t xml:space="preserve"> session of GRBP. In the result of the discussions there were </w:t>
      </w:r>
      <w:r w:rsidR="00D44516" w:rsidRPr="00445829">
        <w:rPr>
          <w:sz w:val="24"/>
          <w:szCs w:val="24"/>
        </w:rPr>
        <w:t xml:space="preserve">identified potential improvements to the </w:t>
      </w:r>
      <w:r w:rsidR="00D44516">
        <w:rPr>
          <w:sz w:val="24"/>
          <w:szCs w:val="24"/>
          <w:lang w:val="en-US"/>
        </w:rPr>
        <w:t>document.</w:t>
      </w:r>
      <w:r w:rsidR="00D44516" w:rsidRPr="00445829">
        <w:rPr>
          <w:sz w:val="24"/>
          <w:szCs w:val="24"/>
        </w:rPr>
        <w:t xml:space="preserve"> GRPE</w:t>
      </w:r>
      <w:r w:rsidR="00D44516">
        <w:rPr>
          <w:sz w:val="24"/>
          <w:szCs w:val="24"/>
          <w:lang w:val="en-US"/>
        </w:rPr>
        <w:t xml:space="preserve"> </w:t>
      </w:r>
      <w:r w:rsidR="00AF0389">
        <w:rPr>
          <w:sz w:val="24"/>
          <w:szCs w:val="24"/>
          <w:lang w:val="en-US"/>
        </w:rPr>
        <w:t xml:space="preserve">decided </w:t>
      </w:r>
      <w:r w:rsidR="00D44516" w:rsidRPr="00445829">
        <w:rPr>
          <w:sz w:val="24"/>
          <w:szCs w:val="24"/>
        </w:rPr>
        <w:t>that a proposal for improvement would be formalized during the next session of GRPE in June 2022</w:t>
      </w:r>
      <w:r w:rsidR="00D44516">
        <w:rPr>
          <w:sz w:val="24"/>
          <w:szCs w:val="24"/>
          <w:lang w:val="en-US"/>
        </w:rPr>
        <w:t xml:space="preserve">. </w:t>
      </w:r>
    </w:p>
    <w:p w14:paraId="56DFDD98" w14:textId="1BCDD0F6" w:rsidR="00445829" w:rsidRDefault="00D44516" w:rsidP="00D308DE">
      <w:pPr>
        <w:pStyle w:val="SingleTxtG"/>
        <w:tabs>
          <w:tab w:val="left" w:pos="9072"/>
        </w:tabs>
        <w:spacing w:after="0" w:line="240" w:lineRule="auto"/>
        <w:ind w:left="0" w:right="283" w:firstLine="67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445829" w:rsidRPr="00445829">
        <w:rPr>
          <w:sz w:val="24"/>
          <w:szCs w:val="24"/>
        </w:rPr>
        <w:t>he IWG on PTI agreed the document could be improved and agreed that it would be beneficial to present the discrepancies between different countries/regions to</w:t>
      </w:r>
      <w:r w:rsidR="00445829" w:rsidRPr="00445829">
        <w:rPr>
          <w:sz w:val="24"/>
          <w:szCs w:val="24"/>
          <w:lang w:val="en-US"/>
        </w:rPr>
        <w:t xml:space="preserve"> </w:t>
      </w:r>
      <w:r w:rsidR="00445829" w:rsidRPr="00445829">
        <w:rPr>
          <w:sz w:val="24"/>
          <w:szCs w:val="24"/>
        </w:rPr>
        <w:t xml:space="preserve">improve the harmonization offered by the activities developed within WP.29 and its subsidiary bodies. </w:t>
      </w:r>
    </w:p>
    <w:p w14:paraId="2990B094" w14:textId="5E4E72F8" w:rsidR="00CD1350" w:rsidRPr="006371E2" w:rsidRDefault="00AF0389" w:rsidP="006371E2">
      <w:pPr>
        <w:pStyle w:val="SingleTxtG"/>
        <w:tabs>
          <w:tab w:val="left" w:pos="9072"/>
        </w:tabs>
        <w:spacing w:before="0" w:after="0" w:line="240" w:lineRule="auto"/>
        <w:ind w:left="0" w:right="0" w:firstLine="567"/>
        <w:jc w:val="both"/>
        <w:rPr>
          <w:sz w:val="24"/>
          <w:szCs w:val="24"/>
        </w:rPr>
      </w:pPr>
      <w:r w:rsidRPr="00263BA1">
        <w:rPr>
          <w:sz w:val="24"/>
          <w:szCs w:val="24"/>
        </w:rPr>
        <w:t xml:space="preserve">The </w:t>
      </w:r>
      <w:r>
        <w:rPr>
          <w:sz w:val="24"/>
          <w:szCs w:val="24"/>
          <w:lang w:val="en-US"/>
        </w:rPr>
        <w:t>IWG on PTI</w:t>
      </w:r>
      <w:r w:rsidRPr="00263BA1">
        <w:rPr>
          <w:sz w:val="24"/>
          <w:szCs w:val="24"/>
        </w:rPr>
        <w:t xml:space="preserve"> continue</w:t>
      </w:r>
      <w:r>
        <w:rPr>
          <w:sz w:val="24"/>
          <w:szCs w:val="24"/>
          <w:lang w:val="en-US"/>
        </w:rPr>
        <w:t>s</w:t>
      </w:r>
      <w:r w:rsidRPr="00263BA1">
        <w:rPr>
          <w:sz w:val="24"/>
          <w:szCs w:val="24"/>
        </w:rPr>
        <w:t xml:space="preserve"> considerations on </w:t>
      </w:r>
      <w:r>
        <w:rPr>
          <w:sz w:val="24"/>
          <w:szCs w:val="24"/>
        </w:rPr>
        <w:t>comments received from GRs</w:t>
      </w:r>
      <w:r>
        <w:rPr>
          <w:sz w:val="24"/>
          <w:szCs w:val="24"/>
          <w:lang w:val="en-US"/>
        </w:rPr>
        <w:t>.</w:t>
      </w:r>
      <w:r w:rsidRPr="00263BA1">
        <w:rPr>
          <w:sz w:val="24"/>
          <w:szCs w:val="24"/>
        </w:rPr>
        <w:t xml:space="preserve"> </w:t>
      </w:r>
    </w:p>
    <w:p w14:paraId="2990B097" w14:textId="7F035807" w:rsidR="00194D39" w:rsidRPr="008467D4" w:rsidRDefault="00194D39" w:rsidP="00D308DE">
      <w:pPr>
        <w:pStyle w:val="Heading1"/>
        <w:tabs>
          <w:tab w:val="left" w:pos="9072"/>
        </w:tabs>
        <w:ind w:firstLine="708"/>
        <w:rPr>
          <w:lang w:val="en-GB"/>
        </w:rPr>
      </w:pPr>
      <w:r w:rsidRPr="008467D4">
        <w:rPr>
          <w:b/>
          <w:lang w:val="en-GB"/>
        </w:rPr>
        <w:t>I</w:t>
      </w:r>
      <w:r w:rsidR="00AE783A">
        <w:rPr>
          <w:rFonts w:eastAsia="Calibri"/>
          <w:b/>
          <w:color w:val="000000"/>
          <w:lang w:val="en-US" w:eastAsia="en-GB"/>
        </w:rPr>
        <w:t>I</w:t>
      </w:r>
      <w:r w:rsidRPr="008467D4">
        <w:rPr>
          <w:b/>
          <w:lang w:val="en-GB"/>
        </w:rPr>
        <w:t>.</w:t>
      </w:r>
      <w:r w:rsidRPr="008467D4">
        <w:rPr>
          <w:lang w:val="en-GB"/>
        </w:rPr>
        <w:t xml:space="preserve"> </w:t>
      </w:r>
      <w:r w:rsidRPr="008467D4">
        <w:rPr>
          <w:b/>
          <w:lang w:val="en-GB"/>
        </w:rPr>
        <w:t>Measures to detect tampering</w:t>
      </w:r>
    </w:p>
    <w:p w14:paraId="0D95A3E7" w14:textId="77777777" w:rsidR="00D308DE" w:rsidRDefault="00C81743" w:rsidP="00D308DE">
      <w:pPr>
        <w:pStyle w:val="SingleTxtG"/>
        <w:tabs>
          <w:tab w:val="left" w:pos="709"/>
          <w:tab w:val="left" w:pos="9072"/>
        </w:tabs>
        <w:spacing w:after="0"/>
        <w:ind w:left="0" w:right="-1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ab/>
        <w:t xml:space="preserve">The group </w:t>
      </w:r>
      <w:r w:rsidR="00AE783A">
        <w:rPr>
          <w:sz w:val="24"/>
          <w:szCs w:val="24"/>
          <w:lang w:val="en-GB"/>
        </w:rPr>
        <w:t xml:space="preserve">approved draft </w:t>
      </w:r>
      <w:r w:rsidR="00AE783A" w:rsidRPr="00C24882">
        <w:rPr>
          <w:sz w:val="24"/>
          <w:szCs w:val="24"/>
          <w:lang w:val="en-US"/>
        </w:rPr>
        <w:t>recommendation on application of PN measurement methods</w:t>
      </w:r>
      <w:r w:rsidR="00AE783A">
        <w:rPr>
          <w:sz w:val="24"/>
          <w:szCs w:val="24"/>
          <w:lang w:val="en-GB"/>
        </w:rPr>
        <w:t xml:space="preserve"> at PTI as amendments to Resolution R.E.6. </w:t>
      </w:r>
      <w:r w:rsidR="00AE783A">
        <w:rPr>
          <w:sz w:val="24"/>
          <w:szCs w:val="24"/>
          <w:lang w:val="en-US"/>
        </w:rPr>
        <w:t xml:space="preserve">It was </w:t>
      </w:r>
      <w:r w:rsidR="00452396">
        <w:rPr>
          <w:sz w:val="24"/>
          <w:szCs w:val="24"/>
          <w:lang w:val="en-US"/>
        </w:rPr>
        <w:t xml:space="preserve">submitted to GRPE </w:t>
      </w:r>
      <w:r w:rsidR="003F0713">
        <w:rPr>
          <w:sz w:val="24"/>
          <w:szCs w:val="24"/>
          <w:lang w:val="en-US"/>
        </w:rPr>
        <w:t xml:space="preserve">for </w:t>
      </w:r>
      <w:r w:rsidR="003F0713">
        <w:rPr>
          <w:sz w:val="24"/>
          <w:szCs w:val="24"/>
          <w:lang w:val="en-GB"/>
        </w:rPr>
        <w:t>technical assessment</w:t>
      </w:r>
      <w:r w:rsidR="003F0713">
        <w:rPr>
          <w:sz w:val="24"/>
          <w:szCs w:val="24"/>
          <w:lang w:val="en-US"/>
        </w:rPr>
        <w:t xml:space="preserve"> </w:t>
      </w:r>
      <w:r w:rsidR="00AE783A">
        <w:rPr>
          <w:sz w:val="24"/>
          <w:szCs w:val="24"/>
          <w:lang w:val="en-US"/>
        </w:rPr>
        <w:t>at its forthcoming session.</w:t>
      </w:r>
      <w:r w:rsidR="00D308DE">
        <w:rPr>
          <w:sz w:val="24"/>
          <w:szCs w:val="24"/>
          <w:lang w:val="en-US"/>
        </w:rPr>
        <w:t xml:space="preserve"> </w:t>
      </w:r>
    </w:p>
    <w:p w14:paraId="2990B098" w14:textId="2ACFAE20" w:rsidR="00452396" w:rsidRPr="00D308DE" w:rsidRDefault="00D308DE" w:rsidP="00D308DE">
      <w:pPr>
        <w:pStyle w:val="SingleTxtG"/>
        <w:tabs>
          <w:tab w:val="left" w:pos="709"/>
          <w:tab w:val="left" w:pos="9072"/>
        </w:tabs>
        <w:spacing w:after="0"/>
        <w:ind w:left="0" w:right="-1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GB"/>
        </w:rPr>
        <w:t xml:space="preserve">The IWG PTI welcomed presentations of </w:t>
      </w:r>
      <w:r w:rsidR="003F0713">
        <w:rPr>
          <w:sz w:val="24"/>
          <w:szCs w:val="24"/>
          <w:lang w:val="en-GB"/>
        </w:rPr>
        <w:t>the experience and benefits of registering mileage in all vehicle interventions in Belgium and in the Netherlands.</w:t>
      </w:r>
      <w:r w:rsidR="004523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It was decided to establish </w:t>
      </w:r>
      <w:r w:rsidR="003F0713">
        <w:rPr>
          <w:sz w:val="24"/>
          <w:szCs w:val="24"/>
          <w:lang w:val="en-GB"/>
        </w:rPr>
        <w:t>a group of experts to make a proposal in this regard.</w:t>
      </w:r>
    </w:p>
    <w:p w14:paraId="2990B099" w14:textId="3B190BD3" w:rsidR="00452396" w:rsidRDefault="003F0713" w:rsidP="00D308DE">
      <w:pPr>
        <w:pStyle w:val="SingleTxtG"/>
        <w:tabs>
          <w:tab w:val="left" w:pos="9072"/>
        </w:tabs>
        <w:spacing w:after="0" w:line="240" w:lineRule="auto"/>
        <w:ind w:left="0" w:right="283" w:firstLine="67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GB"/>
        </w:rPr>
        <w:t>In frame of the 85</w:t>
      </w:r>
      <w:r w:rsidRPr="003F0713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session of GRPE the group took part in discussion</w:t>
      </w:r>
      <w:r w:rsidR="00ED16D2">
        <w:rPr>
          <w:sz w:val="24"/>
          <w:szCs w:val="24"/>
          <w:lang w:val="en-GB"/>
        </w:rPr>
        <w:t xml:space="preserve"> of tampering. </w:t>
      </w:r>
      <w:r>
        <w:rPr>
          <w:sz w:val="24"/>
          <w:szCs w:val="24"/>
          <w:lang w:val="en-GB"/>
        </w:rPr>
        <w:t xml:space="preserve"> </w:t>
      </w:r>
      <w:r w:rsidR="00ED16D2">
        <w:rPr>
          <w:sz w:val="24"/>
          <w:szCs w:val="24"/>
          <w:lang w:val="en-GB"/>
        </w:rPr>
        <w:t xml:space="preserve">It was </w:t>
      </w:r>
      <w:r w:rsidR="00ED16D2" w:rsidRPr="00452396">
        <w:rPr>
          <w:sz w:val="24"/>
          <w:szCs w:val="24"/>
          <w:lang w:val="en-GB"/>
        </w:rPr>
        <w:t>highlighted</w:t>
      </w:r>
      <w:r w:rsidR="00ED16D2">
        <w:rPr>
          <w:sz w:val="24"/>
          <w:szCs w:val="24"/>
          <w:lang w:val="en-GB"/>
        </w:rPr>
        <w:t xml:space="preserve"> </w:t>
      </w:r>
      <w:r w:rsidR="00ED16D2">
        <w:rPr>
          <w:sz w:val="24"/>
          <w:szCs w:val="24"/>
          <w:lang w:val="en-US"/>
        </w:rPr>
        <w:t xml:space="preserve">that application </w:t>
      </w:r>
      <w:proofErr w:type="gramStart"/>
      <w:r w:rsidR="00ED16D2">
        <w:rPr>
          <w:sz w:val="24"/>
          <w:szCs w:val="24"/>
          <w:lang w:val="en-US"/>
        </w:rPr>
        <w:t xml:space="preserve">of </w:t>
      </w:r>
      <w:r w:rsidR="00ED16D2" w:rsidRPr="00445829">
        <w:rPr>
          <w:sz w:val="24"/>
          <w:szCs w:val="24"/>
        </w:rPr>
        <w:t xml:space="preserve"> the</w:t>
      </w:r>
      <w:proofErr w:type="gramEnd"/>
      <w:r w:rsidR="00ED16D2" w:rsidRPr="00445829">
        <w:rPr>
          <w:sz w:val="24"/>
          <w:szCs w:val="24"/>
        </w:rPr>
        <w:t xml:space="preserve"> existing provision on anti-tampering to be effectively enforced, </w:t>
      </w:r>
      <w:r w:rsidR="00ED16D2">
        <w:rPr>
          <w:sz w:val="24"/>
          <w:szCs w:val="24"/>
          <w:lang w:val="en-US"/>
        </w:rPr>
        <w:t>and</w:t>
      </w:r>
      <w:r w:rsidR="00ED16D2" w:rsidRPr="00445829">
        <w:rPr>
          <w:sz w:val="24"/>
          <w:szCs w:val="24"/>
        </w:rPr>
        <w:t xml:space="preserve"> countries </w:t>
      </w:r>
      <w:r w:rsidR="00ED16D2">
        <w:rPr>
          <w:sz w:val="24"/>
          <w:szCs w:val="24"/>
          <w:lang w:val="en-US"/>
        </w:rPr>
        <w:t>should</w:t>
      </w:r>
      <w:r w:rsidR="00ED16D2" w:rsidRPr="00445829">
        <w:rPr>
          <w:sz w:val="24"/>
          <w:szCs w:val="24"/>
        </w:rPr>
        <w:t xml:space="preserve"> forbid the sale and use of </w:t>
      </w:r>
      <w:r w:rsidR="00ED16D2">
        <w:rPr>
          <w:sz w:val="24"/>
          <w:szCs w:val="24"/>
          <w:lang w:val="en-US"/>
        </w:rPr>
        <w:t>any kind</w:t>
      </w:r>
      <w:r w:rsidR="00ED16D2" w:rsidRPr="00445829">
        <w:rPr>
          <w:sz w:val="24"/>
          <w:szCs w:val="24"/>
        </w:rPr>
        <w:t xml:space="preserve"> emulators. The</w:t>
      </w:r>
      <w:r w:rsidR="00ED16D2">
        <w:rPr>
          <w:sz w:val="24"/>
          <w:szCs w:val="24"/>
          <w:lang w:val="en-US"/>
        </w:rPr>
        <w:t xml:space="preserve">re are </w:t>
      </w:r>
      <w:r w:rsidR="00ED16D2" w:rsidRPr="00445829">
        <w:rPr>
          <w:sz w:val="24"/>
          <w:szCs w:val="24"/>
        </w:rPr>
        <w:t xml:space="preserve"> example</w:t>
      </w:r>
      <w:r w:rsidR="00ED16D2">
        <w:rPr>
          <w:sz w:val="24"/>
          <w:szCs w:val="24"/>
          <w:lang w:val="en-US"/>
        </w:rPr>
        <w:t>s</w:t>
      </w:r>
      <w:r w:rsidR="00ED16D2" w:rsidRPr="00445829">
        <w:rPr>
          <w:sz w:val="24"/>
          <w:szCs w:val="24"/>
        </w:rPr>
        <w:t xml:space="preserve"> of </w:t>
      </w:r>
      <w:r w:rsidR="00ED16D2">
        <w:rPr>
          <w:sz w:val="24"/>
          <w:szCs w:val="24"/>
          <w:lang w:val="en-US"/>
        </w:rPr>
        <w:t>national legislation</w:t>
      </w:r>
      <w:r w:rsidR="00ED16D2" w:rsidRPr="00445829">
        <w:rPr>
          <w:sz w:val="24"/>
          <w:szCs w:val="24"/>
        </w:rPr>
        <w:t xml:space="preserve"> which seemed effective with high penalties and strong enforcement</w:t>
      </w:r>
      <w:r w:rsidR="00ED16D2">
        <w:rPr>
          <w:sz w:val="24"/>
          <w:szCs w:val="24"/>
          <w:lang w:val="en-US"/>
        </w:rPr>
        <w:t>.</w:t>
      </w:r>
      <w:r w:rsidR="00ED16D2" w:rsidRPr="00445829">
        <w:rPr>
          <w:sz w:val="24"/>
          <w:szCs w:val="24"/>
        </w:rPr>
        <w:t xml:space="preserve"> </w:t>
      </w:r>
    </w:p>
    <w:p w14:paraId="2990B09A" w14:textId="6CC8B8E8" w:rsidR="00452396" w:rsidRDefault="00ED16D2" w:rsidP="006371E2">
      <w:pPr>
        <w:pStyle w:val="SingleTxtG"/>
        <w:tabs>
          <w:tab w:val="left" w:pos="9072"/>
        </w:tabs>
        <w:spacing w:before="0" w:after="0" w:line="240" w:lineRule="auto"/>
        <w:ind w:left="0" w:right="283" w:firstLine="675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445829">
        <w:rPr>
          <w:sz w:val="24"/>
          <w:szCs w:val="24"/>
        </w:rPr>
        <w:t xml:space="preserve">he IWG on PTI called for more expertise </w:t>
      </w:r>
      <w:r>
        <w:rPr>
          <w:sz w:val="24"/>
          <w:szCs w:val="24"/>
          <w:lang w:val="en-US"/>
        </w:rPr>
        <w:t>and</w:t>
      </w:r>
      <w:r w:rsidRPr="00445829">
        <w:rPr>
          <w:sz w:val="24"/>
          <w:szCs w:val="24"/>
        </w:rPr>
        <w:t xml:space="preserve"> collaboration between type approval, certification and PTI needed and suggested to create a task force between GRPE and the IWG on PTI to initiate activities on the issue. </w:t>
      </w:r>
      <w:r>
        <w:rPr>
          <w:sz w:val="24"/>
          <w:szCs w:val="24"/>
          <w:lang w:val="en-US"/>
        </w:rPr>
        <w:t xml:space="preserve">It was agreed </w:t>
      </w:r>
      <w:r w:rsidR="00D308DE" w:rsidRPr="00445829">
        <w:rPr>
          <w:sz w:val="24"/>
          <w:szCs w:val="24"/>
        </w:rPr>
        <w:t>to put together ideas towards the creation of a task force</w:t>
      </w:r>
      <w:r w:rsidR="00D308DE">
        <w:rPr>
          <w:sz w:val="24"/>
          <w:szCs w:val="24"/>
          <w:lang w:val="en-US"/>
        </w:rPr>
        <w:t>, including Terms of Reference,</w:t>
      </w:r>
      <w:r w:rsidR="00D308DE" w:rsidRPr="00445829">
        <w:rPr>
          <w:sz w:val="24"/>
          <w:szCs w:val="24"/>
        </w:rPr>
        <w:t xml:space="preserve"> during the next session of GRPE.</w:t>
      </w:r>
    </w:p>
    <w:p w14:paraId="6B6A9657" w14:textId="77777777" w:rsidR="006371E2" w:rsidRPr="006371E2" w:rsidRDefault="006371E2" w:rsidP="006371E2">
      <w:pPr>
        <w:pStyle w:val="SingleTxtG"/>
        <w:tabs>
          <w:tab w:val="left" w:pos="9072"/>
        </w:tabs>
        <w:spacing w:before="0" w:after="0" w:line="240" w:lineRule="auto"/>
        <w:ind w:left="0" w:right="283" w:firstLine="675"/>
        <w:jc w:val="both"/>
        <w:rPr>
          <w:sz w:val="24"/>
          <w:szCs w:val="24"/>
          <w:lang w:val="en-US"/>
        </w:rPr>
      </w:pPr>
    </w:p>
    <w:p w14:paraId="3AA7F0C7" w14:textId="29C126E6" w:rsidR="00D308DE" w:rsidRDefault="00D308DE" w:rsidP="006371E2">
      <w:pPr>
        <w:pStyle w:val="SingleTxtG"/>
        <w:tabs>
          <w:tab w:val="left" w:pos="709"/>
        </w:tabs>
        <w:spacing w:before="0" w:after="0" w:line="240" w:lineRule="auto"/>
        <w:ind w:left="720"/>
        <w:jc w:val="both"/>
        <w:rPr>
          <w:b/>
          <w:sz w:val="24"/>
          <w:szCs w:val="24"/>
          <w:lang w:val="en-US"/>
        </w:rPr>
      </w:pPr>
      <w:r w:rsidRPr="00D308DE">
        <w:rPr>
          <w:rFonts w:eastAsia="Calibri"/>
          <w:b/>
          <w:sz w:val="24"/>
          <w:szCs w:val="24"/>
          <w:lang w:val="en-US" w:eastAsia="en-GB"/>
        </w:rPr>
        <w:t>III</w:t>
      </w:r>
      <w:r w:rsidRPr="00D308DE">
        <w:rPr>
          <w:b/>
          <w:sz w:val="24"/>
          <w:szCs w:val="24"/>
          <w:lang w:val="en-GB"/>
        </w:rPr>
        <w:t xml:space="preserve">. Draft Rule on </w:t>
      </w:r>
      <w:r w:rsidR="00FC14E7">
        <w:rPr>
          <w:b/>
          <w:sz w:val="24"/>
          <w:szCs w:val="24"/>
          <w:lang w:val="en-US"/>
        </w:rPr>
        <w:t>A</w:t>
      </w:r>
      <w:proofErr w:type="spellStart"/>
      <w:r w:rsidR="00FC14E7">
        <w:rPr>
          <w:b/>
          <w:sz w:val="24"/>
          <w:szCs w:val="24"/>
        </w:rPr>
        <w:t>ccident</w:t>
      </w:r>
      <w:proofErr w:type="spellEnd"/>
      <w:r w:rsidR="00FC14E7">
        <w:rPr>
          <w:b/>
          <w:sz w:val="24"/>
          <w:szCs w:val="24"/>
        </w:rPr>
        <w:t xml:space="preserve"> </w:t>
      </w:r>
      <w:r w:rsidR="00FC14E7">
        <w:rPr>
          <w:b/>
          <w:sz w:val="24"/>
          <w:szCs w:val="24"/>
          <w:lang w:val="en-US"/>
        </w:rPr>
        <w:t>E</w:t>
      </w:r>
      <w:proofErr w:type="spellStart"/>
      <w:r w:rsidR="00FC14E7">
        <w:rPr>
          <w:b/>
          <w:sz w:val="24"/>
          <w:szCs w:val="24"/>
        </w:rPr>
        <w:t>mergency</w:t>
      </w:r>
      <w:proofErr w:type="spellEnd"/>
      <w:r w:rsidR="00FC14E7">
        <w:rPr>
          <w:b/>
          <w:sz w:val="24"/>
          <w:szCs w:val="24"/>
        </w:rPr>
        <w:t xml:space="preserve"> </w:t>
      </w:r>
      <w:r w:rsidR="00FC14E7">
        <w:rPr>
          <w:b/>
          <w:sz w:val="24"/>
          <w:szCs w:val="24"/>
          <w:lang w:val="en-US"/>
        </w:rPr>
        <w:t>C</w:t>
      </w:r>
      <w:r w:rsidR="00FC14E7">
        <w:rPr>
          <w:b/>
          <w:sz w:val="24"/>
          <w:szCs w:val="24"/>
        </w:rPr>
        <w:t xml:space="preserve">all </w:t>
      </w:r>
      <w:r w:rsidR="00FC14E7">
        <w:rPr>
          <w:b/>
          <w:sz w:val="24"/>
          <w:szCs w:val="24"/>
          <w:lang w:val="en-US"/>
        </w:rPr>
        <w:t>S</w:t>
      </w:r>
      <w:proofErr w:type="spellStart"/>
      <w:r w:rsidRPr="00D308DE">
        <w:rPr>
          <w:b/>
          <w:sz w:val="24"/>
          <w:szCs w:val="24"/>
        </w:rPr>
        <w:t>ystems</w:t>
      </w:r>
      <w:proofErr w:type="spellEnd"/>
      <w:r w:rsidR="00FC14E7">
        <w:rPr>
          <w:b/>
          <w:sz w:val="24"/>
          <w:szCs w:val="24"/>
          <w:lang w:val="en-US"/>
        </w:rPr>
        <w:t xml:space="preserve"> (</w:t>
      </w:r>
      <w:r w:rsidRPr="00D308DE">
        <w:rPr>
          <w:b/>
          <w:sz w:val="24"/>
          <w:szCs w:val="24"/>
        </w:rPr>
        <w:t>AECS</w:t>
      </w:r>
      <w:r w:rsidR="00FC14E7">
        <w:rPr>
          <w:b/>
          <w:sz w:val="24"/>
          <w:szCs w:val="24"/>
          <w:lang w:val="en-US"/>
        </w:rPr>
        <w:t>)</w:t>
      </w:r>
    </w:p>
    <w:p w14:paraId="509A3863" w14:textId="0C3415BA" w:rsidR="00FC14E7" w:rsidRPr="00FC14E7" w:rsidRDefault="00FC14E7" w:rsidP="006371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group continued</w:t>
      </w:r>
      <w:r w:rsidRPr="00FC14E7">
        <w:rPr>
          <w:sz w:val="24"/>
          <w:szCs w:val="24"/>
          <w:lang w:val="en-US"/>
        </w:rPr>
        <w:t xml:space="preserve"> </w:t>
      </w:r>
      <w:r w:rsidRPr="00FC14E7">
        <w:rPr>
          <w:rFonts w:ascii="Times New Roman" w:hAnsi="Times New Roman" w:cs="Times New Roman"/>
          <w:sz w:val="24"/>
          <w:szCs w:val="24"/>
          <w:lang w:val="en-US"/>
        </w:rPr>
        <w:t xml:space="preserve">considerations on comments </w:t>
      </w:r>
      <w:r>
        <w:rPr>
          <w:rFonts w:ascii="Times New Roman" w:hAnsi="Times New Roman" w:cs="Times New Roman"/>
          <w:sz w:val="24"/>
          <w:szCs w:val="24"/>
          <w:lang w:val="en-US"/>
        </w:rPr>
        <w:t>on the draft Rule</w:t>
      </w:r>
      <w:r w:rsidRPr="00FC14E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 was agreed that </w:t>
      </w:r>
    </w:p>
    <w:p w14:paraId="2243F7E5" w14:textId="54B6E78A" w:rsidR="00AE783A" w:rsidRPr="006371E2" w:rsidRDefault="00FC14E7" w:rsidP="00637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C14E7">
        <w:rPr>
          <w:rFonts w:ascii="Times New Roman" w:hAnsi="Times New Roman" w:cs="Times New Roman"/>
          <w:sz w:val="24"/>
          <w:szCs w:val="24"/>
          <w:lang w:val="en-US"/>
        </w:rPr>
        <w:t>review of this propos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al by GRSG experts is necessary </w:t>
      </w:r>
      <w:r w:rsidRPr="00FC14E7">
        <w:rPr>
          <w:rFonts w:ascii="Times New Roman" w:hAnsi="Times New Roman" w:cs="Times New Roman"/>
          <w:sz w:val="24"/>
          <w:szCs w:val="24"/>
          <w:lang w:val="en-US"/>
        </w:rPr>
        <w:t>for appropriate guidance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ask the WP.29 </w:t>
      </w:r>
      <w:r w:rsidR="006371E2">
        <w:rPr>
          <w:rFonts w:ascii="Times New Roman" w:hAnsi="Times New Roman" w:cs="Times New Roman"/>
          <w:sz w:val="24"/>
          <w:szCs w:val="24"/>
          <w:lang w:val="en-US"/>
        </w:rPr>
        <w:t>guidance</w:t>
      </w:r>
      <w:r w:rsidRPr="00FC14E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55CC0DA" w14:textId="56045EEA" w:rsidR="00FC14E7" w:rsidRPr="006371E2" w:rsidRDefault="00FC14E7" w:rsidP="006371E2">
      <w:pPr>
        <w:pStyle w:val="Heading1"/>
        <w:ind w:firstLine="708"/>
        <w:rPr>
          <w:b/>
          <w:lang w:val="en-GB"/>
        </w:rPr>
      </w:pPr>
      <w:r w:rsidRPr="00D308DE">
        <w:rPr>
          <w:rFonts w:eastAsia="Calibri"/>
          <w:b/>
          <w:lang w:val="en-US" w:eastAsia="en-GB"/>
        </w:rPr>
        <w:t>I</w:t>
      </w:r>
      <w:r w:rsidR="00452396" w:rsidRPr="008467D4">
        <w:rPr>
          <w:b/>
          <w:lang w:val="en-GB"/>
        </w:rPr>
        <w:t>V.</w:t>
      </w:r>
      <w:r w:rsidR="00452396" w:rsidRPr="008467D4">
        <w:rPr>
          <w:lang w:val="en-GB"/>
        </w:rPr>
        <w:t xml:space="preserve"> </w:t>
      </w:r>
      <w:r w:rsidR="00452396">
        <w:rPr>
          <w:b/>
          <w:lang w:val="en-GB"/>
        </w:rPr>
        <w:t>A</w:t>
      </w:r>
      <w:r w:rsidR="00452396" w:rsidRPr="00452396">
        <w:rPr>
          <w:b/>
          <w:lang w:val="en-GB"/>
        </w:rPr>
        <w:t>ccess to vehicles data</w:t>
      </w:r>
    </w:p>
    <w:p w14:paraId="1974D92C" w14:textId="4668D679" w:rsidR="006371E2" w:rsidRPr="006371E2" w:rsidRDefault="00452396" w:rsidP="006371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467D4">
        <w:rPr>
          <w:sz w:val="24"/>
          <w:szCs w:val="24"/>
          <w:lang w:val="en-GB"/>
        </w:rPr>
        <w:tab/>
      </w:r>
      <w:r w:rsidRPr="006371E2">
        <w:rPr>
          <w:rFonts w:ascii="Times New Roman" w:hAnsi="Times New Roman" w:cs="Times New Roman"/>
          <w:sz w:val="24"/>
          <w:szCs w:val="24"/>
          <w:lang w:val="en-GB"/>
        </w:rPr>
        <w:t xml:space="preserve">The group considered information about </w:t>
      </w:r>
      <w:r w:rsidR="00F7207C" w:rsidRPr="006371E2">
        <w:rPr>
          <w:rFonts w:ascii="Times New Roman" w:hAnsi="Times New Roman" w:cs="Times New Roman"/>
          <w:sz w:val="24"/>
          <w:szCs w:val="24"/>
          <w:lang w:val="en-GB"/>
        </w:rPr>
        <w:t>sovereign cases related to</w:t>
      </w:r>
      <w:r w:rsidR="006371E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7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DETA d</w:t>
      </w:r>
      <w:r w:rsidR="006371E2" w:rsidRPr="00637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atabase</w:t>
      </w:r>
    </w:p>
    <w:p w14:paraId="7EABD66B" w14:textId="7278A126" w:rsidR="006371E2" w:rsidRPr="00FC14E7" w:rsidRDefault="006371E2" w:rsidP="006371E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unique i</w:t>
      </w:r>
      <w:r w:rsidRPr="006371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dentifier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It was highlighted whether DETA </w:t>
      </w:r>
      <w:r w:rsidRPr="00FC14E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limit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s</w:t>
      </w:r>
      <w:r w:rsidRPr="00FC14E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the access to information for</w:t>
      </w:r>
    </w:p>
    <w:p w14:paraId="20ED41BD" w14:textId="54C19570" w:rsidR="006371E2" w:rsidRPr="00FC14E7" w:rsidRDefault="006371E2" w:rsidP="00F227A5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  <w:r w:rsidRPr="00FC14E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sovereign activities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and hampers </w:t>
      </w:r>
      <w:r w:rsidRPr="00FC14E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vehicle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</w:t>
      </w:r>
      <w:r w:rsidRPr="00FC14E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compliance activities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. It was decided to ask the WP.29 guidance to keep the subject in the IWG on PTI agenda and coordinate </w:t>
      </w:r>
      <w:r w:rsidRPr="00FC14E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activities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 with </w:t>
      </w:r>
      <w:r w:rsidRPr="00FC14E7"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>the IWG DETA</w:t>
      </w:r>
      <w:r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  <w:t xml:space="preserve">. </w:t>
      </w:r>
    </w:p>
    <w:p w14:paraId="214DD2FD" w14:textId="4BC7A668" w:rsidR="006371E2" w:rsidRPr="00FC14E7" w:rsidRDefault="006371E2" w:rsidP="006371E2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val="en-US" w:eastAsia="ru-RU"/>
        </w:rPr>
      </w:pPr>
    </w:p>
    <w:p w14:paraId="2990B09D" w14:textId="3653EADE" w:rsidR="00F7207C" w:rsidRPr="00F227A5" w:rsidRDefault="006371E2" w:rsidP="00F2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2990B09E" w14:textId="0B38C0E1" w:rsidR="00452396" w:rsidRDefault="00B821DA" w:rsidP="00452396">
      <w:pPr>
        <w:pStyle w:val="SingleTxtG"/>
        <w:tabs>
          <w:tab w:val="left" w:pos="709"/>
        </w:tabs>
        <w:spacing w:after="0"/>
        <w:ind w:left="2880" w:right="4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</w:t>
      </w:r>
    </w:p>
    <w:p w14:paraId="2990B09F" w14:textId="77777777" w:rsidR="00194D39" w:rsidRDefault="00194D39" w:rsidP="00194D39">
      <w:pPr>
        <w:pStyle w:val="SingleTxtG"/>
        <w:tabs>
          <w:tab w:val="left" w:pos="709"/>
        </w:tabs>
        <w:spacing w:after="0"/>
        <w:ind w:left="0"/>
        <w:rPr>
          <w:sz w:val="24"/>
          <w:szCs w:val="24"/>
          <w:lang w:val="en-GB"/>
        </w:rPr>
      </w:pPr>
    </w:p>
    <w:p w14:paraId="2990B0A0" w14:textId="77777777" w:rsidR="00D83549" w:rsidRPr="00194D39" w:rsidRDefault="00D83549" w:rsidP="00194D39">
      <w:pPr>
        <w:pStyle w:val="SingleTxtG"/>
        <w:spacing w:before="0" w:after="0" w:line="240" w:lineRule="auto"/>
        <w:ind w:left="0" w:right="0"/>
        <w:jc w:val="both"/>
        <w:rPr>
          <w:sz w:val="24"/>
          <w:szCs w:val="24"/>
          <w:lang w:val="en-US"/>
        </w:rPr>
      </w:pPr>
    </w:p>
    <w:sectPr w:rsidR="00D83549" w:rsidRPr="0019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A752" w14:textId="77777777" w:rsidR="00524CA2" w:rsidRDefault="00524CA2" w:rsidP="00194D39">
      <w:pPr>
        <w:spacing w:after="0" w:line="240" w:lineRule="auto"/>
      </w:pPr>
      <w:r>
        <w:separator/>
      </w:r>
    </w:p>
  </w:endnote>
  <w:endnote w:type="continuationSeparator" w:id="0">
    <w:p w14:paraId="0DEEF3C9" w14:textId="77777777" w:rsidR="00524CA2" w:rsidRDefault="00524CA2" w:rsidP="001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9A87E" w14:textId="77777777" w:rsidR="00524CA2" w:rsidRDefault="00524CA2" w:rsidP="00194D39">
      <w:pPr>
        <w:spacing w:after="0" w:line="240" w:lineRule="auto"/>
      </w:pPr>
      <w:r>
        <w:separator/>
      </w:r>
    </w:p>
  </w:footnote>
  <w:footnote w:type="continuationSeparator" w:id="0">
    <w:p w14:paraId="5AA31BEF" w14:textId="77777777" w:rsidR="00524CA2" w:rsidRDefault="00524CA2" w:rsidP="001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8AF0586"/>
    <w:multiLevelType w:val="hybridMultilevel"/>
    <w:tmpl w:val="1795ACB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4E74C0"/>
    <w:multiLevelType w:val="hybridMultilevel"/>
    <w:tmpl w:val="1820CC70"/>
    <w:lvl w:ilvl="0" w:tplc="BFC6A302">
      <w:start w:val="3"/>
      <w:numFmt w:val="bullet"/>
      <w:lvlText w:val="-"/>
      <w:lvlJc w:val="left"/>
      <w:pPr>
        <w:ind w:left="10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C353538"/>
    <w:multiLevelType w:val="hybridMultilevel"/>
    <w:tmpl w:val="92C403D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>
      <w:start w:val="1"/>
      <w:numFmt w:val="lowerRoman"/>
      <w:lvlText w:val="%3."/>
      <w:lvlJc w:val="right"/>
      <w:pPr>
        <w:ind w:left="3294" w:hanging="180"/>
      </w:pPr>
    </w:lvl>
    <w:lvl w:ilvl="3" w:tplc="0809000F">
      <w:start w:val="1"/>
      <w:numFmt w:val="decimal"/>
      <w:lvlText w:val="%4."/>
      <w:lvlJc w:val="left"/>
      <w:pPr>
        <w:ind w:left="4014" w:hanging="360"/>
      </w:pPr>
    </w:lvl>
    <w:lvl w:ilvl="4" w:tplc="08090019">
      <w:start w:val="1"/>
      <w:numFmt w:val="lowerLetter"/>
      <w:lvlText w:val="%5."/>
      <w:lvlJc w:val="left"/>
      <w:pPr>
        <w:ind w:left="4734" w:hanging="360"/>
      </w:pPr>
    </w:lvl>
    <w:lvl w:ilvl="5" w:tplc="0809001B">
      <w:start w:val="1"/>
      <w:numFmt w:val="lowerRoman"/>
      <w:lvlText w:val="%6."/>
      <w:lvlJc w:val="right"/>
      <w:pPr>
        <w:ind w:left="5454" w:hanging="180"/>
      </w:pPr>
    </w:lvl>
    <w:lvl w:ilvl="6" w:tplc="0809000F">
      <w:start w:val="1"/>
      <w:numFmt w:val="decimal"/>
      <w:lvlText w:val="%7."/>
      <w:lvlJc w:val="left"/>
      <w:pPr>
        <w:ind w:left="6174" w:hanging="360"/>
      </w:pPr>
    </w:lvl>
    <w:lvl w:ilvl="7" w:tplc="08090019">
      <w:start w:val="1"/>
      <w:numFmt w:val="lowerLetter"/>
      <w:lvlText w:val="%8."/>
      <w:lvlJc w:val="left"/>
      <w:pPr>
        <w:ind w:left="6894" w:hanging="360"/>
      </w:pPr>
    </w:lvl>
    <w:lvl w:ilvl="8" w:tplc="0809001B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CD303B1"/>
    <w:multiLevelType w:val="hybridMultilevel"/>
    <w:tmpl w:val="9D1CC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00B45"/>
    <w:multiLevelType w:val="hybridMultilevel"/>
    <w:tmpl w:val="E5E2C16E"/>
    <w:lvl w:ilvl="0" w:tplc="85B63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49"/>
    <w:rsid w:val="00091ABC"/>
    <w:rsid w:val="000930E5"/>
    <w:rsid w:val="000B6D2C"/>
    <w:rsid w:val="001057FD"/>
    <w:rsid w:val="00194D39"/>
    <w:rsid w:val="001B004C"/>
    <w:rsid w:val="001C43E3"/>
    <w:rsid w:val="001D166F"/>
    <w:rsid w:val="00263BA1"/>
    <w:rsid w:val="00267CDF"/>
    <w:rsid w:val="00295838"/>
    <w:rsid w:val="002C3870"/>
    <w:rsid w:val="0030424E"/>
    <w:rsid w:val="003F0713"/>
    <w:rsid w:val="003F5244"/>
    <w:rsid w:val="00445829"/>
    <w:rsid w:val="00452396"/>
    <w:rsid w:val="004C57D4"/>
    <w:rsid w:val="0050776A"/>
    <w:rsid w:val="00524CA2"/>
    <w:rsid w:val="00530571"/>
    <w:rsid w:val="0055652A"/>
    <w:rsid w:val="006371E2"/>
    <w:rsid w:val="006A194E"/>
    <w:rsid w:val="00791AF4"/>
    <w:rsid w:val="007936CE"/>
    <w:rsid w:val="007A515B"/>
    <w:rsid w:val="007B64B3"/>
    <w:rsid w:val="008467D4"/>
    <w:rsid w:val="0085576E"/>
    <w:rsid w:val="008759B2"/>
    <w:rsid w:val="008B6948"/>
    <w:rsid w:val="009257D8"/>
    <w:rsid w:val="00940985"/>
    <w:rsid w:val="009F33BE"/>
    <w:rsid w:val="00A457F1"/>
    <w:rsid w:val="00A76CE4"/>
    <w:rsid w:val="00A92DED"/>
    <w:rsid w:val="00AC6815"/>
    <w:rsid w:val="00AE783A"/>
    <w:rsid w:val="00AF0389"/>
    <w:rsid w:val="00B10BE8"/>
    <w:rsid w:val="00B821DA"/>
    <w:rsid w:val="00BB1E43"/>
    <w:rsid w:val="00BD1523"/>
    <w:rsid w:val="00BD6CA3"/>
    <w:rsid w:val="00C24882"/>
    <w:rsid w:val="00C81743"/>
    <w:rsid w:val="00CA599C"/>
    <w:rsid w:val="00CD1350"/>
    <w:rsid w:val="00CE0953"/>
    <w:rsid w:val="00CE64F7"/>
    <w:rsid w:val="00D308DE"/>
    <w:rsid w:val="00D44516"/>
    <w:rsid w:val="00D711FF"/>
    <w:rsid w:val="00D83549"/>
    <w:rsid w:val="00DD2D26"/>
    <w:rsid w:val="00DD667C"/>
    <w:rsid w:val="00E17EED"/>
    <w:rsid w:val="00E71A09"/>
    <w:rsid w:val="00ED16D2"/>
    <w:rsid w:val="00F227A5"/>
    <w:rsid w:val="00F7207C"/>
    <w:rsid w:val="00F83817"/>
    <w:rsid w:val="00FB4C3C"/>
    <w:rsid w:val="00FB537F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0B083"/>
  <w15:docId w15:val="{B0BBBF55-36FC-44C6-95C7-2EEFB2F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C24882"/>
    <w:pPr>
      <w:keepNext/>
      <w:keepLines/>
      <w:suppressAutoHyphens/>
      <w:spacing w:before="240" w:after="0" w:line="240" w:lineRule="auto"/>
      <w:ind w:right="6" w:firstLine="360"/>
      <w:jc w:val="both"/>
      <w:outlineLvl w:val="0"/>
    </w:pPr>
    <w:rPr>
      <w:rFonts w:ascii="Times New Roman" w:eastAsia="MS Mincho" w:hAnsi="Times New Roman" w:cs="Times New Roman"/>
      <w:sz w:val="24"/>
      <w:szCs w:val="24"/>
      <w:lang w:val="fr-FR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4882"/>
    <w:rPr>
      <w:rFonts w:ascii="Times New Roman" w:eastAsia="MS Mincho" w:hAnsi="Times New Roman" w:cs="Times New Roman"/>
      <w:sz w:val="24"/>
      <w:szCs w:val="24"/>
      <w:lang w:val="fr-FR" w:eastAsia="x-none"/>
    </w:rPr>
  </w:style>
  <w:style w:type="character" w:styleId="SubtleReference">
    <w:name w:val="Subtle Reference"/>
    <w:uiPriority w:val="31"/>
    <w:qFormat/>
    <w:rsid w:val="00D83549"/>
    <w:rPr>
      <w:sz w:val="24"/>
      <w:szCs w:val="24"/>
      <w:lang w:val="en-GB"/>
    </w:rPr>
  </w:style>
  <w:style w:type="paragraph" w:customStyle="1" w:styleId="SingleTxtG">
    <w:name w:val="_ Single Txt_G"/>
    <w:basedOn w:val="Normal"/>
    <w:link w:val="SingleTxtGChar"/>
    <w:qFormat/>
    <w:rsid w:val="00D83549"/>
    <w:pPr>
      <w:suppressAutoHyphens/>
      <w:spacing w:before="240" w:after="240" w:line="240" w:lineRule="atLeast"/>
      <w:ind w:left="1134" w:right="113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ingleTxtGChar">
    <w:name w:val="_ Single Txt_G Char"/>
    <w:link w:val="SingleTxtG"/>
    <w:rsid w:val="00D8354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HChG">
    <w:name w:val="_ H _Ch_G"/>
    <w:basedOn w:val="Normal"/>
    <w:next w:val="Normal"/>
    <w:link w:val="HChGChar"/>
    <w:qFormat/>
    <w:rsid w:val="004C57D4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ChGChar">
    <w:name w:val="_ H _Ch_G Char"/>
    <w:link w:val="HChG"/>
    <w:rsid w:val="004C57D4"/>
    <w:rPr>
      <w:rFonts w:ascii="Times New Roman" w:eastAsia="Times New Roman" w:hAnsi="Times New Roman" w:cs="Times New Roman"/>
      <w:b/>
      <w:sz w:val="28"/>
      <w:szCs w:val="20"/>
      <w:lang w:val="en-GB"/>
    </w:rPr>
  </w:style>
  <w:style w:type="table" w:styleId="TableGrid">
    <w:name w:val="Table Grid"/>
    <w:basedOn w:val="TableNormal"/>
    <w:uiPriority w:val="59"/>
    <w:rsid w:val="004C5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40985"/>
    <w:rPr>
      <w:color w:val="auto"/>
      <w:u w:val="none"/>
    </w:rPr>
  </w:style>
  <w:style w:type="paragraph" w:styleId="ListParagraph">
    <w:name w:val="List Paragraph"/>
    <w:basedOn w:val="Normal"/>
    <w:uiPriority w:val="34"/>
    <w:qFormat/>
    <w:rsid w:val="00940985"/>
    <w:pPr>
      <w:suppressAutoHyphens/>
      <w:spacing w:before="240" w:after="240" w:line="240" w:lineRule="atLeast"/>
      <w:ind w:left="720" w:right="4"/>
      <w:contextualSpacing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4D39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D39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194D3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8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817"/>
  </w:style>
  <w:style w:type="paragraph" w:styleId="Footer">
    <w:name w:val="footer"/>
    <w:basedOn w:val="Normal"/>
    <w:link w:val="FooterChar"/>
    <w:uiPriority w:val="99"/>
    <w:unhideWhenUsed/>
    <w:rsid w:val="00F8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6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95C186-EAC3-431D-9698-0D1E936CE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4D3917-CEAB-4ACD-AF72-1FA10BE128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43D86A-5500-482D-9DE1-391AEC6A77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Benedicte Boudol</cp:lastModifiedBy>
  <cp:revision>2</cp:revision>
  <cp:lastPrinted>2022-03-08T08:19:00Z</cp:lastPrinted>
  <dcterms:created xsi:type="dcterms:W3CDTF">2022-03-08T08:21:00Z</dcterms:created>
  <dcterms:modified xsi:type="dcterms:W3CDTF">2022-03-08T08:21:00Z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