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27E87" w:rsidRPr="00227E87"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27E8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243DE0B" w:rsidR="008B60F7" w:rsidRPr="00227E87" w:rsidRDefault="000A1C76" w:rsidP="008B60F7">
            <w:pPr>
              <w:jc w:val="right"/>
            </w:pPr>
            <w:r w:rsidRPr="00227E87">
              <w:rPr>
                <w:sz w:val="40"/>
              </w:rPr>
              <w:t>E</w:t>
            </w:r>
            <w:r w:rsidRPr="00227E87">
              <w:t>/ECE/324/Rev.</w:t>
            </w:r>
            <w:r w:rsidR="00C31970" w:rsidRPr="00227E87">
              <w:t>2</w:t>
            </w:r>
            <w:r w:rsidRPr="00227E87">
              <w:t>/Add.</w:t>
            </w:r>
            <w:r w:rsidR="00870D6D" w:rsidRPr="00227E87">
              <w:t>100</w:t>
            </w:r>
            <w:r w:rsidRPr="00227E87">
              <w:t>/Rev.</w:t>
            </w:r>
            <w:r w:rsidR="00870D6D" w:rsidRPr="00227E87">
              <w:t>3</w:t>
            </w:r>
            <w:r w:rsidRPr="00227E87">
              <w:t>/Amend.</w:t>
            </w:r>
            <w:r w:rsidR="006C45E4" w:rsidRPr="00227E87">
              <w:t>9</w:t>
            </w:r>
            <w:r w:rsidRPr="00227E87">
              <w:t>−</w:t>
            </w:r>
            <w:r w:rsidRPr="00227E87">
              <w:rPr>
                <w:sz w:val="40"/>
              </w:rPr>
              <w:t>E</w:t>
            </w:r>
            <w:r w:rsidRPr="00227E87">
              <w:t>/ECE/TRANS/505/Rev.</w:t>
            </w:r>
            <w:r w:rsidR="00C31970" w:rsidRPr="00227E87">
              <w:t>2</w:t>
            </w:r>
            <w:r w:rsidRPr="00227E87">
              <w:t>/Add.</w:t>
            </w:r>
            <w:r w:rsidR="00870D6D" w:rsidRPr="00227E87">
              <w:t>100</w:t>
            </w:r>
            <w:r w:rsidRPr="00227E87">
              <w:t>/Rev.</w:t>
            </w:r>
            <w:r w:rsidR="00870D6D" w:rsidRPr="00227E87">
              <w:t>3</w:t>
            </w:r>
            <w:r w:rsidRPr="00227E87">
              <w:t>/Amend.</w:t>
            </w:r>
            <w:r w:rsidR="006C45E4" w:rsidRPr="00227E87">
              <w:t>9</w:t>
            </w:r>
          </w:p>
        </w:tc>
      </w:tr>
      <w:tr w:rsidR="00227E87" w:rsidRPr="00227E87" w14:paraId="75E098F7" w14:textId="77777777" w:rsidTr="00870D6D">
        <w:trPr>
          <w:cantSplit/>
          <w:trHeight w:hRule="exact" w:val="1712"/>
        </w:trPr>
        <w:tc>
          <w:tcPr>
            <w:tcW w:w="1276" w:type="dxa"/>
            <w:tcBorders>
              <w:top w:val="single" w:sz="4" w:space="0" w:color="auto"/>
              <w:bottom w:val="single" w:sz="12" w:space="0" w:color="auto"/>
            </w:tcBorders>
          </w:tcPr>
          <w:p w14:paraId="78499250" w14:textId="77777777" w:rsidR="008B60F7" w:rsidRPr="00227E8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227E87"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227E87" w:rsidRDefault="008B60F7" w:rsidP="008B60F7">
            <w:pPr>
              <w:spacing w:before="120"/>
              <w:rPr>
                <w:highlight w:val="yellow"/>
              </w:rPr>
            </w:pPr>
          </w:p>
          <w:p w14:paraId="5F566627" w14:textId="77777777" w:rsidR="008B60F7" w:rsidRPr="00227E87" w:rsidRDefault="008B60F7" w:rsidP="008B60F7">
            <w:pPr>
              <w:spacing w:before="120"/>
              <w:rPr>
                <w:highlight w:val="yellow"/>
              </w:rPr>
            </w:pPr>
          </w:p>
          <w:p w14:paraId="1099C328" w14:textId="3A5EFD65" w:rsidR="008B60F7" w:rsidRPr="00227E87" w:rsidRDefault="00227E87" w:rsidP="008B60F7">
            <w:pPr>
              <w:spacing w:before="120"/>
              <w:rPr>
                <w:highlight w:val="yellow"/>
              </w:rPr>
            </w:pPr>
            <w:r>
              <w:t>21 March</w:t>
            </w:r>
            <w:r w:rsidR="00E679C3" w:rsidRPr="00227E87">
              <w:t xml:space="preserve"> </w:t>
            </w:r>
            <w:r w:rsidR="008B60F7" w:rsidRPr="00227E87">
              <w:t>20</w:t>
            </w:r>
            <w:r w:rsidR="007B1EC7" w:rsidRPr="00227E87">
              <w:t>2</w:t>
            </w:r>
            <w:r w:rsidR="006C45E4" w:rsidRPr="00227E87">
              <w:t>2</w:t>
            </w:r>
          </w:p>
        </w:tc>
      </w:tr>
    </w:tbl>
    <w:p w14:paraId="445927DA" w14:textId="77777777" w:rsidR="008B60F7" w:rsidRPr="00227E87" w:rsidRDefault="008B60F7" w:rsidP="008B60F7">
      <w:pPr>
        <w:pStyle w:val="HChG"/>
        <w:spacing w:before="240" w:after="120"/>
      </w:pPr>
      <w:r w:rsidRPr="00227E87">
        <w:tab/>
      </w:r>
      <w:r w:rsidRPr="00227E87">
        <w:tab/>
      </w:r>
      <w:bookmarkStart w:id="3" w:name="_Toc340666199"/>
      <w:bookmarkStart w:id="4" w:name="_Toc340745062"/>
      <w:r w:rsidRPr="00227E87">
        <w:t>Agreement</w:t>
      </w:r>
      <w:bookmarkEnd w:id="3"/>
      <w:bookmarkEnd w:id="4"/>
    </w:p>
    <w:p w14:paraId="2B5AB43B" w14:textId="77777777" w:rsidR="008B60F7" w:rsidRPr="00227E87" w:rsidRDefault="008B60F7" w:rsidP="008B60F7">
      <w:pPr>
        <w:pStyle w:val="H1G"/>
        <w:spacing w:before="240"/>
      </w:pPr>
      <w:r w:rsidRPr="00227E87">
        <w:rPr>
          <w:rStyle w:val="H1GChar"/>
        </w:rPr>
        <w:tab/>
      </w:r>
      <w:r w:rsidRPr="00227E87">
        <w:rPr>
          <w:rStyle w:val="H1GChar"/>
        </w:rPr>
        <w:tab/>
      </w:r>
      <w:r w:rsidRPr="00227E87">
        <w:t>Concerning the</w:t>
      </w:r>
      <w:r w:rsidRPr="00227E87">
        <w:rPr>
          <w:smallCaps/>
        </w:rPr>
        <w:t xml:space="preserve"> </w:t>
      </w:r>
      <w:r w:rsidRPr="00227E8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27E87">
        <w:rPr>
          <w:rStyle w:val="FootnoteReference"/>
          <w:b w:val="0"/>
          <w:sz w:val="20"/>
          <w:vertAlign w:val="baseline"/>
        </w:rPr>
        <w:footnoteReference w:customMarkFollows="1" w:id="2"/>
        <w:t>*</w:t>
      </w:r>
    </w:p>
    <w:p w14:paraId="51C113B3" w14:textId="77777777" w:rsidR="008B60F7" w:rsidRPr="00227E87" w:rsidRDefault="008B60F7" w:rsidP="008B60F7">
      <w:pPr>
        <w:pStyle w:val="SingleTxtG"/>
        <w:spacing w:before="120"/>
      </w:pPr>
      <w:r w:rsidRPr="00227E87">
        <w:t>(Revision 3, including the amendments which entered into force on 14 September 2017)</w:t>
      </w:r>
    </w:p>
    <w:p w14:paraId="771D92D0" w14:textId="77777777" w:rsidR="008B60F7" w:rsidRPr="00227E87" w:rsidRDefault="008B60F7" w:rsidP="008B60F7">
      <w:pPr>
        <w:pStyle w:val="H1G"/>
        <w:spacing w:before="120"/>
        <w:ind w:left="0" w:right="0" w:firstLine="0"/>
        <w:jc w:val="center"/>
      </w:pPr>
      <w:r w:rsidRPr="00227E87">
        <w:t>_________</w:t>
      </w:r>
    </w:p>
    <w:p w14:paraId="44963F22" w14:textId="507141F4" w:rsidR="008B60F7" w:rsidRPr="00227E87" w:rsidRDefault="008B60F7" w:rsidP="008B60F7">
      <w:pPr>
        <w:pStyle w:val="H1G"/>
        <w:spacing w:before="240" w:after="120"/>
      </w:pPr>
      <w:r w:rsidRPr="00227E87">
        <w:tab/>
      </w:r>
      <w:r w:rsidRPr="00227E87">
        <w:tab/>
        <w:t xml:space="preserve">Addendum </w:t>
      </w:r>
      <w:r w:rsidR="00870D6D" w:rsidRPr="00227E87">
        <w:t>100</w:t>
      </w:r>
      <w:r w:rsidRPr="00227E87">
        <w:t xml:space="preserve"> – UN Regulation No. </w:t>
      </w:r>
      <w:r w:rsidR="00870D6D" w:rsidRPr="00227E87">
        <w:t>101</w:t>
      </w:r>
    </w:p>
    <w:p w14:paraId="5300C1B5" w14:textId="7F18C15F" w:rsidR="008B60F7" w:rsidRPr="00227E87" w:rsidRDefault="008B60F7" w:rsidP="008B60F7">
      <w:pPr>
        <w:pStyle w:val="H1G"/>
        <w:spacing w:before="240"/>
      </w:pPr>
      <w:r w:rsidRPr="00227E87">
        <w:tab/>
      </w:r>
      <w:r w:rsidRPr="00227E87">
        <w:tab/>
      </w:r>
      <w:r w:rsidR="003F5657" w:rsidRPr="00227E87">
        <w:t xml:space="preserve">Revision </w:t>
      </w:r>
      <w:r w:rsidR="00870D6D" w:rsidRPr="00227E87">
        <w:t>3</w:t>
      </w:r>
      <w:r w:rsidR="003F5657" w:rsidRPr="00227E87">
        <w:t xml:space="preserve"> - </w:t>
      </w:r>
      <w:r w:rsidRPr="00227E87">
        <w:t xml:space="preserve">Amendment </w:t>
      </w:r>
      <w:r w:rsidR="006C45E4" w:rsidRPr="00227E87">
        <w:t>9</w:t>
      </w:r>
    </w:p>
    <w:p w14:paraId="5F142C19" w14:textId="5AD38D8F" w:rsidR="008B60F7" w:rsidRPr="00227E87" w:rsidRDefault="00870D6D" w:rsidP="008B60F7">
      <w:pPr>
        <w:pStyle w:val="SingleTxtG"/>
        <w:spacing w:after="360"/>
        <w:rPr>
          <w:spacing w:val="-2"/>
        </w:rPr>
      </w:pPr>
      <w:r w:rsidRPr="00227E87">
        <w:rPr>
          <w:spacing w:val="-2"/>
        </w:rPr>
        <w:t xml:space="preserve">Supplement </w:t>
      </w:r>
      <w:r w:rsidR="006746D2" w:rsidRPr="00227E87">
        <w:rPr>
          <w:spacing w:val="-2"/>
        </w:rPr>
        <w:t>10</w:t>
      </w:r>
      <w:r w:rsidRPr="00227E87">
        <w:rPr>
          <w:spacing w:val="-2"/>
        </w:rPr>
        <w:t xml:space="preserve"> to the </w:t>
      </w:r>
      <w:r w:rsidR="00AF671C" w:rsidRPr="00227E87">
        <w:rPr>
          <w:spacing w:val="-2"/>
        </w:rPr>
        <w:t>0</w:t>
      </w:r>
      <w:r w:rsidRPr="00227E87">
        <w:rPr>
          <w:spacing w:val="-2"/>
        </w:rPr>
        <w:t>1</w:t>
      </w:r>
      <w:r w:rsidR="003F5657" w:rsidRPr="00227E87">
        <w:rPr>
          <w:spacing w:val="-2"/>
        </w:rPr>
        <w:t xml:space="preserve"> series of amendments</w:t>
      </w:r>
      <w:r w:rsidR="008B60F7" w:rsidRPr="00227E87">
        <w:rPr>
          <w:spacing w:val="-2"/>
        </w:rPr>
        <w:t xml:space="preserve"> – Date of entry into force: </w:t>
      </w:r>
      <w:r w:rsidR="006746D2" w:rsidRPr="00227E87">
        <w:t>7</w:t>
      </w:r>
      <w:r w:rsidR="008B60F7" w:rsidRPr="00227E87">
        <w:t xml:space="preserve"> </w:t>
      </w:r>
      <w:r w:rsidR="001263B9" w:rsidRPr="00227E87">
        <w:t>January</w:t>
      </w:r>
      <w:r w:rsidR="008B60F7" w:rsidRPr="00227E87">
        <w:t xml:space="preserve"> 20</w:t>
      </w:r>
      <w:r w:rsidR="007B1EC7" w:rsidRPr="00227E87">
        <w:t>2</w:t>
      </w:r>
      <w:r w:rsidR="006746D2" w:rsidRPr="00227E87">
        <w:t>2</w:t>
      </w:r>
    </w:p>
    <w:p w14:paraId="285A6550" w14:textId="325940F6" w:rsidR="007842B3" w:rsidRPr="00227E87" w:rsidRDefault="008B60F7" w:rsidP="00461688">
      <w:pPr>
        <w:pStyle w:val="H1G"/>
        <w:spacing w:before="120" w:after="120" w:line="240" w:lineRule="exact"/>
        <w:ind w:left="1138" w:right="1138" w:hanging="1138"/>
      </w:pPr>
      <w:r w:rsidRPr="00227E87">
        <w:rPr>
          <w:lang w:val="en-US"/>
        </w:rPr>
        <w:tab/>
      </w:r>
      <w:r w:rsidRPr="00227E87">
        <w:rPr>
          <w:lang w:val="en-US"/>
        </w:rPr>
        <w:tab/>
      </w:r>
      <w:r w:rsidR="00870D6D" w:rsidRPr="00227E87">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870D6D" w:rsidRPr="00227E87">
        <w:rPr>
          <w:vertAlign w:val="subscript"/>
        </w:rPr>
        <w:t>1</w:t>
      </w:r>
      <w:r w:rsidR="00870D6D" w:rsidRPr="00227E87">
        <w:t xml:space="preserve"> and N</w:t>
      </w:r>
      <w:r w:rsidR="00870D6D" w:rsidRPr="00227E87">
        <w:rPr>
          <w:vertAlign w:val="subscript"/>
        </w:rPr>
        <w:t>1</w:t>
      </w:r>
      <w:r w:rsidR="00870D6D" w:rsidRPr="00227E87">
        <w:t xml:space="preserve"> vehicles powered by an electric power train only with regard to the measurement of electric energy consumption and electric range</w:t>
      </w:r>
    </w:p>
    <w:p w14:paraId="45A138D6" w14:textId="33C8C1D5" w:rsidR="008B60F7" w:rsidRPr="00227E87" w:rsidRDefault="008B60F7" w:rsidP="008B60F7">
      <w:pPr>
        <w:pStyle w:val="SingleTxtG"/>
        <w:spacing w:after="40"/>
        <w:rPr>
          <w:lang w:eastAsia="en-GB"/>
        </w:rPr>
      </w:pPr>
      <w:r w:rsidRPr="00227E87">
        <w:rPr>
          <w:spacing w:val="-4"/>
          <w:lang w:eastAsia="en-GB"/>
        </w:rPr>
        <w:t>This document is meant purely as documentation tool. The authentic and legal binding text is:</w:t>
      </w:r>
      <w:r w:rsidRPr="00227E87">
        <w:rPr>
          <w:lang w:eastAsia="en-GB"/>
        </w:rPr>
        <w:t xml:space="preserve"> </w:t>
      </w:r>
      <w:r w:rsidRPr="00227E87">
        <w:rPr>
          <w:spacing w:val="-6"/>
          <w:lang w:eastAsia="en-GB"/>
        </w:rPr>
        <w:t>ECE/TRANS/WP.29/20</w:t>
      </w:r>
      <w:r w:rsidR="007B1EC7" w:rsidRPr="00227E87">
        <w:rPr>
          <w:spacing w:val="-6"/>
          <w:lang w:eastAsia="en-GB"/>
        </w:rPr>
        <w:t>2</w:t>
      </w:r>
      <w:r w:rsidR="0059586D" w:rsidRPr="00227E87">
        <w:rPr>
          <w:spacing w:val="-6"/>
          <w:lang w:eastAsia="en-GB"/>
        </w:rPr>
        <w:t>1</w:t>
      </w:r>
      <w:r w:rsidRPr="00227E87">
        <w:rPr>
          <w:spacing w:val="-6"/>
          <w:lang w:eastAsia="en-GB"/>
        </w:rPr>
        <w:t>/</w:t>
      </w:r>
      <w:r w:rsidR="0059586D" w:rsidRPr="00227E87">
        <w:rPr>
          <w:spacing w:val="-6"/>
          <w:lang w:eastAsia="en-GB"/>
        </w:rPr>
        <w:t>71</w:t>
      </w:r>
      <w:r w:rsidR="00BF62AB" w:rsidRPr="00227E87">
        <w:rPr>
          <w:spacing w:val="-6"/>
          <w:lang w:eastAsia="en-GB"/>
        </w:rPr>
        <w:t>.</w:t>
      </w:r>
    </w:p>
    <w:p w14:paraId="550E56C3" w14:textId="77777777" w:rsidR="008B60F7" w:rsidRPr="00227E87" w:rsidRDefault="008B60F7" w:rsidP="008B60F7">
      <w:pPr>
        <w:suppressAutoHyphens w:val="0"/>
        <w:spacing w:line="240" w:lineRule="auto"/>
        <w:jc w:val="center"/>
        <w:rPr>
          <w:b/>
          <w:sz w:val="24"/>
        </w:rPr>
      </w:pPr>
      <w:r w:rsidRPr="00227E87">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27E87">
        <w:rPr>
          <w:b/>
          <w:sz w:val="24"/>
        </w:rPr>
        <w:t>_________</w:t>
      </w:r>
    </w:p>
    <w:p w14:paraId="0F900740" w14:textId="2685FBC2" w:rsidR="001A4797" w:rsidRPr="00A26770" w:rsidRDefault="008B60F7" w:rsidP="00F979CC">
      <w:pPr>
        <w:pStyle w:val="SingleTxtG"/>
        <w:jc w:val="center"/>
        <w:rPr>
          <w:bCs/>
        </w:rPr>
      </w:pPr>
      <w:r w:rsidRPr="00227E87">
        <w:rPr>
          <w:b/>
          <w:sz w:val="24"/>
        </w:rPr>
        <w:t>UNITED NATIONS</w:t>
      </w:r>
      <w:bookmarkEnd w:id="1"/>
      <w:r w:rsidR="007B1EC7">
        <w:rPr>
          <w:b/>
          <w:sz w:val="24"/>
        </w:rPr>
        <w:br w:type="page"/>
      </w:r>
      <w:bookmarkEnd w:id="2"/>
    </w:p>
    <w:p w14:paraId="7B4B1A8B" w14:textId="77777777" w:rsidR="009D59AA" w:rsidRDefault="009D59AA" w:rsidP="009D59AA">
      <w:pPr>
        <w:spacing w:after="120"/>
        <w:ind w:left="1134" w:right="1134"/>
        <w:rPr>
          <w:rFonts w:eastAsia="MS Mincho"/>
          <w:i/>
        </w:rPr>
      </w:pPr>
    </w:p>
    <w:p w14:paraId="23123C56" w14:textId="2C956B88" w:rsidR="009D59AA" w:rsidRDefault="009D59AA" w:rsidP="009D59AA">
      <w:pPr>
        <w:spacing w:after="120"/>
        <w:ind w:left="1134" w:right="1134"/>
        <w:rPr>
          <w:rFonts w:eastAsia="MS Mincho"/>
          <w:i/>
        </w:rPr>
      </w:pPr>
      <w:r w:rsidRPr="0019692A">
        <w:rPr>
          <w:rFonts w:eastAsia="MS Mincho"/>
          <w:i/>
        </w:rPr>
        <w:t>Annex 7</w:t>
      </w:r>
      <w:r>
        <w:rPr>
          <w:rFonts w:eastAsia="MS Mincho"/>
          <w:i/>
        </w:rPr>
        <w:t xml:space="preserve"> – Appendix 2</w:t>
      </w:r>
    </w:p>
    <w:p w14:paraId="0DA17740" w14:textId="77777777" w:rsidR="009D59AA" w:rsidRPr="0019692A" w:rsidRDefault="009D59AA" w:rsidP="009D59AA">
      <w:pPr>
        <w:spacing w:after="120"/>
        <w:ind w:left="1134" w:right="1134"/>
        <w:rPr>
          <w:rFonts w:eastAsia="MS Mincho"/>
          <w:iCs/>
        </w:rPr>
      </w:pPr>
      <w:r>
        <w:rPr>
          <w:rFonts w:eastAsia="MS Mincho"/>
          <w:i/>
        </w:rPr>
        <w:t>P</w:t>
      </w:r>
      <w:r w:rsidRPr="0019692A">
        <w:rPr>
          <w:rFonts w:eastAsia="MS Mincho"/>
          <w:i/>
        </w:rPr>
        <w:t xml:space="preserve">aragraph 1., </w:t>
      </w:r>
      <w:r w:rsidRPr="0019692A">
        <w:rPr>
          <w:rFonts w:eastAsia="MS Mincho"/>
          <w:iCs/>
        </w:rPr>
        <w:t>amend to read:</w:t>
      </w:r>
    </w:p>
    <w:p w14:paraId="06689B16" w14:textId="77777777" w:rsidR="009D59AA" w:rsidRPr="0019692A" w:rsidRDefault="009D59AA" w:rsidP="009D59AA">
      <w:pPr>
        <w:spacing w:after="120"/>
        <w:ind w:left="2259" w:right="1134" w:hanging="1125"/>
        <w:jc w:val="both"/>
        <w:rPr>
          <w:lang w:val="en-US" w:eastAsia="de-DE"/>
        </w:rPr>
      </w:pPr>
      <w:r w:rsidRPr="0019692A">
        <w:rPr>
          <w:rFonts w:eastAsia="SimSun"/>
          <w:kern w:val="2"/>
          <w:lang w:val="en-US" w:eastAsia="zh-CN"/>
        </w:rPr>
        <w:t>"1.</w:t>
      </w:r>
      <w:r w:rsidRPr="0019692A">
        <w:rPr>
          <w:rFonts w:eastAsia="MS Mincho"/>
          <w:kern w:val="2"/>
          <w:lang w:val="en-US" w:eastAsia="zh-CN"/>
        </w:rPr>
        <w:tab/>
      </w:r>
      <w:r w:rsidRPr="0019692A">
        <w:rPr>
          <w:rFonts w:eastAsia="SimSun"/>
          <w:lang w:val="en-US" w:eastAsia="zh-CN"/>
        </w:rPr>
        <w:t>Introduction</w:t>
      </w:r>
      <w:r w:rsidRPr="0019692A">
        <w:rPr>
          <w:lang w:val="en-US" w:eastAsia="de-DE"/>
        </w:rPr>
        <w:t xml:space="preserve"> </w:t>
      </w:r>
    </w:p>
    <w:p w14:paraId="76123D62" w14:textId="77777777" w:rsidR="009D59AA" w:rsidRPr="0019692A" w:rsidRDefault="009D59AA" w:rsidP="009D59AA">
      <w:pPr>
        <w:spacing w:after="120"/>
        <w:ind w:left="2259" w:right="1134"/>
        <w:jc w:val="both"/>
        <w:rPr>
          <w:lang w:val="en-US" w:eastAsia="de-DE"/>
        </w:rPr>
      </w:pPr>
      <w:r w:rsidRPr="0019692A">
        <w:rPr>
          <w:rFonts w:eastAsia="SimSun"/>
          <w:lang w:val="en-US" w:eastAsia="zh-CN"/>
        </w:rPr>
        <w:t>The purpose of this appendix is to provide the road load power calculation method that may be used, at the choice of manufacturer, when the vehicle road load has been determined according to WLTP procedures as defined in UN GTR No. 15."</w:t>
      </w:r>
    </w:p>
    <w:p w14:paraId="34C9C0C1" w14:textId="77777777" w:rsidR="009D59AA" w:rsidRPr="0019692A" w:rsidRDefault="009D59AA" w:rsidP="009D59AA">
      <w:pPr>
        <w:spacing w:after="120"/>
        <w:ind w:left="1134" w:right="1134"/>
        <w:rPr>
          <w:rFonts w:eastAsia="MS Mincho"/>
          <w:iCs/>
        </w:rPr>
      </w:pPr>
      <w:r>
        <w:rPr>
          <w:rFonts w:eastAsia="MS Mincho"/>
          <w:i/>
        </w:rPr>
        <w:t>P</w:t>
      </w:r>
      <w:r w:rsidRPr="0019692A">
        <w:rPr>
          <w:rFonts w:eastAsia="MS Mincho"/>
          <w:i/>
        </w:rPr>
        <w:t xml:space="preserve">aragraph 2.1., </w:t>
      </w:r>
      <w:r w:rsidRPr="0019692A">
        <w:rPr>
          <w:rFonts w:eastAsia="MS Mincho"/>
          <w:iCs/>
        </w:rPr>
        <w:t>amend to read:</w:t>
      </w:r>
    </w:p>
    <w:p w14:paraId="3AF4722C" w14:textId="77777777" w:rsidR="009D59AA" w:rsidRPr="0019692A" w:rsidRDefault="009D59AA" w:rsidP="009D59AA">
      <w:pPr>
        <w:spacing w:after="120"/>
        <w:ind w:left="2268" w:right="1134" w:hanging="1134"/>
        <w:jc w:val="both"/>
        <w:rPr>
          <w:rFonts w:eastAsia="MS Mincho"/>
        </w:rPr>
      </w:pPr>
      <w:r w:rsidRPr="0019692A">
        <w:rPr>
          <w:rFonts w:eastAsia="MS Mincho"/>
        </w:rPr>
        <w:t>"2.1.</w:t>
      </w:r>
      <w:r w:rsidRPr="0019692A">
        <w:rPr>
          <w:rFonts w:eastAsia="MS Mincho"/>
        </w:rPr>
        <w:tab/>
        <w:t>WLTP Road Load calculation of the vehicle</w:t>
      </w:r>
    </w:p>
    <w:p w14:paraId="4ECCD574" w14:textId="77777777" w:rsidR="009D59AA" w:rsidRPr="0019692A" w:rsidRDefault="009D59AA" w:rsidP="009D59AA">
      <w:pPr>
        <w:spacing w:after="120"/>
        <w:ind w:left="2268" w:right="1134"/>
        <w:jc w:val="both"/>
        <w:rPr>
          <w:rFonts w:eastAsia="MS Mincho"/>
        </w:rPr>
      </w:pPr>
      <w:r w:rsidRPr="0019692A">
        <w:rPr>
          <w:rFonts w:eastAsia="MS Mincho"/>
        </w:rPr>
        <w:t xml:space="preserve">The WLTP Road Load of the vehicle shall be determined according to UN GTR No. 15 Annex 4 or in case the vehicle is part of an interpolation family, according to Annex 7 point 3.2.3.2.2. </w:t>
      </w:r>
      <w:r>
        <w:rPr>
          <w:rFonts w:eastAsia="MS Mincho"/>
        </w:rPr>
        <w:t>"</w:t>
      </w:r>
      <w:r w:rsidRPr="0019692A">
        <w:rPr>
          <w:rFonts w:eastAsia="MS Mincho"/>
        </w:rPr>
        <w:t>Road Load calculation for an individual vehicle</w:t>
      </w:r>
      <w:r>
        <w:rPr>
          <w:rFonts w:eastAsia="MS Mincho"/>
        </w:rPr>
        <w:t>"</w:t>
      </w:r>
      <w:r w:rsidRPr="0019692A">
        <w:rPr>
          <w:rFonts w:eastAsia="MS Mincho"/>
        </w:rPr>
        <w:t xml:space="preserve"> considering as input parameters of the individual vehicle: </w:t>
      </w:r>
    </w:p>
    <w:p w14:paraId="2325AA52" w14:textId="77777777" w:rsidR="009D59AA" w:rsidRPr="0019692A" w:rsidRDefault="009D59AA" w:rsidP="009D59AA">
      <w:pPr>
        <w:spacing w:after="120"/>
        <w:ind w:left="1701" w:right="1134" w:firstLine="567"/>
        <w:jc w:val="both"/>
        <w:rPr>
          <w:rFonts w:eastAsia="MS Mincho"/>
        </w:rPr>
      </w:pPr>
      <w:r w:rsidRPr="0019692A">
        <w:t>(a)</w:t>
      </w:r>
      <w:r w:rsidRPr="0019692A">
        <w:tab/>
        <w:t>The Test Mass of the vehicle</w:t>
      </w:r>
      <w:r>
        <w:t>,</w:t>
      </w:r>
      <w:r w:rsidRPr="0019692A">
        <w:rPr>
          <w:rFonts w:eastAsia="MS Mincho"/>
          <w:vertAlign w:val="superscript"/>
        </w:rPr>
        <w:footnoteReference w:id="3"/>
      </w:r>
      <w:r w:rsidRPr="0019692A">
        <w:t xml:space="preserve"> fitted with its standard equipment</w:t>
      </w:r>
      <w:r>
        <w:t>;</w:t>
      </w:r>
      <w:r w:rsidRPr="0019692A">
        <w:rPr>
          <w:vertAlign w:val="superscript"/>
        </w:rPr>
        <w:footnoteRef/>
      </w:r>
      <w:r w:rsidRPr="0019692A">
        <w:t xml:space="preserve"> </w:t>
      </w:r>
    </w:p>
    <w:p w14:paraId="7703C3D5" w14:textId="77777777" w:rsidR="009D59AA" w:rsidRPr="0019692A" w:rsidRDefault="009D59AA" w:rsidP="009D59AA">
      <w:pPr>
        <w:suppressAutoHyphens w:val="0"/>
        <w:autoSpaceDE w:val="0"/>
        <w:autoSpaceDN w:val="0"/>
        <w:adjustRightInd w:val="0"/>
        <w:spacing w:after="120" w:line="240" w:lineRule="auto"/>
        <w:ind w:left="2835" w:right="1134" w:hanging="567"/>
        <w:jc w:val="both"/>
        <w:rPr>
          <w:color w:val="000000"/>
        </w:rPr>
      </w:pPr>
      <w:r w:rsidRPr="0019692A">
        <w:rPr>
          <w:color w:val="000000"/>
        </w:rPr>
        <w:t>(b)</w:t>
      </w:r>
      <w:r w:rsidRPr="0019692A">
        <w:rPr>
          <w:color w:val="000000"/>
        </w:rPr>
        <w:tab/>
      </w:r>
      <w:r w:rsidRPr="0019692A">
        <w:rPr>
          <w:color w:val="000000"/>
        </w:rPr>
        <w:tab/>
        <w:t xml:space="preserve">The RRC value of the applicable tyre energy class according to Table A4/2 of UN GTR No. 15 Annex 4 or, if the tyres on the front and rear axles belong to different energy efficiency classes, the weighted mean using the equation in paragraph 3.2.3.2.2.2.3. of Annex 7 to UN GTR No. 15; </w:t>
      </w:r>
    </w:p>
    <w:p w14:paraId="667CBD7C" w14:textId="77777777" w:rsidR="009D59AA" w:rsidRPr="0019692A" w:rsidRDefault="009D59AA" w:rsidP="009D59AA">
      <w:pPr>
        <w:spacing w:after="120"/>
        <w:ind w:left="2829" w:right="1134" w:hanging="570"/>
        <w:jc w:val="both"/>
        <w:rPr>
          <w:lang w:val="en-US" w:eastAsia="de-DE"/>
        </w:rPr>
      </w:pPr>
      <w:r w:rsidRPr="0019692A">
        <w:rPr>
          <w:bCs/>
        </w:rPr>
        <w:t>(c)</w:t>
      </w:r>
      <w:r w:rsidRPr="0019692A">
        <w:rPr>
          <w:bCs/>
        </w:rPr>
        <w:tab/>
        <w:t>The aerodynamic drag of the vehicle fitted with its standard equipment</w:t>
      </w:r>
      <w:r>
        <w:rPr>
          <w:bCs/>
        </w:rPr>
        <w:t>.</w:t>
      </w:r>
      <w:r w:rsidRPr="0019692A">
        <w:rPr>
          <w:bCs/>
          <w:vertAlign w:val="superscript"/>
        </w:rPr>
        <w:footnoteRef/>
      </w:r>
      <w:r w:rsidRPr="0019692A">
        <w:rPr>
          <w:bCs/>
        </w:rPr>
        <w:t>"</w:t>
      </w:r>
    </w:p>
    <w:p w14:paraId="5A7E28AB" w14:textId="77777777" w:rsidR="009D59AA" w:rsidRPr="0019692A" w:rsidRDefault="009D59AA" w:rsidP="009D59AA">
      <w:pPr>
        <w:spacing w:after="120"/>
        <w:ind w:left="1134" w:right="1134"/>
        <w:rPr>
          <w:rFonts w:eastAsia="MS Mincho"/>
          <w:i/>
        </w:rPr>
      </w:pPr>
      <w:r>
        <w:rPr>
          <w:rFonts w:eastAsia="MS Mincho"/>
          <w:i/>
        </w:rPr>
        <w:t>P</w:t>
      </w:r>
      <w:r w:rsidRPr="0019692A">
        <w:rPr>
          <w:rFonts w:eastAsia="MS Mincho"/>
          <w:i/>
        </w:rPr>
        <w:t>aragraph 2.2.4.</w:t>
      </w:r>
      <w:r>
        <w:rPr>
          <w:rFonts w:eastAsia="MS Mincho"/>
          <w:i/>
        </w:rPr>
        <w:t xml:space="preserve"> subparagraph </w:t>
      </w:r>
      <w:r w:rsidRPr="0019692A">
        <w:rPr>
          <w:rFonts w:eastAsia="MS Mincho"/>
          <w:i/>
        </w:rPr>
        <w:t xml:space="preserve">(a) (iv), </w:t>
      </w:r>
      <w:r w:rsidRPr="0019692A">
        <w:rPr>
          <w:rFonts w:eastAsia="MS Mincho"/>
          <w:iCs/>
        </w:rPr>
        <w:t>amend to read:</w:t>
      </w:r>
    </w:p>
    <w:p w14:paraId="34EB142B" w14:textId="77777777" w:rsidR="009D59AA" w:rsidRPr="0019692A" w:rsidRDefault="009D59AA" w:rsidP="009D59AA">
      <w:pPr>
        <w:spacing w:after="120"/>
        <w:ind w:left="2835" w:right="1134"/>
        <w:rPr>
          <w:rFonts w:eastAsia="MS Mincho"/>
        </w:rPr>
      </w:pPr>
      <w:r w:rsidRPr="0019692A">
        <w:rPr>
          <w:rFonts w:eastAsia="MS Mincho"/>
        </w:rPr>
        <w:t>"(iv)</w:t>
      </w:r>
      <w:r w:rsidRPr="0019692A">
        <w:rPr>
          <w:rFonts w:eastAsia="MS Mincho"/>
        </w:rPr>
        <w:tab/>
        <w:t>Effect of different tyre tread depth:</w:t>
      </w:r>
    </w:p>
    <w:p w14:paraId="39718C9D" w14:textId="77777777" w:rsidR="009D59AA" w:rsidRPr="0019692A" w:rsidRDefault="00440B37" w:rsidP="009D59AA">
      <w:pPr>
        <w:spacing w:after="120"/>
        <w:ind w:left="1985" w:right="1134" w:hanging="284"/>
        <w:rPr>
          <w:rFonts w:eastAsia="MS Mincho"/>
        </w:rPr>
      </w:pPr>
      <m:oMathPara>
        <m:oMath>
          <m:sSub>
            <m:sSubPr>
              <m:ctrlPr>
                <w:rPr>
                  <w:rFonts w:ascii="Cambria Math" w:eastAsia="MS Mincho" w:hAnsi="Cambria Math"/>
                  <w:i/>
                </w:rPr>
              </m:ctrlPr>
            </m:sSubPr>
            <m:e>
              <m:r>
                <w:rPr>
                  <w:rFonts w:ascii="Cambria Math" w:eastAsia="MS Mincho" w:hAnsi="Cambria Math"/>
                </w:rPr>
                <m:t>F</m:t>
              </m:r>
            </m:e>
            <m:sub>
              <m:r>
                <w:rPr>
                  <w:rFonts w:ascii="Cambria Math" w:eastAsia="MS Mincho" w:hAnsi="Cambria Math"/>
                </w:rPr>
                <m:t>0n</m:t>
              </m:r>
            </m:sub>
          </m:sSub>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w:rPr>
              <w:rFonts w:ascii="Cambria Math" w:eastAsia="MS Mincho" w:hAnsi="Cambria Math"/>
            </w:rPr>
            <m:t>-TTD</m:t>
          </m:r>
        </m:oMath>
      </m:oMathPara>
    </w:p>
    <w:p w14:paraId="0285CE9B" w14:textId="77777777" w:rsidR="009D59AA" w:rsidRDefault="009D59AA" w:rsidP="009D59AA">
      <w:pPr>
        <w:spacing w:after="120"/>
        <w:ind w:left="1134" w:right="1134"/>
        <w:jc w:val="both"/>
        <w:rPr>
          <w:rFonts w:eastAsia="MS Mincho"/>
        </w:rPr>
      </w:pPr>
      <w:r w:rsidRPr="0019692A">
        <w:rPr>
          <w:rFonts w:eastAsia="MS Mincho"/>
        </w:rPr>
        <w:t xml:space="preserve">Where the factors </w:t>
      </w:r>
      <m:oMath>
        <m:r>
          <w:rPr>
            <w:rFonts w:ascii="Cambria Math" w:eastAsia="MS Mincho" w:hAnsi="Cambria Math"/>
          </w:rPr>
          <m:t>TTD</m:t>
        </m:r>
      </m:oMath>
      <w:r w:rsidRPr="0019692A">
        <w:rPr>
          <w:rFonts w:eastAsia="MS Mincho"/>
        </w:rPr>
        <w:t xml:space="preserve"> in the formula are as defined in point 2.2.2</w:t>
      </w:r>
    </w:p>
    <w:p w14:paraId="2A66399F" w14:textId="77777777" w:rsidR="00870D6D" w:rsidRPr="0057572B" w:rsidRDefault="00870D6D" w:rsidP="00870D6D">
      <w:pPr>
        <w:spacing w:before="240"/>
        <w:jc w:val="center"/>
      </w:pPr>
      <w:r w:rsidRPr="00F72881">
        <w:rPr>
          <w:u w:val="single"/>
        </w:rPr>
        <w:tab/>
      </w:r>
      <w:r w:rsidRPr="00F72881">
        <w:rPr>
          <w:u w:val="single"/>
        </w:rPr>
        <w:tab/>
      </w:r>
      <w:r w:rsidRPr="00F72881">
        <w:rPr>
          <w:u w:val="single"/>
        </w:rPr>
        <w:tab/>
      </w:r>
    </w:p>
    <w:sectPr w:rsidR="00870D6D" w:rsidRPr="0057572B" w:rsidSect="00F65CD8">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D438" w14:textId="77777777" w:rsidR="00440B37" w:rsidRDefault="00440B37"/>
  </w:endnote>
  <w:endnote w:type="continuationSeparator" w:id="0">
    <w:p w14:paraId="1744CA2A" w14:textId="77777777" w:rsidR="00440B37" w:rsidRDefault="00440B37"/>
  </w:endnote>
  <w:endnote w:type="continuationNotice" w:id="1">
    <w:p w14:paraId="087D2BBD" w14:textId="77777777" w:rsidR="00440B37" w:rsidRDefault="00440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9B1870">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9B1870">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2CCF" w14:textId="77777777" w:rsidR="00440B37" w:rsidRPr="000B175B" w:rsidRDefault="00440B37" w:rsidP="000B175B">
      <w:pPr>
        <w:tabs>
          <w:tab w:val="right" w:pos="2155"/>
        </w:tabs>
        <w:spacing w:after="80"/>
        <w:ind w:left="680"/>
        <w:rPr>
          <w:u w:val="single"/>
        </w:rPr>
      </w:pPr>
      <w:r>
        <w:rPr>
          <w:u w:val="single"/>
        </w:rPr>
        <w:tab/>
      </w:r>
    </w:p>
  </w:footnote>
  <w:footnote w:type="continuationSeparator" w:id="0">
    <w:p w14:paraId="5B2BA882" w14:textId="77777777" w:rsidR="00440B37" w:rsidRPr="00FC68B7" w:rsidRDefault="00440B37" w:rsidP="00FC68B7">
      <w:pPr>
        <w:tabs>
          <w:tab w:val="left" w:pos="2155"/>
        </w:tabs>
        <w:spacing w:after="80"/>
        <w:ind w:left="680"/>
        <w:rPr>
          <w:u w:val="single"/>
        </w:rPr>
      </w:pPr>
      <w:r>
        <w:rPr>
          <w:u w:val="single"/>
        </w:rPr>
        <w:tab/>
      </w:r>
    </w:p>
  </w:footnote>
  <w:footnote w:type="continuationNotice" w:id="1">
    <w:p w14:paraId="6F1F1447" w14:textId="77777777" w:rsidR="00440B37" w:rsidRDefault="00440B37"/>
  </w:footnote>
  <w:footnote w:id="2">
    <w:p w14:paraId="2421CCCF" w14:textId="77777777" w:rsidR="00E679C3" w:rsidRPr="00227E87" w:rsidRDefault="00E679C3" w:rsidP="008B60F7">
      <w:pPr>
        <w:pStyle w:val="FootnoteText"/>
        <w:rPr>
          <w:lang w:val="en-US"/>
        </w:rPr>
      </w:pPr>
      <w:r w:rsidRPr="00227E87">
        <w:tab/>
      </w:r>
      <w:r w:rsidRPr="00227E87">
        <w:rPr>
          <w:rStyle w:val="FootnoteReference"/>
          <w:sz w:val="20"/>
          <w:lang w:val="en-US"/>
        </w:rPr>
        <w:t>*</w:t>
      </w:r>
      <w:r w:rsidRPr="00227E87">
        <w:rPr>
          <w:sz w:val="20"/>
          <w:lang w:val="en-US"/>
        </w:rPr>
        <w:tab/>
      </w:r>
      <w:r w:rsidRPr="00227E87">
        <w:rPr>
          <w:lang w:val="en-US"/>
        </w:rPr>
        <w:t>Former titles of the Agreement:</w:t>
      </w:r>
    </w:p>
    <w:p w14:paraId="3FBAD9FF" w14:textId="77777777" w:rsidR="00E679C3" w:rsidRPr="00227E87" w:rsidRDefault="00E679C3" w:rsidP="008B60F7">
      <w:pPr>
        <w:pStyle w:val="FootnoteText"/>
        <w:rPr>
          <w:sz w:val="20"/>
          <w:lang w:val="en-US"/>
        </w:rPr>
      </w:pPr>
      <w:r w:rsidRPr="00227E87">
        <w:rPr>
          <w:lang w:val="en-US"/>
        </w:rPr>
        <w:tab/>
      </w:r>
      <w:r w:rsidRPr="00227E87">
        <w:rPr>
          <w:lang w:val="en-US"/>
        </w:rPr>
        <w:tab/>
      </w:r>
      <w:r w:rsidRPr="00227E87">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227E87" w:rsidRDefault="00E679C3" w:rsidP="008B60F7">
      <w:pPr>
        <w:pStyle w:val="FootnoteText"/>
        <w:rPr>
          <w:lang w:val="en-US"/>
        </w:rPr>
      </w:pPr>
      <w:r w:rsidRPr="00227E87">
        <w:rPr>
          <w:lang w:val="en-US"/>
        </w:rPr>
        <w:tab/>
      </w:r>
      <w:r w:rsidRPr="00227E8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3F7E96AD" w14:textId="77777777" w:rsidR="009D59AA" w:rsidRPr="00D96CAC" w:rsidRDefault="009D59AA" w:rsidP="009D59AA">
      <w:pPr>
        <w:pStyle w:val="FootnoteText"/>
      </w:pPr>
      <w:r>
        <w:tab/>
      </w:r>
      <w:r w:rsidRPr="00E52478">
        <w:rPr>
          <w:rStyle w:val="FootnoteReference"/>
        </w:rPr>
        <w:footnoteRef/>
      </w:r>
      <w:r>
        <w:tab/>
      </w:r>
      <w:r w:rsidRPr="00E52478">
        <w:rPr>
          <w:rFonts w:eastAsia="MS Mincho"/>
        </w:rPr>
        <w:t xml:space="preserve">As defined in </w:t>
      </w:r>
      <w:r>
        <w:rPr>
          <w:rFonts w:eastAsia="MS Mincho"/>
        </w:rPr>
        <w:t xml:space="preserve">UN </w:t>
      </w:r>
      <w:r w:rsidRPr="00E52478">
        <w:rPr>
          <w:rFonts w:eastAsia="MS Mincho"/>
        </w:rPr>
        <w:t>GTR</w:t>
      </w:r>
      <w:r>
        <w:rPr>
          <w:rFonts w:eastAsia="MS Mincho"/>
        </w:rPr>
        <w:t xml:space="preserve"> No. </w:t>
      </w:r>
      <w:r w:rsidRPr="00E52478">
        <w:rPr>
          <w:rFonts w:eastAsia="MS Mincho"/>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5F6191A0" w:rsidR="00AB3AA0" w:rsidRDefault="00AB3AA0" w:rsidP="00AB3AA0">
    <w:pPr>
      <w:pStyle w:val="Header"/>
    </w:pPr>
    <w:r w:rsidRPr="008B60F7">
      <w:t>E/ECE/324/</w:t>
    </w:r>
    <w:r w:rsidR="000E6FB0">
      <w:t>Rev.</w:t>
    </w:r>
    <w:r w:rsidR="00C31970">
      <w:t>2</w:t>
    </w:r>
    <w:r w:rsidR="000E6FB0">
      <w:t>/</w:t>
    </w:r>
    <w:r w:rsidR="003F5657" w:rsidRPr="003F5657">
      <w:t>Add.</w:t>
    </w:r>
    <w:r w:rsidR="00870D6D">
      <w:t>100</w:t>
    </w:r>
    <w:r w:rsidR="003F5657" w:rsidRPr="003F5657">
      <w:t>/Rev.</w:t>
    </w:r>
    <w:r w:rsidR="00870D6D">
      <w:t>3</w:t>
    </w:r>
    <w:r w:rsidR="003F5657" w:rsidRPr="003F5657">
      <w:t>/Amend.</w:t>
    </w:r>
    <w:r w:rsidR="0059586D">
      <w:t>9</w:t>
    </w:r>
  </w:p>
  <w:p w14:paraId="42A1D7E1" w14:textId="0921FA31" w:rsidR="003F5657" w:rsidRDefault="00AB3AA0" w:rsidP="003F5657">
    <w:pPr>
      <w:pStyle w:val="Header"/>
    </w:pPr>
    <w:r w:rsidRPr="008B60F7">
      <w:t>E/ECE/TRANS/505/</w:t>
    </w:r>
    <w:r w:rsidR="00C31970">
      <w:t>Rev.2/</w:t>
    </w:r>
    <w:r w:rsidR="000A1C76" w:rsidRPr="003F5657">
      <w:t>Add.</w:t>
    </w:r>
    <w:r w:rsidR="00870D6D">
      <w:t>100</w:t>
    </w:r>
    <w:r w:rsidR="000A1C76" w:rsidRPr="003F5657">
      <w:t>/Rev.</w:t>
    </w:r>
    <w:r w:rsidR="00870D6D">
      <w:t>3</w:t>
    </w:r>
    <w:r w:rsidR="000A1C76" w:rsidRPr="003F5657">
      <w:t>/Amend.</w:t>
    </w:r>
    <w:r w:rsidR="0059586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77C4" w14:textId="6FBD81A0" w:rsidR="00870D6D" w:rsidRDefault="00870D6D" w:rsidP="00870D6D">
    <w:pPr>
      <w:pStyle w:val="Header"/>
      <w:jc w:val="right"/>
    </w:pPr>
    <w:r w:rsidRPr="008B60F7">
      <w:t>E/ECE/324/</w:t>
    </w:r>
    <w:r>
      <w:t>Rev.</w:t>
    </w:r>
    <w:r w:rsidR="00C31970">
      <w:t>2</w:t>
    </w:r>
    <w:r>
      <w:t>/</w:t>
    </w:r>
    <w:r w:rsidRPr="003F5657">
      <w:t>Add.</w:t>
    </w:r>
    <w:r>
      <w:t>100</w:t>
    </w:r>
    <w:r w:rsidRPr="003F5657">
      <w:t>/Rev.</w:t>
    </w:r>
    <w:r>
      <w:t>3</w:t>
    </w:r>
    <w:r w:rsidRPr="003F5657">
      <w:t>/Amend.</w:t>
    </w:r>
    <w:r>
      <w:t>8</w:t>
    </w:r>
  </w:p>
  <w:p w14:paraId="742A0BEF" w14:textId="78D38475" w:rsidR="00E679C3" w:rsidRDefault="00870D6D" w:rsidP="00870D6D">
    <w:pPr>
      <w:pStyle w:val="Header"/>
      <w:jc w:val="right"/>
    </w:pPr>
    <w:r w:rsidRPr="008B60F7">
      <w:t>E/ECE/TRANS/505/</w:t>
    </w:r>
    <w:r w:rsidR="00C31970">
      <w:t>Rev.2/</w:t>
    </w:r>
    <w:r w:rsidRPr="003F5657">
      <w:t>Add.</w:t>
    </w:r>
    <w:r>
      <w:t>100</w:t>
    </w:r>
    <w:r w:rsidRPr="003F5657">
      <w:t>/Rev.</w:t>
    </w:r>
    <w:r>
      <w:t>3</w:t>
    </w:r>
    <w:r w:rsidRPr="003F5657">
      <w:t>/Amend.</w:t>
    </w:r>
    <w:r>
      <w:t>8</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837"/>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27E8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0BCB"/>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B37"/>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586D"/>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6D2"/>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45E4"/>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66C"/>
    <w:rsid w:val="00997F2D"/>
    <w:rsid w:val="009A1058"/>
    <w:rsid w:val="009A110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1870"/>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59AA"/>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2DB6"/>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1970"/>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07C2"/>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5CD8"/>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4DC5"/>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909ED-B8AC-45EB-9577-AD3E0AFB9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6C2C2-AD08-4BE8-8552-4A3F84939BC0}">
  <ds:schemaRefs>
    <ds:schemaRef ds:uri="http://schemas.openxmlformats.org/officeDocument/2006/bibliography"/>
  </ds:schemaRefs>
</ds:datastoreItem>
</file>

<file path=customXml/itemProps3.xml><?xml version="1.0" encoding="utf-8"?>
<ds:datastoreItem xmlns:ds="http://schemas.openxmlformats.org/officeDocument/2006/customXml" ds:itemID="{DBF4B5DE-7447-437A-BA82-9F122E6F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3A565-B577-4E58-B2ED-1F8754E02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387</Words>
  <Characters>2209</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2591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3</cp:revision>
  <cp:lastPrinted>2019-11-25T07:37:00Z</cp:lastPrinted>
  <dcterms:created xsi:type="dcterms:W3CDTF">2022-03-18T18:07:00Z</dcterms:created>
  <dcterms:modified xsi:type="dcterms:W3CDTF">2022-03-18T18:08:00Z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2442400</vt:r8>
  </property>
</Properties>
</file>