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56AC2" w:rsidRPr="00156AC2" w14:paraId="6E80BEDE" w14:textId="77777777" w:rsidTr="00134ED8">
        <w:trPr>
          <w:cantSplit/>
          <w:trHeight w:hRule="exact" w:val="851"/>
        </w:trPr>
        <w:tc>
          <w:tcPr>
            <w:tcW w:w="1276" w:type="dxa"/>
            <w:tcBorders>
              <w:bottom w:val="single" w:sz="4" w:space="0" w:color="auto"/>
            </w:tcBorders>
            <w:vAlign w:val="bottom"/>
          </w:tcPr>
          <w:p w14:paraId="1D2762F6" w14:textId="77777777" w:rsidR="00B94956" w:rsidRPr="00156AC2" w:rsidRDefault="00B94956" w:rsidP="003C3936">
            <w:pPr>
              <w:rPr>
                <w:color w:val="000000" w:themeColor="text1"/>
              </w:rPr>
            </w:pPr>
          </w:p>
        </w:tc>
        <w:tc>
          <w:tcPr>
            <w:tcW w:w="8363" w:type="dxa"/>
            <w:gridSpan w:val="2"/>
            <w:tcBorders>
              <w:bottom w:val="single" w:sz="4" w:space="0" w:color="auto"/>
            </w:tcBorders>
            <w:vAlign w:val="bottom"/>
          </w:tcPr>
          <w:p w14:paraId="0B0C3603" w14:textId="6CC47E71" w:rsidR="00B94956" w:rsidRPr="00156AC2" w:rsidRDefault="00B94956" w:rsidP="00D5540C">
            <w:pPr>
              <w:jc w:val="right"/>
              <w:rPr>
                <w:color w:val="000000" w:themeColor="text1"/>
              </w:rPr>
            </w:pPr>
            <w:r w:rsidRPr="00156AC2">
              <w:rPr>
                <w:color w:val="000000" w:themeColor="text1"/>
                <w:sz w:val="40"/>
              </w:rPr>
              <w:t>E</w:t>
            </w:r>
            <w:r w:rsidRPr="00156AC2">
              <w:rPr>
                <w:color w:val="000000" w:themeColor="text1"/>
              </w:rPr>
              <w:t>/ECE/324/</w:t>
            </w:r>
            <w:bookmarkStart w:id="0" w:name="_Hlk30061049"/>
            <w:bookmarkStart w:id="1" w:name="_Hlk30061380"/>
            <w:r w:rsidRPr="00156AC2">
              <w:rPr>
                <w:color w:val="000000" w:themeColor="text1"/>
              </w:rPr>
              <w:t>Rev.1/Add.23/Rev.2/Amend.</w:t>
            </w:r>
            <w:bookmarkEnd w:id="0"/>
            <w:bookmarkEnd w:id="1"/>
            <w:r w:rsidR="00993DD3" w:rsidRPr="00156AC2">
              <w:rPr>
                <w:color w:val="000000" w:themeColor="text1"/>
              </w:rPr>
              <w:t>6</w:t>
            </w:r>
            <w:r w:rsidRPr="00156AC2">
              <w:rPr>
                <w:color w:val="000000" w:themeColor="text1"/>
              </w:rPr>
              <w:t>−</w:t>
            </w:r>
            <w:r w:rsidRPr="00156AC2">
              <w:rPr>
                <w:color w:val="000000" w:themeColor="text1"/>
                <w:sz w:val="40"/>
              </w:rPr>
              <w:t>E</w:t>
            </w:r>
            <w:r w:rsidRPr="00156AC2">
              <w:rPr>
                <w:color w:val="000000" w:themeColor="text1"/>
              </w:rPr>
              <w:t>/ECE/TRANS/505/Rev.1/Add.23/Rev.2/Amend.</w:t>
            </w:r>
            <w:r w:rsidR="00993DD3" w:rsidRPr="00156AC2">
              <w:rPr>
                <w:color w:val="000000" w:themeColor="text1"/>
              </w:rPr>
              <w:t>6</w:t>
            </w:r>
          </w:p>
        </w:tc>
      </w:tr>
      <w:tr w:rsidR="00156AC2" w:rsidRPr="00156AC2"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6D234AC3" w:rsidR="003C3936" w:rsidRPr="00156AC2" w:rsidRDefault="003C3936" w:rsidP="003C3936">
            <w:pPr>
              <w:spacing w:before="120"/>
              <w:rPr>
                <w:color w:val="000000" w:themeColor="text1"/>
              </w:rPr>
            </w:pPr>
          </w:p>
        </w:tc>
        <w:tc>
          <w:tcPr>
            <w:tcW w:w="5528" w:type="dxa"/>
            <w:tcBorders>
              <w:top w:val="single" w:sz="4" w:space="0" w:color="auto"/>
              <w:bottom w:val="single" w:sz="12" w:space="0" w:color="auto"/>
            </w:tcBorders>
          </w:tcPr>
          <w:p w14:paraId="49836FB9" w14:textId="5F1785B8" w:rsidR="003C3936" w:rsidRPr="00156AC2" w:rsidRDefault="003C3936" w:rsidP="003C3936">
            <w:pPr>
              <w:spacing w:before="120"/>
              <w:rPr>
                <w:color w:val="000000" w:themeColor="text1"/>
              </w:rPr>
            </w:pPr>
          </w:p>
        </w:tc>
        <w:tc>
          <w:tcPr>
            <w:tcW w:w="2835" w:type="dxa"/>
            <w:tcBorders>
              <w:top w:val="single" w:sz="4" w:space="0" w:color="auto"/>
              <w:bottom w:val="single" w:sz="12" w:space="0" w:color="auto"/>
            </w:tcBorders>
          </w:tcPr>
          <w:p w14:paraId="5261E6CB" w14:textId="5A3649A1" w:rsidR="003C3936" w:rsidRPr="00156AC2" w:rsidRDefault="003C3936" w:rsidP="003C3936">
            <w:pPr>
              <w:spacing w:before="120"/>
              <w:rPr>
                <w:color w:val="000000" w:themeColor="text1"/>
              </w:rPr>
            </w:pPr>
          </w:p>
          <w:p w14:paraId="10DFEABE" w14:textId="77777777" w:rsidR="00D623A7" w:rsidRPr="00156AC2" w:rsidRDefault="00D623A7" w:rsidP="003C3936">
            <w:pPr>
              <w:spacing w:before="120"/>
              <w:rPr>
                <w:color w:val="000000" w:themeColor="text1"/>
              </w:rPr>
            </w:pPr>
          </w:p>
          <w:p w14:paraId="3AAF3BDD" w14:textId="1C142789" w:rsidR="00C84414" w:rsidRPr="00156AC2" w:rsidRDefault="000F2875" w:rsidP="003C3936">
            <w:pPr>
              <w:spacing w:before="120"/>
              <w:rPr>
                <w:color w:val="000000" w:themeColor="text1"/>
              </w:rPr>
            </w:pPr>
            <w:r w:rsidRPr="00156AC2">
              <w:rPr>
                <w:color w:val="000000" w:themeColor="text1"/>
              </w:rPr>
              <w:t>21</w:t>
            </w:r>
            <w:r w:rsidR="006F535A" w:rsidRPr="00156AC2">
              <w:rPr>
                <w:color w:val="000000" w:themeColor="text1"/>
              </w:rPr>
              <w:t xml:space="preserve"> February</w:t>
            </w:r>
            <w:r w:rsidR="00815E13" w:rsidRPr="00156AC2">
              <w:rPr>
                <w:color w:val="000000" w:themeColor="text1"/>
              </w:rPr>
              <w:t xml:space="preserve"> </w:t>
            </w:r>
            <w:r w:rsidR="004E3690" w:rsidRPr="00156AC2">
              <w:rPr>
                <w:color w:val="000000" w:themeColor="text1"/>
              </w:rPr>
              <w:t>2022</w:t>
            </w:r>
          </w:p>
        </w:tc>
      </w:tr>
    </w:tbl>
    <w:p w14:paraId="431B1AEB" w14:textId="2267A932" w:rsidR="00C711C7" w:rsidRPr="00156AC2" w:rsidRDefault="00C711C7" w:rsidP="00A41529">
      <w:pPr>
        <w:pStyle w:val="HChG"/>
        <w:spacing w:before="240" w:after="120"/>
        <w:rPr>
          <w:color w:val="000000" w:themeColor="text1"/>
        </w:rPr>
      </w:pPr>
      <w:r w:rsidRPr="00156AC2">
        <w:rPr>
          <w:color w:val="000000" w:themeColor="text1"/>
        </w:rPr>
        <w:tab/>
      </w:r>
      <w:r w:rsidRPr="00156AC2">
        <w:rPr>
          <w:color w:val="000000" w:themeColor="text1"/>
        </w:rPr>
        <w:tab/>
      </w:r>
      <w:bookmarkStart w:id="2" w:name="_Toc340666199"/>
      <w:bookmarkStart w:id="3" w:name="_Toc340745062"/>
      <w:r w:rsidRPr="00156AC2">
        <w:rPr>
          <w:color w:val="000000" w:themeColor="text1"/>
        </w:rPr>
        <w:t>Agreement</w:t>
      </w:r>
      <w:bookmarkEnd w:id="2"/>
      <w:bookmarkEnd w:id="3"/>
    </w:p>
    <w:p w14:paraId="306780C9" w14:textId="77777777" w:rsidR="004A29CA" w:rsidRPr="00156AC2" w:rsidRDefault="004A29CA" w:rsidP="004A29CA">
      <w:pPr>
        <w:pStyle w:val="H1G"/>
        <w:spacing w:before="240"/>
        <w:rPr>
          <w:color w:val="000000" w:themeColor="text1"/>
        </w:rPr>
      </w:pPr>
      <w:r w:rsidRPr="00156AC2">
        <w:rPr>
          <w:rStyle w:val="H1GChar"/>
          <w:color w:val="000000" w:themeColor="text1"/>
        </w:rPr>
        <w:tab/>
      </w:r>
      <w:r w:rsidRPr="00156AC2">
        <w:rPr>
          <w:rStyle w:val="H1GChar"/>
          <w:color w:val="000000" w:themeColor="text1"/>
        </w:rPr>
        <w:tab/>
      </w:r>
      <w:r w:rsidRPr="00156AC2">
        <w:rPr>
          <w:color w:val="000000" w:themeColor="text1"/>
        </w:rPr>
        <w:t>Concerning the</w:t>
      </w:r>
      <w:r w:rsidRPr="00156AC2">
        <w:rPr>
          <w:smallCaps/>
          <w:color w:val="000000" w:themeColor="text1"/>
        </w:rPr>
        <w:t xml:space="preserve"> </w:t>
      </w:r>
      <w:r w:rsidRPr="00156AC2">
        <w:rPr>
          <w:color w:val="000000" w:themeColor="text1"/>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156AC2">
        <w:rPr>
          <w:rStyle w:val="FootnoteReference"/>
          <w:b w:val="0"/>
          <w:color w:val="000000" w:themeColor="text1"/>
          <w:sz w:val="20"/>
          <w:vertAlign w:val="baseline"/>
        </w:rPr>
        <w:footnoteReference w:customMarkFollows="1" w:id="2"/>
        <w:t>*</w:t>
      </w:r>
    </w:p>
    <w:p w14:paraId="0DC47617" w14:textId="77777777" w:rsidR="004A29CA" w:rsidRPr="00156AC2" w:rsidRDefault="004A29CA" w:rsidP="004A29CA">
      <w:pPr>
        <w:pStyle w:val="SingleTxtG"/>
        <w:spacing w:before="120"/>
        <w:rPr>
          <w:color w:val="000000" w:themeColor="text1"/>
        </w:rPr>
      </w:pPr>
      <w:r w:rsidRPr="00156AC2">
        <w:rPr>
          <w:color w:val="000000" w:themeColor="text1"/>
        </w:rPr>
        <w:t>(Revision 3, including the amendments which entered into force on 14 September 2017)</w:t>
      </w:r>
    </w:p>
    <w:p w14:paraId="23520E79" w14:textId="77777777" w:rsidR="0064636E" w:rsidRPr="00156AC2" w:rsidRDefault="00C711C7" w:rsidP="00B32121">
      <w:pPr>
        <w:pStyle w:val="H1G"/>
        <w:spacing w:before="120"/>
        <w:ind w:left="0" w:right="0" w:firstLine="0"/>
        <w:jc w:val="center"/>
        <w:rPr>
          <w:color w:val="000000" w:themeColor="text1"/>
        </w:rPr>
      </w:pPr>
      <w:r w:rsidRPr="00156AC2">
        <w:rPr>
          <w:color w:val="000000" w:themeColor="text1"/>
        </w:rPr>
        <w:t>_________</w:t>
      </w:r>
    </w:p>
    <w:p w14:paraId="1E020283" w14:textId="718F3381" w:rsidR="0064636E" w:rsidRPr="00156AC2" w:rsidRDefault="0064636E" w:rsidP="00A41529">
      <w:pPr>
        <w:pStyle w:val="H1G"/>
        <w:spacing w:before="240" w:after="120"/>
        <w:rPr>
          <w:color w:val="000000" w:themeColor="text1"/>
        </w:rPr>
      </w:pPr>
      <w:r w:rsidRPr="00156AC2">
        <w:rPr>
          <w:color w:val="000000" w:themeColor="text1"/>
        </w:rPr>
        <w:tab/>
      </w:r>
      <w:r w:rsidRPr="00156AC2">
        <w:rPr>
          <w:color w:val="000000" w:themeColor="text1"/>
        </w:rPr>
        <w:tab/>
        <w:t xml:space="preserve">Addendum </w:t>
      </w:r>
      <w:r w:rsidR="00DE30C0" w:rsidRPr="00156AC2">
        <w:rPr>
          <w:color w:val="000000" w:themeColor="text1"/>
        </w:rPr>
        <w:t>23</w:t>
      </w:r>
      <w:r w:rsidRPr="00156AC2">
        <w:rPr>
          <w:color w:val="000000" w:themeColor="text1"/>
        </w:rPr>
        <w:t xml:space="preserve"> – </w:t>
      </w:r>
      <w:r w:rsidR="008A17BB" w:rsidRPr="00156AC2">
        <w:rPr>
          <w:color w:val="000000" w:themeColor="text1"/>
        </w:rPr>
        <w:t xml:space="preserve">UN </w:t>
      </w:r>
      <w:r w:rsidRPr="00156AC2">
        <w:rPr>
          <w:color w:val="000000" w:themeColor="text1"/>
        </w:rPr>
        <w:t>Regulation No.</w:t>
      </w:r>
      <w:r w:rsidR="00271A7F" w:rsidRPr="00156AC2">
        <w:rPr>
          <w:color w:val="000000" w:themeColor="text1"/>
        </w:rPr>
        <w:t xml:space="preserve"> </w:t>
      </w:r>
      <w:r w:rsidR="00DE30C0" w:rsidRPr="00156AC2">
        <w:rPr>
          <w:color w:val="000000" w:themeColor="text1"/>
        </w:rPr>
        <w:t>24</w:t>
      </w:r>
    </w:p>
    <w:p w14:paraId="4E272B2A" w14:textId="5D05AFA8" w:rsidR="0064636E" w:rsidRPr="00156AC2" w:rsidRDefault="0064636E" w:rsidP="00A41529">
      <w:pPr>
        <w:pStyle w:val="H1G"/>
        <w:spacing w:before="240"/>
        <w:rPr>
          <w:color w:val="000000" w:themeColor="text1"/>
        </w:rPr>
      </w:pPr>
      <w:r w:rsidRPr="00156AC2">
        <w:rPr>
          <w:color w:val="000000" w:themeColor="text1"/>
        </w:rPr>
        <w:tab/>
      </w:r>
      <w:r w:rsidRPr="00156AC2">
        <w:rPr>
          <w:color w:val="000000" w:themeColor="text1"/>
        </w:rPr>
        <w:tab/>
        <w:t xml:space="preserve">Revision </w:t>
      </w:r>
      <w:r w:rsidR="00DE30C0" w:rsidRPr="00156AC2">
        <w:rPr>
          <w:color w:val="000000" w:themeColor="text1"/>
        </w:rPr>
        <w:t>2</w:t>
      </w:r>
      <w:r w:rsidR="00DE5D62" w:rsidRPr="00156AC2">
        <w:rPr>
          <w:color w:val="000000" w:themeColor="text1"/>
        </w:rPr>
        <w:t xml:space="preserve"> </w:t>
      </w:r>
      <w:r w:rsidRPr="00156AC2">
        <w:rPr>
          <w:color w:val="000000" w:themeColor="text1"/>
        </w:rPr>
        <w:t xml:space="preserve">- </w:t>
      </w:r>
      <w:r w:rsidR="00D623A7" w:rsidRPr="00156AC2">
        <w:rPr>
          <w:color w:val="000000" w:themeColor="text1"/>
        </w:rPr>
        <w:t>Amendment</w:t>
      </w:r>
      <w:r w:rsidRPr="00156AC2">
        <w:rPr>
          <w:color w:val="000000" w:themeColor="text1"/>
        </w:rPr>
        <w:t xml:space="preserve"> </w:t>
      </w:r>
      <w:r w:rsidR="00993DD3" w:rsidRPr="00156AC2">
        <w:rPr>
          <w:color w:val="000000" w:themeColor="text1"/>
        </w:rPr>
        <w:t>6</w:t>
      </w:r>
    </w:p>
    <w:p w14:paraId="4FAFC05A" w14:textId="70A04E3A" w:rsidR="0064636E" w:rsidRPr="00156AC2" w:rsidRDefault="00D623A7" w:rsidP="0064636E">
      <w:pPr>
        <w:pStyle w:val="SingleTxtG"/>
        <w:spacing w:after="360"/>
        <w:rPr>
          <w:color w:val="000000" w:themeColor="text1"/>
          <w:spacing w:val="-2"/>
        </w:rPr>
      </w:pPr>
      <w:r w:rsidRPr="00156AC2">
        <w:rPr>
          <w:color w:val="000000" w:themeColor="text1"/>
          <w:spacing w:val="-2"/>
        </w:rPr>
        <w:t xml:space="preserve">Supplement </w:t>
      </w:r>
      <w:r w:rsidR="00D879E4" w:rsidRPr="00156AC2">
        <w:rPr>
          <w:color w:val="000000" w:themeColor="text1"/>
          <w:spacing w:val="-2"/>
        </w:rPr>
        <w:t>6</w:t>
      </w:r>
      <w:r w:rsidRPr="00156AC2">
        <w:rPr>
          <w:color w:val="000000" w:themeColor="text1"/>
          <w:spacing w:val="-2"/>
        </w:rPr>
        <w:t xml:space="preserve"> to </w:t>
      </w:r>
      <w:r w:rsidR="00271A7F" w:rsidRPr="00156AC2">
        <w:rPr>
          <w:color w:val="000000" w:themeColor="text1"/>
          <w:spacing w:val="-2"/>
        </w:rPr>
        <w:t xml:space="preserve">the </w:t>
      </w:r>
      <w:r w:rsidR="00CA1FD0" w:rsidRPr="00156AC2">
        <w:rPr>
          <w:color w:val="000000" w:themeColor="text1"/>
          <w:spacing w:val="-2"/>
        </w:rPr>
        <w:t>0</w:t>
      </w:r>
      <w:r w:rsidR="00DE30C0" w:rsidRPr="00156AC2">
        <w:rPr>
          <w:color w:val="000000" w:themeColor="text1"/>
          <w:spacing w:val="-2"/>
        </w:rPr>
        <w:t>3</w:t>
      </w:r>
      <w:r w:rsidRPr="00156AC2">
        <w:rPr>
          <w:color w:val="000000" w:themeColor="text1"/>
          <w:spacing w:val="-2"/>
        </w:rPr>
        <w:t xml:space="preserve"> series of amendments</w:t>
      </w:r>
      <w:r w:rsidR="0064636E" w:rsidRPr="00156AC2">
        <w:rPr>
          <w:color w:val="000000" w:themeColor="text1"/>
          <w:spacing w:val="-2"/>
        </w:rPr>
        <w:t xml:space="preserve"> – Date of entry into force: </w:t>
      </w:r>
      <w:r w:rsidR="00D879E4" w:rsidRPr="00156AC2">
        <w:rPr>
          <w:color w:val="000000" w:themeColor="text1"/>
          <w:spacing w:val="-2"/>
        </w:rPr>
        <w:t>7</w:t>
      </w:r>
      <w:r w:rsidR="00EA0991" w:rsidRPr="00156AC2">
        <w:rPr>
          <w:color w:val="000000" w:themeColor="text1"/>
          <w:spacing w:val="-2"/>
        </w:rPr>
        <w:t xml:space="preserve"> January 20</w:t>
      </w:r>
      <w:r w:rsidR="00D879E4" w:rsidRPr="00156AC2">
        <w:rPr>
          <w:color w:val="000000" w:themeColor="text1"/>
          <w:spacing w:val="-2"/>
        </w:rPr>
        <w:t>22</w:t>
      </w:r>
    </w:p>
    <w:p w14:paraId="3BFA2367" w14:textId="77777777" w:rsidR="00DE30C0" w:rsidRPr="00156AC2" w:rsidRDefault="0064636E" w:rsidP="00DE30C0">
      <w:pPr>
        <w:pStyle w:val="H1G"/>
        <w:spacing w:before="120" w:after="120" w:line="240" w:lineRule="exact"/>
        <w:rPr>
          <w:bCs/>
          <w:color w:val="000000" w:themeColor="text1"/>
          <w:lang w:val="en-US"/>
        </w:rPr>
      </w:pPr>
      <w:r w:rsidRPr="00156AC2">
        <w:rPr>
          <w:color w:val="000000" w:themeColor="text1"/>
          <w:lang w:val="en-US"/>
        </w:rPr>
        <w:tab/>
      </w:r>
      <w:r w:rsidRPr="00156AC2">
        <w:rPr>
          <w:color w:val="000000" w:themeColor="text1"/>
          <w:lang w:val="en-US"/>
        </w:rPr>
        <w:tab/>
      </w:r>
      <w:r w:rsidR="00DE30C0" w:rsidRPr="00156AC2">
        <w:rPr>
          <w:bCs/>
          <w:color w:val="000000" w:themeColor="text1"/>
          <w:lang w:val="en-US"/>
        </w:rPr>
        <w:t>Uniform provisions concerning:</w:t>
      </w:r>
    </w:p>
    <w:p w14:paraId="062CF732" w14:textId="0206EDCA" w:rsidR="00DE30C0" w:rsidRPr="00156AC2" w:rsidRDefault="00DE30C0" w:rsidP="00641B25">
      <w:pPr>
        <w:pStyle w:val="H1G"/>
        <w:spacing w:before="120" w:after="0" w:line="240" w:lineRule="exact"/>
        <w:ind w:left="1701" w:hanging="567"/>
        <w:rPr>
          <w:bCs/>
          <w:color w:val="000000" w:themeColor="text1"/>
          <w:lang w:val="en-US"/>
        </w:rPr>
      </w:pPr>
      <w:r w:rsidRPr="00156AC2">
        <w:rPr>
          <w:bCs/>
          <w:color w:val="000000" w:themeColor="text1"/>
          <w:lang w:val="en-US"/>
        </w:rPr>
        <w:t>I.</w:t>
      </w:r>
      <w:r w:rsidRPr="00156AC2">
        <w:rPr>
          <w:bCs/>
          <w:color w:val="000000" w:themeColor="text1"/>
          <w:lang w:val="en-US"/>
        </w:rPr>
        <w:tab/>
        <w:t>The approval of compression ignition (C.I.) engines with regard to the emission of visible pollutants</w:t>
      </w:r>
    </w:p>
    <w:p w14:paraId="0613E54D" w14:textId="2CAA3E2E" w:rsidR="00DE30C0" w:rsidRPr="00156AC2" w:rsidRDefault="00DE30C0" w:rsidP="00641B25">
      <w:pPr>
        <w:pStyle w:val="H1G"/>
        <w:spacing w:before="0" w:after="0" w:line="240" w:lineRule="exact"/>
        <w:ind w:left="1701" w:hanging="567"/>
        <w:rPr>
          <w:bCs/>
          <w:color w:val="000000" w:themeColor="text1"/>
          <w:lang w:val="en-US"/>
        </w:rPr>
      </w:pPr>
      <w:r w:rsidRPr="00156AC2">
        <w:rPr>
          <w:bCs/>
          <w:color w:val="000000" w:themeColor="text1"/>
          <w:lang w:val="en-US"/>
        </w:rPr>
        <w:t>II.</w:t>
      </w:r>
      <w:r w:rsidRPr="00156AC2">
        <w:rPr>
          <w:bCs/>
          <w:color w:val="000000" w:themeColor="text1"/>
          <w:lang w:val="en-US"/>
        </w:rPr>
        <w:tab/>
        <w:t>The approval of motor vehicles with regard to the installation of C.I. engines of an approved type</w:t>
      </w:r>
    </w:p>
    <w:p w14:paraId="44506DED" w14:textId="7C7842DE" w:rsidR="00DE30C0" w:rsidRPr="00156AC2" w:rsidRDefault="00DE30C0" w:rsidP="00641B25">
      <w:pPr>
        <w:pStyle w:val="H1G"/>
        <w:spacing w:before="0" w:after="0" w:line="240" w:lineRule="exact"/>
        <w:ind w:left="1701" w:hanging="567"/>
        <w:rPr>
          <w:bCs/>
          <w:color w:val="000000" w:themeColor="text1"/>
          <w:lang w:val="en-US"/>
        </w:rPr>
      </w:pPr>
      <w:r w:rsidRPr="00156AC2">
        <w:rPr>
          <w:bCs/>
          <w:color w:val="000000" w:themeColor="text1"/>
          <w:lang w:val="en-US"/>
        </w:rPr>
        <w:t>III.</w:t>
      </w:r>
      <w:r w:rsidRPr="00156AC2">
        <w:rPr>
          <w:bCs/>
          <w:color w:val="000000" w:themeColor="text1"/>
          <w:lang w:val="en-US"/>
        </w:rPr>
        <w:tab/>
        <w:t>The approval of motor vehicles equipped with C.I. engines with regard to the emission of visible pollutants by the engine</w:t>
      </w:r>
    </w:p>
    <w:p w14:paraId="24730B39" w14:textId="39C9924D" w:rsidR="0064636E" w:rsidRPr="00156AC2" w:rsidRDefault="00DE30C0" w:rsidP="00641B25">
      <w:pPr>
        <w:pStyle w:val="H1G"/>
        <w:spacing w:before="0" w:after="120" w:line="240" w:lineRule="exact"/>
        <w:ind w:left="1701" w:hanging="567"/>
        <w:rPr>
          <w:color w:val="000000" w:themeColor="text1"/>
        </w:rPr>
      </w:pPr>
      <w:r w:rsidRPr="00156AC2">
        <w:rPr>
          <w:bCs/>
          <w:color w:val="000000" w:themeColor="text1"/>
          <w:lang w:val="en-US"/>
        </w:rPr>
        <w:t>IV.</w:t>
      </w:r>
      <w:r w:rsidRPr="00156AC2">
        <w:rPr>
          <w:bCs/>
          <w:color w:val="000000" w:themeColor="text1"/>
          <w:lang w:val="en-US"/>
        </w:rPr>
        <w:tab/>
        <w:t>The measurement of power of C.I. engine</w:t>
      </w:r>
    </w:p>
    <w:p w14:paraId="6C824AF8" w14:textId="4134F561" w:rsidR="00B32121" w:rsidRPr="00156AC2" w:rsidRDefault="00D46AFF" w:rsidP="00A41529">
      <w:pPr>
        <w:pStyle w:val="SingleTxtG"/>
        <w:spacing w:after="40"/>
        <w:rPr>
          <w:color w:val="000000" w:themeColor="text1"/>
          <w:spacing w:val="-6"/>
          <w:lang w:eastAsia="en-GB"/>
        </w:rPr>
      </w:pPr>
      <w:r w:rsidRPr="00156AC2">
        <w:rPr>
          <w:noProof/>
          <w:color w:val="000000" w:themeColor="text1"/>
          <w:sz w:val="24"/>
          <w:lang w:eastAsia="en-GB"/>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156AC2">
        <w:rPr>
          <w:color w:val="000000" w:themeColor="text1"/>
          <w:spacing w:val="-4"/>
          <w:lang w:eastAsia="en-GB"/>
        </w:rPr>
        <w:t>This document is meant purely as documentation tool. The authentic and legal binding text is:</w:t>
      </w:r>
      <w:r w:rsidR="00B32121" w:rsidRPr="00156AC2">
        <w:rPr>
          <w:color w:val="000000" w:themeColor="text1"/>
          <w:lang w:eastAsia="en-GB"/>
        </w:rPr>
        <w:t xml:space="preserve"> </w:t>
      </w:r>
      <w:r w:rsidR="00DE5D62" w:rsidRPr="00156AC2">
        <w:rPr>
          <w:color w:val="000000" w:themeColor="text1"/>
          <w:spacing w:val="-6"/>
          <w:lang w:eastAsia="en-GB"/>
        </w:rPr>
        <w:t>ECE/TRANS/WP.29/</w:t>
      </w:r>
      <w:r w:rsidR="00D879E4" w:rsidRPr="00156AC2">
        <w:rPr>
          <w:color w:val="000000" w:themeColor="text1"/>
          <w:spacing w:val="-6"/>
          <w:lang w:eastAsia="en-GB"/>
        </w:rPr>
        <w:t>2021/</w:t>
      </w:r>
      <w:r w:rsidR="008623F3" w:rsidRPr="00156AC2">
        <w:rPr>
          <w:color w:val="000000" w:themeColor="text1"/>
          <w:spacing w:val="-6"/>
          <w:lang w:eastAsia="en-GB"/>
        </w:rPr>
        <w:t>67</w:t>
      </w:r>
      <w:r w:rsidR="00DE5D62" w:rsidRPr="00156AC2">
        <w:rPr>
          <w:color w:val="000000" w:themeColor="text1"/>
          <w:spacing w:val="-6"/>
          <w:lang w:eastAsia="en-GB"/>
        </w:rPr>
        <w:t>.</w:t>
      </w:r>
    </w:p>
    <w:p w14:paraId="34149201" w14:textId="7523D622" w:rsidR="00D46AFF" w:rsidRPr="00156AC2" w:rsidRDefault="00D46AFF" w:rsidP="00D46AFF">
      <w:pPr>
        <w:pStyle w:val="H1G"/>
        <w:spacing w:before="120"/>
        <w:ind w:left="0" w:right="0" w:firstLine="0"/>
        <w:jc w:val="center"/>
        <w:rPr>
          <w:color w:val="000000" w:themeColor="text1"/>
        </w:rPr>
      </w:pPr>
      <w:r w:rsidRPr="00156AC2">
        <w:rPr>
          <w:color w:val="000000" w:themeColor="text1"/>
        </w:rPr>
        <w:t>_________</w:t>
      </w:r>
    </w:p>
    <w:p w14:paraId="7DF1B66E" w14:textId="77777777" w:rsidR="00D46AFF" w:rsidRPr="00156AC2" w:rsidRDefault="000D3A4F" w:rsidP="00D46AFF">
      <w:pPr>
        <w:suppressAutoHyphens w:val="0"/>
        <w:spacing w:line="240" w:lineRule="auto"/>
        <w:jc w:val="center"/>
        <w:rPr>
          <w:b/>
          <w:color w:val="000000" w:themeColor="text1"/>
          <w:sz w:val="24"/>
        </w:rPr>
      </w:pPr>
      <w:r w:rsidRPr="00156AC2">
        <w:rPr>
          <w:b/>
          <w:color w:val="000000" w:themeColor="text1"/>
          <w:sz w:val="24"/>
        </w:rPr>
        <w:t>UNITED NATIONS</w:t>
      </w:r>
    </w:p>
    <w:p w14:paraId="36014A03" w14:textId="7BA1817E" w:rsidR="00DE5D62" w:rsidRPr="00156AC2" w:rsidRDefault="00D5540C" w:rsidP="00D46AFF">
      <w:pPr>
        <w:suppressAutoHyphens w:val="0"/>
        <w:spacing w:line="240" w:lineRule="auto"/>
        <w:rPr>
          <w:bCs/>
          <w:color w:val="000000" w:themeColor="text1"/>
          <w:u w:val="single"/>
        </w:rPr>
      </w:pPr>
      <w:r w:rsidRPr="00156AC2">
        <w:rPr>
          <w:color w:val="000000" w:themeColor="text1"/>
        </w:rPr>
        <w:br w:type="page"/>
      </w:r>
    </w:p>
    <w:p w14:paraId="7796AC44" w14:textId="77777777" w:rsidR="003D6965" w:rsidRPr="00D955A4" w:rsidRDefault="003D6965" w:rsidP="003D6965">
      <w:pPr>
        <w:widowControl w:val="0"/>
        <w:suppressAutoHyphens w:val="0"/>
        <w:autoSpaceDE w:val="0"/>
        <w:autoSpaceDN w:val="0"/>
        <w:spacing w:after="120" w:line="240" w:lineRule="auto"/>
        <w:ind w:left="1134"/>
        <w:rPr>
          <w:lang w:val="en-US"/>
        </w:rPr>
      </w:pPr>
      <w:r w:rsidRPr="00D955A4">
        <w:rPr>
          <w:rFonts w:eastAsia="Calibri"/>
          <w:i/>
          <w:iCs/>
          <w:lang w:val="en-US"/>
        </w:rPr>
        <w:lastRenderedPageBreak/>
        <w:t>Add a new paragraph 1.1.4.</w:t>
      </w:r>
      <w:r w:rsidRPr="00D955A4">
        <w:rPr>
          <w:rFonts w:eastAsia="Calibri"/>
          <w:lang w:val="en-US"/>
        </w:rPr>
        <w:t>, to read:</w:t>
      </w:r>
    </w:p>
    <w:p w14:paraId="6A5B9381" w14:textId="77777777" w:rsidR="003D6965" w:rsidRPr="00D955A4" w:rsidRDefault="003D6965" w:rsidP="003D6965">
      <w:pPr>
        <w:widowControl w:val="0"/>
        <w:suppressAutoHyphens w:val="0"/>
        <w:autoSpaceDE w:val="0"/>
        <w:autoSpaceDN w:val="0"/>
        <w:spacing w:after="120" w:line="240" w:lineRule="auto"/>
        <w:ind w:left="2268" w:hanging="1134"/>
        <w:rPr>
          <w:rFonts w:eastAsia="Calibri"/>
          <w:lang w:val="en-US"/>
        </w:rPr>
      </w:pPr>
      <w:r>
        <w:rPr>
          <w:rFonts w:eastAsia="Calibri"/>
          <w:lang w:val="en-US"/>
        </w:rPr>
        <w:t>"</w:t>
      </w:r>
      <w:r w:rsidRPr="00D955A4">
        <w:rPr>
          <w:rFonts w:eastAsia="Calibri"/>
          <w:lang w:val="en-US"/>
        </w:rPr>
        <w:t>1.1.4.</w:t>
      </w:r>
      <w:r w:rsidRPr="00D955A4">
        <w:rPr>
          <w:rFonts w:eastAsia="Calibri"/>
          <w:lang w:val="en-US"/>
        </w:rPr>
        <w:tab/>
        <w:t>Equivalent approvals</w:t>
      </w:r>
    </w:p>
    <w:p w14:paraId="56369DCB" w14:textId="181D8CDE" w:rsidR="003D6965" w:rsidRPr="00D955A4" w:rsidRDefault="003D6965" w:rsidP="003D6965">
      <w:pPr>
        <w:shd w:val="clear" w:color="auto" w:fill="FFFFFF"/>
        <w:suppressAutoHyphens w:val="0"/>
        <w:spacing w:after="120" w:line="240" w:lineRule="auto"/>
        <w:ind w:left="2268" w:right="1110"/>
        <w:jc w:val="both"/>
        <w:rPr>
          <w:highlight w:val="yellow"/>
          <w:lang w:val="en-US" w:eastAsia="it-IT"/>
        </w:rPr>
      </w:pPr>
      <w:r w:rsidRPr="00D955A4">
        <w:rPr>
          <w:lang w:val="en-US"/>
        </w:rPr>
        <w:t>An approval to the 06 and above series of amendments to UN Regulation No.</w:t>
      </w:r>
      <w:r w:rsidR="000D6E7F">
        <w:rPr>
          <w:lang w:val="en-US"/>
        </w:rPr>
        <w:t> </w:t>
      </w:r>
      <w:r w:rsidRPr="00D955A4">
        <w:rPr>
          <w:lang w:val="en-US"/>
        </w:rPr>
        <w:t>49 is considered to demonstrate compliance to this Regulation</w:t>
      </w:r>
      <w:r w:rsidRPr="00D955A4">
        <w:rPr>
          <w:lang w:val="en-US" w:eastAsia="it-IT"/>
        </w:rPr>
        <w:t xml:space="preserve"> </w:t>
      </w:r>
      <w:r w:rsidRPr="00D955A4">
        <w:rPr>
          <w:lang w:val="en-US"/>
        </w:rPr>
        <w:t>for approval with regard to the emission of visible pollutants</w:t>
      </w:r>
      <w:r w:rsidRPr="00D955A4">
        <w:rPr>
          <w:lang w:val="en-US" w:eastAsia="it-IT"/>
        </w:rPr>
        <w:t>. </w:t>
      </w:r>
      <w:r w:rsidRPr="00D955A4">
        <w:rPr>
          <w:lang w:val="en-US"/>
        </w:rPr>
        <w:t xml:space="preserve">C.I. engines and motor vehicles with C.I. engines type approved to this series of amendments to UN Regulation No. 49 have no visible pollutant emissions according to the specifications defined in paragraph 6. </w:t>
      </w:r>
    </w:p>
    <w:p w14:paraId="08505E19" w14:textId="77777777" w:rsidR="003D6965" w:rsidRPr="00D955A4" w:rsidRDefault="003D6965" w:rsidP="003D6965">
      <w:pPr>
        <w:widowControl w:val="0"/>
        <w:suppressAutoHyphens w:val="0"/>
        <w:autoSpaceDE w:val="0"/>
        <w:autoSpaceDN w:val="0"/>
        <w:spacing w:after="120" w:line="240" w:lineRule="auto"/>
        <w:ind w:left="2268" w:right="1134" w:hanging="1134"/>
        <w:jc w:val="both"/>
        <w:rPr>
          <w:rFonts w:eastAsia="Calibri"/>
          <w:lang w:val="en-US"/>
        </w:rPr>
      </w:pPr>
      <w:r w:rsidRPr="00D955A4">
        <w:rPr>
          <w:rFonts w:eastAsia="Calibri"/>
          <w:lang w:val="en-US"/>
        </w:rPr>
        <w:t>1.1.4.1.</w:t>
      </w:r>
      <w:r w:rsidRPr="00D955A4">
        <w:rPr>
          <w:rFonts w:eastAsia="Calibri"/>
          <w:lang w:val="en-US"/>
        </w:rPr>
        <w:tab/>
        <w:t>Provisions specified in paragraphs 6.1. and 24.1. apply. Together with the provisions for the approval mark specified in UN Regulation No. 49 the provisions for expressing an adsorption coefficient in m</w:t>
      </w:r>
      <w:r w:rsidRPr="00D955A4">
        <w:rPr>
          <w:rFonts w:eastAsia="Calibri"/>
          <w:vertAlign w:val="superscript"/>
          <w:lang w:val="en-US"/>
        </w:rPr>
        <w:t>-1</w:t>
      </w:r>
      <w:r w:rsidRPr="00D955A4">
        <w:rPr>
          <w:rFonts w:eastAsia="Calibri"/>
          <w:lang w:val="en-US"/>
        </w:rPr>
        <w:t xml:space="preserve"> according to paragraphs 5.4.3., 5.4.4. and 23.4.3. also apply. The applicable adsorption </w:t>
      </w:r>
      <w:r w:rsidRPr="006D2A36">
        <w:rPr>
          <w:rFonts w:eastAsia="Calibri"/>
          <w:lang w:val="en-US"/>
        </w:rPr>
        <w:t>coefficient is according to the provisions of Annex 5, paragraph 3. to this Regulation XM + 0.5, where XM is in this case zero."</w:t>
      </w:r>
    </w:p>
    <w:p w14:paraId="337B82AA" w14:textId="18766E3F" w:rsidR="00E8553E" w:rsidRPr="001A5741" w:rsidRDefault="00E8553E" w:rsidP="00E8553E">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r w:rsidR="0043300D">
        <w:rPr>
          <w:bCs/>
          <w:u w:val="single"/>
        </w:rPr>
        <w:tab/>
      </w:r>
    </w:p>
    <w:p w14:paraId="1B4E0132" w14:textId="77777777" w:rsidR="00776D12" w:rsidRDefault="00776D12" w:rsidP="00C711C7">
      <w:pPr>
        <w:jc w:val="center"/>
      </w:pPr>
    </w:p>
    <w:sectPr w:rsidR="00776D12" w:rsidSect="00641B25">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C8C7" w14:textId="77777777" w:rsidR="003D0983" w:rsidRDefault="003D0983"/>
  </w:endnote>
  <w:endnote w:type="continuationSeparator" w:id="0">
    <w:p w14:paraId="6F23BEE4" w14:textId="77777777" w:rsidR="003D0983" w:rsidRDefault="003D0983"/>
  </w:endnote>
  <w:endnote w:type="continuationNotice" w:id="1">
    <w:p w14:paraId="60931823" w14:textId="77777777" w:rsidR="003D0983" w:rsidRDefault="003D0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0473" w14:textId="1917C83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976D0">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7D" w14:textId="4067AB56"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976D0">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21F1" w14:textId="49E7857B" w:rsidR="00C8335E" w:rsidRDefault="00C8335E" w:rsidP="00C8335E">
    <w:pPr>
      <w:pStyle w:val="Footer"/>
    </w:pPr>
    <w:r>
      <w:rPr>
        <w:noProof/>
        <w:sz w:val="20"/>
      </w:rPr>
      <w:drawing>
        <wp:anchor distT="0" distB="0" distL="114300" distR="114300" simplePos="0" relativeHeight="251660288" behindDoc="0" locked="0" layoutInCell="1" allowOverlap="1" wp14:anchorId="6E108AD5" wp14:editId="5AAC3594">
          <wp:simplePos x="0" y="0"/>
          <wp:positionH relativeFrom="column">
            <wp:posOffset>5466715</wp:posOffset>
          </wp:positionH>
          <wp:positionV relativeFrom="paragraph">
            <wp:posOffset>-213360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4BA6E1FB" wp14:editId="751ED92F">
          <wp:simplePos x="0" y="0"/>
          <wp:positionH relativeFrom="margin">
            <wp:posOffset>4330700</wp:posOffset>
          </wp:positionH>
          <wp:positionV relativeFrom="margin">
            <wp:posOffset>9241155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5AB1141" w14:textId="27AA4360" w:rsidR="00C8335E" w:rsidRPr="00C8335E" w:rsidRDefault="00C8335E" w:rsidP="00C8335E">
    <w:pPr>
      <w:pStyle w:val="Footer"/>
      <w:ind w:right="1134"/>
      <w:rPr>
        <w:sz w:val="20"/>
      </w:rPr>
    </w:pPr>
    <w:bookmarkStart w:id="4" w:name="_GoBack"/>
    <w:bookmarkEnd w:id="4"/>
    <w:r>
      <w:rPr>
        <w:sz w:val="20"/>
      </w:rPr>
      <w:t>GE.22-02350(E)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2140" w14:textId="77777777" w:rsidR="003D0983" w:rsidRPr="000B175B" w:rsidRDefault="003D0983" w:rsidP="000B175B">
      <w:pPr>
        <w:tabs>
          <w:tab w:val="right" w:pos="2155"/>
        </w:tabs>
        <w:spacing w:after="80"/>
        <w:ind w:left="680"/>
        <w:rPr>
          <w:u w:val="single"/>
        </w:rPr>
      </w:pPr>
      <w:r>
        <w:rPr>
          <w:u w:val="single"/>
        </w:rPr>
        <w:tab/>
      </w:r>
    </w:p>
  </w:footnote>
  <w:footnote w:type="continuationSeparator" w:id="0">
    <w:p w14:paraId="090CA6B9" w14:textId="77777777" w:rsidR="003D0983" w:rsidRPr="00FC68B7" w:rsidRDefault="003D0983" w:rsidP="00FC68B7">
      <w:pPr>
        <w:tabs>
          <w:tab w:val="left" w:pos="2155"/>
        </w:tabs>
        <w:spacing w:after="80"/>
        <w:ind w:left="680"/>
        <w:rPr>
          <w:u w:val="single"/>
        </w:rPr>
      </w:pPr>
      <w:r>
        <w:rPr>
          <w:u w:val="single"/>
        </w:rPr>
        <w:tab/>
      </w:r>
    </w:p>
  </w:footnote>
  <w:footnote w:type="continuationNotice" w:id="1">
    <w:p w14:paraId="429191CF" w14:textId="77777777" w:rsidR="003D0983" w:rsidRDefault="003D0983"/>
  </w:footnote>
  <w:footnote w:id="2">
    <w:p w14:paraId="44F30661" w14:textId="77777777" w:rsidR="004A29CA" w:rsidRPr="00156AC2" w:rsidRDefault="004A29CA" w:rsidP="004A29CA">
      <w:pPr>
        <w:pStyle w:val="FootnoteText"/>
        <w:rPr>
          <w:color w:val="000000" w:themeColor="text1"/>
          <w:lang w:val="en-US"/>
        </w:rPr>
      </w:pPr>
      <w:r w:rsidRPr="00156AC2">
        <w:rPr>
          <w:color w:val="000000" w:themeColor="text1"/>
        </w:rPr>
        <w:tab/>
      </w:r>
      <w:r w:rsidRPr="00156AC2">
        <w:rPr>
          <w:rStyle w:val="FootnoteReference"/>
          <w:color w:val="000000" w:themeColor="text1"/>
          <w:sz w:val="20"/>
          <w:lang w:val="en-US"/>
        </w:rPr>
        <w:t>*</w:t>
      </w:r>
      <w:r w:rsidRPr="00156AC2">
        <w:rPr>
          <w:color w:val="000000" w:themeColor="text1"/>
          <w:sz w:val="20"/>
          <w:lang w:val="en-US"/>
        </w:rPr>
        <w:tab/>
      </w:r>
      <w:r w:rsidRPr="00156AC2">
        <w:rPr>
          <w:color w:val="000000" w:themeColor="text1"/>
          <w:lang w:val="en-US"/>
        </w:rPr>
        <w:t>Former titles of the Agreement:</w:t>
      </w:r>
    </w:p>
    <w:p w14:paraId="3A488FA8" w14:textId="77777777" w:rsidR="004A29CA" w:rsidRPr="00156AC2" w:rsidRDefault="004A29CA" w:rsidP="004A29CA">
      <w:pPr>
        <w:pStyle w:val="FootnoteText"/>
        <w:rPr>
          <w:color w:val="000000" w:themeColor="text1"/>
          <w:sz w:val="20"/>
          <w:lang w:val="en-US"/>
        </w:rPr>
      </w:pPr>
      <w:r w:rsidRPr="00156AC2">
        <w:rPr>
          <w:color w:val="000000" w:themeColor="text1"/>
          <w:lang w:val="en-US"/>
        </w:rPr>
        <w:tab/>
      </w:r>
      <w:r w:rsidRPr="00156AC2">
        <w:rPr>
          <w:color w:val="000000" w:themeColor="text1"/>
          <w:lang w:val="en-US"/>
        </w:rPr>
        <w:tab/>
      </w:r>
      <w:r w:rsidRPr="00156AC2">
        <w:rPr>
          <w:color w:val="000000" w:themeColor="text1"/>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156AC2" w:rsidRDefault="004A29CA" w:rsidP="004A29CA">
      <w:pPr>
        <w:pStyle w:val="FootnoteText"/>
        <w:rPr>
          <w:color w:val="000000" w:themeColor="text1"/>
          <w:lang w:val="en-US"/>
        </w:rPr>
      </w:pPr>
      <w:r w:rsidRPr="00156AC2">
        <w:rPr>
          <w:color w:val="000000" w:themeColor="text1"/>
          <w:lang w:val="en-US"/>
        </w:rPr>
        <w:tab/>
      </w:r>
      <w:r w:rsidRPr="00156AC2">
        <w:rPr>
          <w:color w:val="000000" w:themeColor="text1"/>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0B60" w14:textId="4ACABC86" w:rsidR="00B701B3" w:rsidRDefault="00B701B3">
    <w:pPr>
      <w:pStyle w:val="Header"/>
    </w:pPr>
    <w:r w:rsidRPr="00D623A7">
      <w:t>E/ECE/324</w:t>
    </w:r>
    <w:r w:rsidRPr="00841EB5">
      <w:t>/</w:t>
    </w:r>
    <w:r w:rsidR="00D33957" w:rsidRPr="00C51B97">
      <w:t>Rev.</w:t>
    </w:r>
    <w:r w:rsidR="00D33957">
      <w:t>1</w:t>
    </w:r>
    <w:r w:rsidR="00D33957" w:rsidRPr="00C51B97">
      <w:t>/</w:t>
    </w:r>
    <w:r w:rsidR="00DE30C0" w:rsidRPr="00C51B97">
      <w:t>Add.</w:t>
    </w:r>
    <w:r w:rsidR="00DE30C0">
      <w:t>23</w:t>
    </w:r>
    <w:r w:rsidR="00DE30C0" w:rsidRPr="00C51B97">
      <w:t>/Rev.</w:t>
    </w:r>
    <w:r w:rsidR="00DE30C0">
      <w:t>2</w:t>
    </w:r>
    <w:r w:rsidR="00DE30C0" w:rsidRPr="00C51B97">
      <w:t>/Amend.</w:t>
    </w:r>
    <w:r w:rsidR="008623F3">
      <w:t>6</w:t>
    </w:r>
    <w:r>
      <w:br/>
    </w:r>
    <w:r w:rsidRPr="00D623A7">
      <w:t>E/ECE/TRANS/505</w:t>
    </w:r>
    <w:r w:rsidRPr="00841EB5">
      <w:t>/</w:t>
    </w:r>
    <w:r w:rsidR="00D33957" w:rsidRPr="00C51B97">
      <w:t>Rev.</w:t>
    </w:r>
    <w:r w:rsidR="00D33957">
      <w:t>1</w:t>
    </w:r>
    <w:r w:rsidR="00D33957" w:rsidRPr="00C51B97">
      <w:t>/</w:t>
    </w:r>
    <w:r w:rsidR="00DE30C0" w:rsidRPr="00C51B97">
      <w:t>Add.</w:t>
    </w:r>
    <w:r w:rsidR="00DE30C0">
      <w:t>23</w:t>
    </w:r>
    <w:r w:rsidR="00DE30C0" w:rsidRPr="00C51B97">
      <w:t>/Rev.</w:t>
    </w:r>
    <w:r w:rsidR="00DE30C0">
      <w:t>2</w:t>
    </w:r>
    <w:r w:rsidR="00DE30C0" w:rsidRPr="00C51B97">
      <w:t>/Amend.</w:t>
    </w:r>
    <w:r w:rsidR="008623F3">
      <w:t>6</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837B" w14:textId="54298303" w:rsidR="00B701B3" w:rsidRPr="00EA0991" w:rsidRDefault="00B701B3" w:rsidP="00776D12">
    <w:pPr>
      <w:pStyle w:val="Header"/>
      <w:jc w:val="right"/>
    </w:pPr>
    <w:r w:rsidRPr="00EA0991">
      <w:t>E/ECE/324/</w:t>
    </w:r>
    <w:r w:rsidR="00D33957" w:rsidRPr="00C51B97">
      <w:t>Rev.</w:t>
    </w:r>
    <w:r w:rsidR="00D33957">
      <w:t>1</w:t>
    </w:r>
    <w:r w:rsidR="00D33957" w:rsidRPr="00C51B97">
      <w:t>/</w:t>
    </w:r>
    <w:r w:rsidR="00DE30C0" w:rsidRPr="00C51B97">
      <w:t>Add.</w:t>
    </w:r>
    <w:r w:rsidR="00DE30C0">
      <w:t>23</w:t>
    </w:r>
    <w:r w:rsidR="00DE30C0" w:rsidRPr="00C51B97">
      <w:t>/Rev.</w:t>
    </w:r>
    <w:r w:rsidR="00DE30C0">
      <w:t>2</w:t>
    </w:r>
    <w:r w:rsidR="00DE30C0" w:rsidRPr="00C51B97">
      <w:t>/Amend.</w:t>
    </w:r>
    <w:r w:rsidR="000C3397">
      <w:t>6</w:t>
    </w:r>
    <w:r w:rsidRPr="00EA0991">
      <w:br/>
      <w:t>E/ECE/TRANS/505/</w:t>
    </w:r>
    <w:r w:rsidR="00D33957" w:rsidRPr="00C51B97">
      <w:t>Rev.</w:t>
    </w:r>
    <w:r w:rsidR="00D33957">
      <w:t>1</w:t>
    </w:r>
    <w:r w:rsidR="00D33957" w:rsidRPr="00C51B97">
      <w:t>/</w:t>
    </w:r>
    <w:r w:rsidR="00DE30C0" w:rsidRPr="00C51B97">
      <w:t>Add.</w:t>
    </w:r>
    <w:r w:rsidR="00DE30C0">
      <w:t>23</w:t>
    </w:r>
    <w:r w:rsidR="00DE30C0" w:rsidRPr="00C51B97">
      <w:t>/Rev.</w:t>
    </w:r>
    <w:r w:rsidR="00DE30C0">
      <w:t>2</w:t>
    </w:r>
    <w:r w:rsidR="00DE30C0" w:rsidRPr="00C51B97">
      <w:t>/Amend.</w:t>
    </w:r>
    <w:r w:rsidR="000C3397">
      <w:t>6</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30"/>
    <w:rsid w:val="00002A7D"/>
    <w:rsid w:val="000038A8"/>
    <w:rsid w:val="00005DF3"/>
    <w:rsid w:val="00006790"/>
    <w:rsid w:val="00023280"/>
    <w:rsid w:val="00027624"/>
    <w:rsid w:val="00050F6B"/>
    <w:rsid w:val="00065A5A"/>
    <w:rsid w:val="00066E98"/>
    <w:rsid w:val="000678CD"/>
    <w:rsid w:val="00072C8C"/>
    <w:rsid w:val="000774EB"/>
    <w:rsid w:val="00081CE0"/>
    <w:rsid w:val="00084D30"/>
    <w:rsid w:val="00086287"/>
    <w:rsid w:val="00090320"/>
    <w:rsid w:val="000931C0"/>
    <w:rsid w:val="00097003"/>
    <w:rsid w:val="000A2E09"/>
    <w:rsid w:val="000B175B"/>
    <w:rsid w:val="000B3A0F"/>
    <w:rsid w:val="000B53AC"/>
    <w:rsid w:val="000B7AE8"/>
    <w:rsid w:val="000C3397"/>
    <w:rsid w:val="000D3A4F"/>
    <w:rsid w:val="000D6E7F"/>
    <w:rsid w:val="000E0415"/>
    <w:rsid w:val="000F2875"/>
    <w:rsid w:val="000F7715"/>
    <w:rsid w:val="001220B8"/>
    <w:rsid w:val="00134B40"/>
    <w:rsid w:val="001352D9"/>
    <w:rsid w:val="00156AC2"/>
    <w:rsid w:val="00156B99"/>
    <w:rsid w:val="00156D51"/>
    <w:rsid w:val="0016320F"/>
    <w:rsid w:val="00165E82"/>
    <w:rsid w:val="00166124"/>
    <w:rsid w:val="0016678B"/>
    <w:rsid w:val="001701F3"/>
    <w:rsid w:val="00181D9E"/>
    <w:rsid w:val="00184DDA"/>
    <w:rsid w:val="001900CD"/>
    <w:rsid w:val="001A0452"/>
    <w:rsid w:val="001A66A2"/>
    <w:rsid w:val="001B4B04"/>
    <w:rsid w:val="001B5875"/>
    <w:rsid w:val="001C4B9C"/>
    <w:rsid w:val="001C6663"/>
    <w:rsid w:val="001C7895"/>
    <w:rsid w:val="001D26DF"/>
    <w:rsid w:val="001E0D07"/>
    <w:rsid w:val="001F1599"/>
    <w:rsid w:val="001F19C4"/>
    <w:rsid w:val="002043F0"/>
    <w:rsid w:val="00211E0B"/>
    <w:rsid w:val="00232575"/>
    <w:rsid w:val="002405A7"/>
    <w:rsid w:val="00247258"/>
    <w:rsid w:val="00257CAC"/>
    <w:rsid w:val="00270D8E"/>
    <w:rsid w:val="00271A7F"/>
    <w:rsid w:val="0027237A"/>
    <w:rsid w:val="002974E9"/>
    <w:rsid w:val="002A1E3A"/>
    <w:rsid w:val="002A306B"/>
    <w:rsid w:val="002A7F94"/>
    <w:rsid w:val="002B109A"/>
    <w:rsid w:val="002B5E74"/>
    <w:rsid w:val="002B6AA5"/>
    <w:rsid w:val="002C540F"/>
    <w:rsid w:val="002C6D45"/>
    <w:rsid w:val="002D6E53"/>
    <w:rsid w:val="002F046D"/>
    <w:rsid w:val="002F3023"/>
    <w:rsid w:val="00301764"/>
    <w:rsid w:val="00304F99"/>
    <w:rsid w:val="003107FA"/>
    <w:rsid w:val="00312E48"/>
    <w:rsid w:val="003229D8"/>
    <w:rsid w:val="0032409B"/>
    <w:rsid w:val="00336C97"/>
    <w:rsid w:val="0033745A"/>
    <w:rsid w:val="00337F88"/>
    <w:rsid w:val="00342432"/>
    <w:rsid w:val="00342D8F"/>
    <w:rsid w:val="0035223F"/>
    <w:rsid w:val="00352D4B"/>
    <w:rsid w:val="00353E24"/>
    <w:rsid w:val="0035638C"/>
    <w:rsid w:val="003852F5"/>
    <w:rsid w:val="003863B0"/>
    <w:rsid w:val="0039277A"/>
    <w:rsid w:val="003948A9"/>
    <w:rsid w:val="003972E0"/>
    <w:rsid w:val="003A46BB"/>
    <w:rsid w:val="003A4EC7"/>
    <w:rsid w:val="003A61A3"/>
    <w:rsid w:val="003A7295"/>
    <w:rsid w:val="003B1F60"/>
    <w:rsid w:val="003B7F10"/>
    <w:rsid w:val="003C2CC4"/>
    <w:rsid w:val="003C3936"/>
    <w:rsid w:val="003D0983"/>
    <w:rsid w:val="003D4B23"/>
    <w:rsid w:val="003D6965"/>
    <w:rsid w:val="003E278A"/>
    <w:rsid w:val="003F1ED3"/>
    <w:rsid w:val="004101F6"/>
    <w:rsid w:val="00413520"/>
    <w:rsid w:val="004325CB"/>
    <w:rsid w:val="0043300D"/>
    <w:rsid w:val="00440758"/>
    <w:rsid w:val="00440A07"/>
    <w:rsid w:val="00442E3F"/>
    <w:rsid w:val="00445C26"/>
    <w:rsid w:val="00446DE4"/>
    <w:rsid w:val="00462880"/>
    <w:rsid w:val="00463932"/>
    <w:rsid w:val="00476F24"/>
    <w:rsid w:val="00482FF7"/>
    <w:rsid w:val="00493062"/>
    <w:rsid w:val="004A29CA"/>
    <w:rsid w:val="004A41CA"/>
    <w:rsid w:val="004A5D33"/>
    <w:rsid w:val="004A70D2"/>
    <w:rsid w:val="004C55B0"/>
    <w:rsid w:val="004E3690"/>
    <w:rsid w:val="004E3FEB"/>
    <w:rsid w:val="004F6BA0"/>
    <w:rsid w:val="00503228"/>
    <w:rsid w:val="00503BEA"/>
    <w:rsid w:val="00503DC0"/>
    <w:rsid w:val="00505384"/>
    <w:rsid w:val="005211B3"/>
    <w:rsid w:val="00533616"/>
    <w:rsid w:val="00535ABA"/>
    <w:rsid w:val="0053768B"/>
    <w:rsid w:val="005420F2"/>
    <w:rsid w:val="0054285C"/>
    <w:rsid w:val="0054561B"/>
    <w:rsid w:val="00582B38"/>
    <w:rsid w:val="00584173"/>
    <w:rsid w:val="00595520"/>
    <w:rsid w:val="005A44B9"/>
    <w:rsid w:val="005B1BA0"/>
    <w:rsid w:val="005B3DB3"/>
    <w:rsid w:val="005B55DC"/>
    <w:rsid w:val="005C0268"/>
    <w:rsid w:val="005C087F"/>
    <w:rsid w:val="005D15CA"/>
    <w:rsid w:val="005D7D39"/>
    <w:rsid w:val="005E1409"/>
    <w:rsid w:val="005F04AA"/>
    <w:rsid w:val="005F08DF"/>
    <w:rsid w:val="005F3066"/>
    <w:rsid w:val="005F3E61"/>
    <w:rsid w:val="005F4236"/>
    <w:rsid w:val="00604DDD"/>
    <w:rsid w:val="006115CC"/>
    <w:rsid w:val="00611FC4"/>
    <w:rsid w:val="00616B23"/>
    <w:rsid w:val="006176FB"/>
    <w:rsid w:val="00623235"/>
    <w:rsid w:val="00627ED0"/>
    <w:rsid w:val="00630FCB"/>
    <w:rsid w:val="00640B26"/>
    <w:rsid w:val="00641B25"/>
    <w:rsid w:val="0064636E"/>
    <w:rsid w:val="0065766B"/>
    <w:rsid w:val="00665595"/>
    <w:rsid w:val="006770B2"/>
    <w:rsid w:val="00677538"/>
    <w:rsid w:val="00677902"/>
    <w:rsid w:val="00686A48"/>
    <w:rsid w:val="0068763C"/>
    <w:rsid w:val="0069341E"/>
    <w:rsid w:val="006940E1"/>
    <w:rsid w:val="00694209"/>
    <w:rsid w:val="006A3C72"/>
    <w:rsid w:val="006A67EF"/>
    <w:rsid w:val="006A7392"/>
    <w:rsid w:val="006B03A1"/>
    <w:rsid w:val="006B67D9"/>
    <w:rsid w:val="006C5535"/>
    <w:rsid w:val="006C590B"/>
    <w:rsid w:val="006D0589"/>
    <w:rsid w:val="006D2A36"/>
    <w:rsid w:val="006E564B"/>
    <w:rsid w:val="006E678C"/>
    <w:rsid w:val="006E7154"/>
    <w:rsid w:val="006F15FC"/>
    <w:rsid w:val="006F535A"/>
    <w:rsid w:val="007003CD"/>
    <w:rsid w:val="0070701E"/>
    <w:rsid w:val="00713BD8"/>
    <w:rsid w:val="0072632A"/>
    <w:rsid w:val="00726C7E"/>
    <w:rsid w:val="007358E8"/>
    <w:rsid w:val="00736ECE"/>
    <w:rsid w:val="00743CD6"/>
    <w:rsid w:val="007442E5"/>
    <w:rsid w:val="00745004"/>
    <w:rsid w:val="0074533B"/>
    <w:rsid w:val="00750602"/>
    <w:rsid w:val="007643BC"/>
    <w:rsid w:val="00767DDE"/>
    <w:rsid w:val="00776D12"/>
    <w:rsid w:val="00780C68"/>
    <w:rsid w:val="007959FE"/>
    <w:rsid w:val="007A0CF1"/>
    <w:rsid w:val="007A6E97"/>
    <w:rsid w:val="007B6BA5"/>
    <w:rsid w:val="007C3390"/>
    <w:rsid w:val="007C42D8"/>
    <w:rsid w:val="007C4F4B"/>
    <w:rsid w:val="007D6F65"/>
    <w:rsid w:val="007D7362"/>
    <w:rsid w:val="007E6B03"/>
    <w:rsid w:val="007F0B83"/>
    <w:rsid w:val="007F5CE2"/>
    <w:rsid w:val="007F6611"/>
    <w:rsid w:val="00806456"/>
    <w:rsid w:val="00810BAC"/>
    <w:rsid w:val="00815E13"/>
    <w:rsid w:val="008175E9"/>
    <w:rsid w:val="008242D7"/>
    <w:rsid w:val="0082577B"/>
    <w:rsid w:val="00825CB5"/>
    <w:rsid w:val="00827E05"/>
    <w:rsid w:val="008311A3"/>
    <w:rsid w:val="00841EB5"/>
    <w:rsid w:val="008518D5"/>
    <w:rsid w:val="008623F3"/>
    <w:rsid w:val="00862A47"/>
    <w:rsid w:val="00866893"/>
    <w:rsid w:val="00866F02"/>
    <w:rsid w:val="00867D18"/>
    <w:rsid w:val="00871F9A"/>
    <w:rsid w:val="00871FD5"/>
    <w:rsid w:val="0088172E"/>
    <w:rsid w:val="00881EFA"/>
    <w:rsid w:val="008879CB"/>
    <w:rsid w:val="008948AC"/>
    <w:rsid w:val="008979B1"/>
    <w:rsid w:val="008A17BB"/>
    <w:rsid w:val="008A6B25"/>
    <w:rsid w:val="008A6C4F"/>
    <w:rsid w:val="008B389E"/>
    <w:rsid w:val="008C3804"/>
    <w:rsid w:val="008C56E4"/>
    <w:rsid w:val="008D045E"/>
    <w:rsid w:val="008D3F25"/>
    <w:rsid w:val="008D4D82"/>
    <w:rsid w:val="008E0E46"/>
    <w:rsid w:val="008E45BC"/>
    <w:rsid w:val="008E475B"/>
    <w:rsid w:val="008E7116"/>
    <w:rsid w:val="008F143B"/>
    <w:rsid w:val="008F3882"/>
    <w:rsid w:val="008F4B7C"/>
    <w:rsid w:val="00907AD2"/>
    <w:rsid w:val="00926E47"/>
    <w:rsid w:val="00932827"/>
    <w:rsid w:val="00941865"/>
    <w:rsid w:val="00947162"/>
    <w:rsid w:val="009610D0"/>
    <w:rsid w:val="0096375C"/>
    <w:rsid w:val="00963CBA"/>
    <w:rsid w:val="009662E6"/>
    <w:rsid w:val="0097095E"/>
    <w:rsid w:val="00974A8D"/>
    <w:rsid w:val="00974B84"/>
    <w:rsid w:val="0098592B"/>
    <w:rsid w:val="00985FC4"/>
    <w:rsid w:val="00990766"/>
    <w:rsid w:val="00991261"/>
    <w:rsid w:val="00993DD3"/>
    <w:rsid w:val="009964C4"/>
    <w:rsid w:val="009A2B72"/>
    <w:rsid w:val="009A3F34"/>
    <w:rsid w:val="009A7B81"/>
    <w:rsid w:val="009B7EB7"/>
    <w:rsid w:val="009D01C0"/>
    <w:rsid w:val="009D1FA2"/>
    <w:rsid w:val="009D6A08"/>
    <w:rsid w:val="009E0A16"/>
    <w:rsid w:val="009E6CB7"/>
    <w:rsid w:val="009E7970"/>
    <w:rsid w:val="009F2EAC"/>
    <w:rsid w:val="009F3A17"/>
    <w:rsid w:val="009F3C0D"/>
    <w:rsid w:val="009F57E3"/>
    <w:rsid w:val="00A10F4F"/>
    <w:rsid w:val="00A11067"/>
    <w:rsid w:val="00A1427D"/>
    <w:rsid w:val="00A1704A"/>
    <w:rsid w:val="00A36AC2"/>
    <w:rsid w:val="00A41529"/>
    <w:rsid w:val="00A425EB"/>
    <w:rsid w:val="00A569D6"/>
    <w:rsid w:val="00A72F22"/>
    <w:rsid w:val="00A733BC"/>
    <w:rsid w:val="00A748A6"/>
    <w:rsid w:val="00A76A69"/>
    <w:rsid w:val="00A85956"/>
    <w:rsid w:val="00A879A4"/>
    <w:rsid w:val="00A96092"/>
    <w:rsid w:val="00AA0FF8"/>
    <w:rsid w:val="00AC0F2C"/>
    <w:rsid w:val="00AC502A"/>
    <w:rsid w:val="00AE1E26"/>
    <w:rsid w:val="00AF58C1"/>
    <w:rsid w:val="00B04A3F"/>
    <w:rsid w:val="00B06131"/>
    <w:rsid w:val="00B06643"/>
    <w:rsid w:val="00B15055"/>
    <w:rsid w:val="00B20551"/>
    <w:rsid w:val="00B30179"/>
    <w:rsid w:val="00B30DC7"/>
    <w:rsid w:val="00B31E0B"/>
    <w:rsid w:val="00B32121"/>
    <w:rsid w:val="00B33EC0"/>
    <w:rsid w:val="00B33FC7"/>
    <w:rsid w:val="00B37A1A"/>
    <w:rsid w:val="00B37B15"/>
    <w:rsid w:val="00B4162A"/>
    <w:rsid w:val="00B439C2"/>
    <w:rsid w:val="00B45C02"/>
    <w:rsid w:val="00B516BB"/>
    <w:rsid w:val="00B701B3"/>
    <w:rsid w:val="00B70B63"/>
    <w:rsid w:val="00B72A1E"/>
    <w:rsid w:val="00B81E12"/>
    <w:rsid w:val="00B94956"/>
    <w:rsid w:val="00BA339B"/>
    <w:rsid w:val="00BB23CC"/>
    <w:rsid w:val="00BC1E7E"/>
    <w:rsid w:val="00BC2683"/>
    <w:rsid w:val="00BC28C3"/>
    <w:rsid w:val="00BC358D"/>
    <w:rsid w:val="00BC74E9"/>
    <w:rsid w:val="00BD14ED"/>
    <w:rsid w:val="00BD2146"/>
    <w:rsid w:val="00BD538F"/>
    <w:rsid w:val="00BD737F"/>
    <w:rsid w:val="00BE11FA"/>
    <w:rsid w:val="00BE36A9"/>
    <w:rsid w:val="00BE4F74"/>
    <w:rsid w:val="00BE618E"/>
    <w:rsid w:val="00BE7BEC"/>
    <w:rsid w:val="00BF0A5A"/>
    <w:rsid w:val="00BF0E63"/>
    <w:rsid w:val="00BF12A3"/>
    <w:rsid w:val="00BF16D7"/>
    <w:rsid w:val="00BF2373"/>
    <w:rsid w:val="00BF279B"/>
    <w:rsid w:val="00BF4A36"/>
    <w:rsid w:val="00C044E2"/>
    <w:rsid w:val="00C048CB"/>
    <w:rsid w:val="00C066F3"/>
    <w:rsid w:val="00C17699"/>
    <w:rsid w:val="00C41A28"/>
    <w:rsid w:val="00C460A4"/>
    <w:rsid w:val="00C463DD"/>
    <w:rsid w:val="00C545CC"/>
    <w:rsid w:val="00C611BA"/>
    <w:rsid w:val="00C711C7"/>
    <w:rsid w:val="00C71A58"/>
    <w:rsid w:val="00C745C3"/>
    <w:rsid w:val="00C8335E"/>
    <w:rsid w:val="00C84414"/>
    <w:rsid w:val="00C978F5"/>
    <w:rsid w:val="00CA1FD0"/>
    <w:rsid w:val="00CA24A4"/>
    <w:rsid w:val="00CB348D"/>
    <w:rsid w:val="00CD46F5"/>
    <w:rsid w:val="00CE4A8F"/>
    <w:rsid w:val="00CE5E33"/>
    <w:rsid w:val="00CF071D"/>
    <w:rsid w:val="00CF4C6E"/>
    <w:rsid w:val="00CF7F17"/>
    <w:rsid w:val="00D0123D"/>
    <w:rsid w:val="00D15B04"/>
    <w:rsid w:val="00D2031B"/>
    <w:rsid w:val="00D25FE2"/>
    <w:rsid w:val="00D317BB"/>
    <w:rsid w:val="00D33957"/>
    <w:rsid w:val="00D37DA9"/>
    <w:rsid w:val="00D406A7"/>
    <w:rsid w:val="00D43252"/>
    <w:rsid w:val="00D44D86"/>
    <w:rsid w:val="00D46AFF"/>
    <w:rsid w:val="00D50B7D"/>
    <w:rsid w:val="00D52012"/>
    <w:rsid w:val="00D5540C"/>
    <w:rsid w:val="00D562F6"/>
    <w:rsid w:val="00D623A7"/>
    <w:rsid w:val="00D6614F"/>
    <w:rsid w:val="00D704E5"/>
    <w:rsid w:val="00D72727"/>
    <w:rsid w:val="00D879E4"/>
    <w:rsid w:val="00D976D0"/>
    <w:rsid w:val="00D978C6"/>
    <w:rsid w:val="00DA0956"/>
    <w:rsid w:val="00DA357F"/>
    <w:rsid w:val="00DA3E12"/>
    <w:rsid w:val="00DA67AD"/>
    <w:rsid w:val="00DB5D0F"/>
    <w:rsid w:val="00DC18AD"/>
    <w:rsid w:val="00DC3F07"/>
    <w:rsid w:val="00DC560C"/>
    <w:rsid w:val="00DE30C0"/>
    <w:rsid w:val="00DE5D62"/>
    <w:rsid w:val="00DF12F7"/>
    <w:rsid w:val="00DF3A2D"/>
    <w:rsid w:val="00DF7CAE"/>
    <w:rsid w:val="00E02C81"/>
    <w:rsid w:val="00E130AB"/>
    <w:rsid w:val="00E423C0"/>
    <w:rsid w:val="00E506F0"/>
    <w:rsid w:val="00E53330"/>
    <w:rsid w:val="00E6414C"/>
    <w:rsid w:val="00E7260F"/>
    <w:rsid w:val="00E82951"/>
    <w:rsid w:val="00E8553E"/>
    <w:rsid w:val="00E8702D"/>
    <w:rsid w:val="00E87134"/>
    <w:rsid w:val="00E87921"/>
    <w:rsid w:val="00E905F4"/>
    <w:rsid w:val="00E90F52"/>
    <w:rsid w:val="00E916A9"/>
    <w:rsid w:val="00E916DE"/>
    <w:rsid w:val="00E91C12"/>
    <w:rsid w:val="00E925AD"/>
    <w:rsid w:val="00E96630"/>
    <w:rsid w:val="00EA08CA"/>
    <w:rsid w:val="00EA0991"/>
    <w:rsid w:val="00EA0ED6"/>
    <w:rsid w:val="00EA264E"/>
    <w:rsid w:val="00EC4643"/>
    <w:rsid w:val="00ED18DC"/>
    <w:rsid w:val="00ED6201"/>
    <w:rsid w:val="00ED7A2A"/>
    <w:rsid w:val="00EE0654"/>
    <w:rsid w:val="00EF1D7F"/>
    <w:rsid w:val="00F0137E"/>
    <w:rsid w:val="00F04E44"/>
    <w:rsid w:val="00F1655D"/>
    <w:rsid w:val="00F21786"/>
    <w:rsid w:val="00F25D06"/>
    <w:rsid w:val="00F31CFF"/>
    <w:rsid w:val="00F3742B"/>
    <w:rsid w:val="00F41FDB"/>
    <w:rsid w:val="00F50597"/>
    <w:rsid w:val="00F53EDA"/>
    <w:rsid w:val="00F56D63"/>
    <w:rsid w:val="00F609A9"/>
    <w:rsid w:val="00F7753D"/>
    <w:rsid w:val="00F80C99"/>
    <w:rsid w:val="00F85F34"/>
    <w:rsid w:val="00F867EC"/>
    <w:rsid w:val="00F91B2B"/>
    <w:rsid w:val="00F940BE"/>
    <w:rsid w:val="00F94608"/>
    <w:rsid w:val="00FA06F7"/>
    <w:rsid w:val="00FA619F"/>
    <w:rsid w:val="00FB171A"/>
    <w:rsid w:val="00FB342E"/>
    <w:rsid w:val="00FC03CD"/>
    <w:rsid w:val="00FC0646"/>
    <w:rsid w:val="00FC15E4"/>
    <w:rsid w:val="00FC68B7"/>
    <w:rsid w:val="00FD7BF6"/>
    <w:rsid w:val="00FE6985"/>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 w:type="paragraph" w:styleId="Revision">
    <w:name w:val="Revision"/>
    <w:hidden/>
    <w:uiPriority w:val="99"/>
    <w:semiHidden/>
    <w:rsid w:val="0067790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9E547-36DB-4C44-8797-DB182B4731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D7FB56-60F4-4E84-BE79-0484996E340C}">
  <ds:schemaRefs>
    <ds:schemaRef ds:uri="http://schemas.microsoft.com/sharepoint/v3/contenttype/forms"/>
  </ds:schemaRefs>
</ds:datastoreItem>
</file>

<file path=customXml/itemProps3.xml><?xml version="1.0" encoding="utf-8"?>
<ds:datastoreItem xmlns:ds="http://schemas.openxmlformats.org/officeDocument/2006/customXml" ds:itemID="{E3807D81-7052-4A32-B020-CBB92526F6FD}">
  <ds:schemaRefs>
    <ds:schemaRef ds:uri="http://schemas.openxmlformats.org/officeDocument/2006/bibliography"/>
  </ds:schemaRefs>
</ds:datastoreItem>
</file>

<file path=customXml/itemProps4.xml><?xml version="1.0" encoding="utf-8"?>
<ds:datastoreItem xmlns:ds="http://schemas.openxmlformats.org/officeDocument/2006/customXml" ds:itemID="{64AD5F40-0100-4432-BC72-967B01E80D05}"/>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1780</Characters>
  <Application>Microsoft Office Word</Application>
  <DocSecurity>0</DocSecurity>
  <Lines>46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E/ECE/324/Rev.1/Add.23/Rev.2/Amend.6</dc:title>
  <dc:subject>2202350</dc:subject>
  <dc:creator>Caillot</dc:creator>
  <cp:keywords/>
  <dc:description/>
  <cp:lastModifiedBy>Maria Rosario Corazon Gatmaytan</cp:lastModifiedBy>
  <cp:revision>2</cp:revision>
  <cp:lastPrinted>2015-05-06T11:39:00Z</cp:lastPrinted>
  <dcterms:created xsi:type="dcterms:W3CDTF">2022-02-21T13:29:00Z</dcterms:created>
  <dcterms:modified xsi:type="dcterms:W3CDTF">2022-02-21T13:29:00Z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1252400</vt:r8>
  </property>
</Properties>
</file>