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FA5A" w14:textId="6AEA773D" w:rsidR="002E5C78" w:rsidRPr="00216DD6" w:rsidRDefault="00C232AF" w:rsidP="00216DD6">
      <w:pPr>
        <w:pStyle w:val="HChG"/>
        <w:rPr>
          <w:lang w:val="en-US"/>
        </w:rPr>
      </w:pPr>
      <w:r>
        <w:tab/>
      </w:r>
      <w:r>
        <w:tab/>
      </w:r>
      <w:r w:rsidR="00070497">
        <w:t xml:space="preserve">Supplement 1 to the 05 </w:t>
      </w:r>
      <w:r w:rsidR="00070497" w:rsidRPr="00BF6A0C">
        <w:t xml:space="preserve">of </w:t>
      </w:r>
      <w:r w:rsidR="001E335E" w:rsidRPr="00BF6A0C">
        <w:t>Amendments</w:t>
      </w:r>
      <w:r w:rsidR="001E335E" w:rsidRPr="00DF5A3B">
        <w:t xml:space="preserve"> </w:t>
      </w:r>
      <w:r w:rsidR="00070497">
        <w:t xml:space="preserve">to </w:t>
      </w:r>
      <w:r w:rsidR="00070497" w:rsidRPr="00DF5A3B">
        <w:t xml:space="preserve">UN Regulation </w:t>
      </w:r>
      <w:r w:rsidR="00070497">
        <w:t>No. 110</w:t>
      </w:r>
      <w:r w:rsidR="002E5C78" w:rsidRPr="00C204AA">
        <w:t xml:space="preserve"> (</w:t>
      </w:r>
      <w:r w:rsidR="004875D1" w:rsidRPr="00C204AA">
        <w:t>CNG</w:t>
      </w:r>
      <w:r w:rsidR="006F0A31" w:rsidRPr="00C204AA">
        <w:t xml:space="preserve"> and </w:t>
      </w:r>
      <w:r w:rsidR="004875D1" w:rsidRPr="00C204AA">
        <w:t>LNG</w:t>
      </w:r>
      <w:r w:rsidR="002E5C78" w:rsidRPr="00C204AA">
        <w:t xml:space="preserve"> </w:t>
      </w:r>
      <w:r w:rsidR="008F0C1D">
        <w:t>v</w:t>
      </w:r>
      <w:r w:rsidR="002E5C78" w:rsidRPr="00C204AA">
        <w:t>ehicles)</w:t>
      </w:r>
    </w:p>
    <w:p w14:paraId="2B381787" w14:textId="7C28F21F" w:rsidR="002E5C78" w:rsidRPr="00C204AA" w:rsidRDefault="00C232AF" w:rsidP="00C232AF">
      <w:pPr>
        <w:pStyle w:val="H1G"/>
      </w:pPr>
      <w:r w:rsidRPr="00C204AA">
        <w:tab/>
      </w:r>
      <w:r w:rsidRPr="00C204AA">
        <w:tab/>
      </w:r>
      <w:r w:rsidR="002E5C78" w:rsidRPr="00C204AA">
        <w:t xml:space="preserve">Submitted by the expert from the Netherlands </w:t>
      </w:r>
      <w:r w:rsidR="00C95640" w:rsidRPr="00341F66">
        <w:rPr>
          <w:bCs/>
        </w:rPr>
        <w:footnoteReference w:customMarkFollows="1" w:id="2"/>
        <w:t>*</w:t>
      </w:r>
    </w:p>
    <w:p w14:paraId="18E8E0FA" w14:textId="722D9F50" w:rsidR="001B7FCA" w:rsidRDefault="00436A7E" w:rsidP="00C232AF">
      <w:pPr>
        <w:pStyle w:val="SingleTxtG"/>
        <w:ind w:firstLine="425"/>
      </w:pPr>
      <w:r w:rsidRPr="00C204AA">
        <w:rPr>
          <w:snapToGrid w:val="0"/>
        </w:rPr>
        <w:t>The text reproduced below was prepared by the expert from the</w:t>
      </w:r>
      <w:r w:rsidRPr="00C204AA">
        <w:t xml:space="preserve"> Netherlands, aiming to update the existing requirements </w:t>
      </w:r>
      <w:r w:rsidR="00F15950" w:rsidRPr="00C204AA">
        <w:t xml:space="preserve">for </w:t>
      </w:r>
      <w:r w:rsidR="002864B0">
        <w:t>compressed nat</w:t>
      </w:r>
      <w:r w:rsidR="006B1349">
        <w:t>ural gas/liquified natural gas (</w:t>
      </w:r>
      <w:r w:rsidR="00E44917" w:rsidRPr="00C204AA">
        <w:t>CNG/LN</w:t>
      </w:r>
      <w:r w:rsidRPr="00C204AA">
        <w:t>G</w:t>
      </w:r>
      <w:r w:rsidR="006B1349">
        <w:t xml:space="preserve">) </w:t>
      </w:r>
      <w:r w:rsidRPr="00C204AA">
        <w:t xml:space="preserve">fuelled </w:t>
      </w:r>
      <w:r w:rsidR="00663993" w:rsidRPr="00C204AA">
        <w:t>c</w:t>
      </w:r>
      <w:r w:rsidR="000B6C91" w:rsidRPr="00C204AA">
        <w:t>omponents</w:t>
      </w:r>
      <w:r w:rsidRPr="00C204AA">
        <w:t xml:space="preserve">. </w:t>
      </w:r>
      <w:r w:rsidR="001B7FCA" w:rsidRPr="00C204AA">
        <w:t xml:space="preserve">It is based on </w:t>
      </w:r>
      <w:r w:rsidR="000C6EA8" w:rsidRPr="00C204AA">
        <w:br/>
      </w:r>
      <w:r w:rsidR="001B7FCA" w:rsidRPr="00C204AA">
        <w:t>GRSG-119-16</w:t>
      </w:r>
      <w:r w:rsidR="000C6EA8" w:rsidRPr="00C204AA">
        <w:t xml:space="preserve"> distributed at the </w:t>
      </w:r>
      <w:r w:rsidR="00AA12FE">
        <w:t>119th</w:t>
      </w:r>
      <w:r w:rsidR="001B7FCA" w:rsidRPr="00C204AA">
        <w:t xml:space="preserve"> session of the Working Party on General Safety (GRSG)</w:t>
      </w:r>
      <w:r w:rsidR="000C6EA8" w:rsidRPr="00C204AA">
        <w:t xml:space="preserve"> (see ECE/TRANS/WP.29/GRSG/98, para</w:t>
      </w:r>
      <w:r w:rsidR="00AA12FE">
        <w:t>graphs</w:t>
      </w:r>
      <w:r w:rsidR="000C6EA8" w:rsidRPr="00C204AA">
        <w:t xml:space="preserve"> 44 and 45).</w:t>
      </w:r>
    </w:p>
    <w:p w14:paraId="1AFF66DF" w14:textId="2C2EC283" w:rsidR="00436A7E" w:rsidRPr="00341F66" w:rsidRDefault="00436A7E" w:rsidP="00C232AF">
      <w:pPr>
        <w:pStyle w:val="SingleTxtG"/>
        <w:ind w:firstLine="425"/>
      </w:pPr>
      <w:r w:rsidRPr="00341F66">
        <w:t>The modifications to the current text of the UN Regulation are marked in bold for new or strikethrough for deleted characters</w:t>
      </w:r>
      <w:r w:rsidRPr="00341F66">
        <w:rPr>
          <w:szCs w:val="23"/>
        </w:rPr>
        <w:t>.</w:t>
      </w:r>
    </w:p>
    <w:p w14:paraId="106A03BA" w14:textId="02C35F28" w:rsidR="00F607C0" w:rsidRPr="00DF0E34" w:rsidRDefault="00F607C0" w:rsidP="002B3BEA">
      <w:pPr>
        <w:pStyle w:val="HChG"/>
        <w:tabs>
          <w:tab w:val="left" w:pos="8505"/>
        </w:tabs>
        <w:spacing w:before="0" w:after="0" w:line="240" w:lineRule="auto"/>
        <w:ind w:firstLine="425"/>
        <w:jc w:val="lowKashida"/>
        <w:rPr>
          <w:rFonts w:asciiTheme="majorBidi" w:hAnsiTheme="majorBidi" w:cstheme="majorBidi"/>
        </w:rPr>
      </w:pPr>
      <w:r w:rsidRPr="00DF0E34">
        <w:rPr>
          <w:rFonts w:asciiTheme="majorBidi" w:hAnsiTheme="majorBidi" w:cstheme="majorBidi"/>
        </w:rPr>
        <w:br w:type="page"/>
      </w:r>
    </w:p>
    <w:p w14:paraId="4ADBB7E8" w14:textId="395EE2CC" w:rsidR="00E209CB" w:rsidRPr="00DD3E27" w:rsidRDefault="00B9350C" w:rsidP="002139C8">
      <w:pPr>
        <w:pStyle w:val="HMG"/>
        <w:rPr>
          <w:w w:val="101"/>
        </w:rPr>
      </w:pPr>
      <w:r w:rsidRPr="00DD3E27">
        <w:rPr>
          <w:w w:val="101"/>
        </w:rPr>
        <w:lastRenderedPageBreak/>
        <w:tab/>
      </w:r>
      <w:r w:rsidR="00704E8F">
        <w:rPr>
          <w:w w:val="101"/>
        </w:rPr>
        <w:t>I.</w:t>
      </w:r>
      <w:r w:rsidR="00704E8F">
        <w:rPr>
          <w:w w:val="101"/>
        </w:rPr>
        <w:tab/>
      </w:r>
      <w:r w:rsidR="00E209CB" w:rsidRPr="00DD3E27">
        <w:rPr>
          <w:w w:val="101"/>
        </w:rPr>
        <w:t>Proposal</w:t>
      </w:r>
    </w:p>
    <w:p w14:paraId="6803205D" w14:textId="77777777" w:rsidR="00B40F04" w:rsidRDefault="00DA4C0C" w:rsidP="00B40F04">
      <w:pPr>
        <w:spacing w:after="120" w:line="240" w:lineRule="auto"/>
        <w:ind w:left="2268" w:right="1134" w:hanging="1134"/>
        <w:jc w:val="both"/>
      </w:pPr>
      <w:r w:rsidRPr="00D86426">
        <w:rPr>
          <w:i/>
        </w:rPr>
        <w:t xml:space="preserve">Paragraph </w:t>
      </w:r>
      <w:r w:rsidR="000C6EA8">
        <w:rPr>
          <w:i/>
        </w:rPr>
        <w:t>8.4. – 8.11</w:t>
      </w:r>
      <w:r w:rsidRPr="00D86426">
        <w:rPr>
          <w:i/>
        </w:rPr>
        <w:t>.,</w:t>
      </w:r>
      <w:r w:rsidRPr="00D86426">
        <w:t xml:space="preserve"> amend to read:</w:t>
      </w:r>
    </w:p>
    <w:p w14:paraId="3961473C" w14:textId="1DFAA36E" w:rsidR="00B40F04" w:rsidRPr="00DE6D79" w:rsidRDefault="003F5BE2" w:rsidP="00B40F04">
      <w:pPr>
        <w:spacing w:after="120" w:line="240" w:lineRule="auto"/>
        <w:ind w:left="2268" w:right="1134" w:hanging="1134"/>
        <w:jc w:val="both"/>
      </w:pPr>
      <w:r>
        <w:t>"</w:t>
      </w:r>
      <w:r w:rsidR="00B40F04" w:rsidRPr="00DE6D79">
        <w:t>8.4.-8.11.</w:t>
      </w:r>
      <w:r w:rsidR="00B40F04" w:rsidRPr="00DE6D79">
        <w:tab/>
        <w:t>Provisions on other CNG components</w:t>
      </w:r>
    </w:p>
    <w:p w14:paraId="63F691C6" w14:textId="77777777" w:rsidR="00B40F04" w:rsidRPr="00DE6D79" w:rsidRDefault="00B40F04" w:rsidP="00B40F04">
      <w:pPr>
        <w:spacing w:after="120" w:line="240" w:lineRule="auto"/>
        <w:ind w:left="2268" w:right="1134"/>
        <w:jc w:val="both"/>
      </w:pPr>
      <w:r w:rsidRPr="00DE6D79">
        <w:t>The components shown shall be type approved pursuant to the provisions laid down in the annexes which can be determined from the table below:</w:t>
      </w:r>
    </w:p>
    <w:tbl>
      <w:tblPr>
        <w:tblpPr w:leftFromText="180" w:rightFromText="180" w:vertAnchor="text" w:tblpX="2263" w:tblpY="1"/>
        <w:tblOverlap w:val="never"/>
        <w:tblW w:w="6232" w:type="dxa"/>
        <w:tblLayout w:type="fixed"/>
        <w:tblCellMar>
          <w:left w:w="132" w:type="dxa"/>
          <w:right w:w="132" w:type="dxa"/>
        </w:tblCellMar>
        <w:tblLook w:val="0000" w:firstRow="0" w:lastRow="0" w:firstColumn="0" w:lastColumn="0" w:noHBand="0" w:noVBand="0"/>
      </w:tblPr>
      <w:tblGrid>
        <w:gridCol w:w="1129"/>
        <w:gridCol w:w="4395"/>
        <w:gridCol w:w="708"/>
      </w:tblGrid>
      <w:tr w:rsidR="00B40F04" w:rsidRPr="00DE6D79" w14:paraId="12A160C1" w14:textId="77777777" w:rsidTr="00B40F04">
        <w:trPr>
          <w:trHeight w:val="42"/>
        </w:trPr>
        <w:tc>
          <w:tcPr>
            <w:tcW w:w="1129" w:type="dxa"/>
            <w:tcBorders>
              <w:top w:val="single" w:sz="2" w:space="0" w:color="auto"/>
              <w:left w:val="single" w:sz="4" w:space="0" w:color="auto"/>
              <w:bottom w:val="single" w:sz="12" w:space="0" w:color="auto"/>
              <w:right w:val="single" w:sz="4" w:space="0" w:color="auto"/>
            </w:tcBorders>
            <w:vAlign w:val="center"/>
          </w:tcPr>
          <w:p w14:paraId="054355FD" w14:textId="77777777" w:rsidR="00B40F04" w:rsidRPr="00DE6D79" w:rsidRDefault="00B40F04" w:rsidP="00B40F04">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Paragraph</w:t>
            </w:r>
          </w:p>
        </w:tc>
        <w:tc>
          <w:tcPr>
            <w:tcW w:w="4395" w:type="dxa"/>
            <w:tcBorders>
              <w:top w:val="single" w:sz="2" w:space="0" w:color="auto"/>
              <w:left w:val="single" w:sz="4" w:space="0" w:color="auto"/>
              <w:bottom w:val="single" w:sz="12" w:space="0" w:color="auto"/>
              <w:right w:val="single" w:sz="4" w:space="0" w:color="auto"/>
            </w:tcBorders>
            <w:vAlign w:val="center"/>
          </w:tcPr>
          <w:p w14:paraId="03468476" w14:textId="77777777" w:rsidR="00B40F04" w:rsidRPr="00DE6D79" w:rsidRDefault="00B40F04" w:rsidP="00B40F04">
            <w:pPr>
              <w:keepNext/>
              <w:keepLines/>
              <w:widowControl w:val="0"/>
              <w:suppressAutoHyphens w:val="0"/>
              <w:autoSpaceDE w:val="0"/>
              <w:autoSpaceDN w:val="0"/>
              <w:adjustRightInd w:val="0"/>
              <w:spacing w:before="60" w:after="60" w:line="240" w:lineRule="auto"/>
              <w:rPr>
                <w:i/>
                <w:sz w:val="16"/>
                <w:szCs w:val="16"/>
              </w:rPr>
            </w:pPr>
            <w:r w:rsidRPr="00DE6D79">
              <w:rPr>
                <w:i/>
                <w:sz w:val="16"/>
                <w:szCs w:val="16"/>
              </w:rPr>
              <w:t>Component</w:t>
            </w:r>
          </w:p>
        </w:tc>
        <w:tc>
          <w:tcPr>
            <w:tcW w:w="708" w:type="dxa"/>
            <w:tcBorders>
              <w:top w:val="single" w:sz="2" w:space="0" w:color="auto"/>
              <w:left w:val="single" w:sz="4" w:space="0" w:color="auto"/>
              <w:bottom w:val="single" w:sz="12" w:space="0" w:color="auto"/>
              <w:right w:val="single" w:sz="4" w:space="0" w:color="auto"/>
            </w:tcBorders>
            <w:vAlign w:val="center"/>
          </w:tcPr>
          <w:p w14:paraId="43544329" w14:textId="77777777" w:rsidR="00B40F04" w:rsidRPr="00DE6D79" w:rsidRDefault="00B40F04" w:rsidP="00B40F04">
            <w:pPr>
              <w:keepNext/>
              <w:keepLines/>
              <w:widowControl w:val="0"/>
              <w:suppressAutoHyphens w:val="0"/>
              <w:autoSpaceDE w:val="0"/>
              <w:autoSpaceDN w:val="0"/>
              <w:adjustRightInd w:val="0"/>
              <w:spacing w:before="60" w:after="60" w:line="240" w:lineRule="auto"/>
              <w:jc w:val="center"/>
              <w:rPr>
                <w:i/>
                <w:sz w:val="16"/>
                <w:szCs w:val="16"/>
              </w:rPr>
            </w:pPr>
            <w:r w:rsidRPr="00DE6D79">
              <w:rPr>
                <w:i/>
                <w:sz w:val="16"/>
                <w:szCs w:val="16"/>
              </w:rPr>
              <w:t>Annex</w:t>
            </w:r>
          </w:p>
        </w:tc>
      </w:tr>
      <w:tr w:rsidR="00B40F04" w:rsidRPr="00DE6D79" w14:paraId="38848F09" w14:textId="77777777" w:rsidTr="00B40F04">
        <w:trPr>
          <w:trHeight w:val="1496"/>
        </w:trPr>
        <w:tc>
          <w:tcPr>
            <w:tcW w:w="1129" w:type="dxa"/>
            <w:tcBorders>
              <w:top w:val="single" w:sz="12" w:space="0" w:color="auto"/>
              <w:left w:val="single" w:sz="4" w:space="0" w:color="auto"/>
              <w:bottom w:val="single" w:sz="4" w:space="0" w:color="auto"/>
              <w:right w:val="single" w:sz="4" w:space="0" w:color="auto"/>
            </w:tcBorders>
          </w:tcPr>
          <w:p w14:paraId="540982F6" w14:textId="77777777" w:rsidR="00B40F04" w:rsidRPr="00DE6D79" w:rsidRDefault="00B40F04" w:rsidP="00B40F04">
            <w:pPr>
              <w:keepNext/>
              <w:keepLines/>
              <w:widowControl w:val="0"/>
              <w:suppressAutoHyphens w:val="0"/>
              <w:autoSpaceDE w:val="0"/>
              <w:autoSpaceDN w:val="0"/>
              <w:adjustRightInd w:val="0"/>
              <w:spacing w:before="40" w:after="40" w:line="240" w:lineRule="auto"/>
              <w:rPr>
                <w:sz w:val="18"/>
              </w:rPr>
            </w:pPr>
            <w:r w:rsidRPr="00DE6D79">
              <w:rPr>
                <w:sz w:val="18"/>
              </w:rPr>
              <w:t>8.4.</w:t>
            </w:r>
          </w:p>
        </w:tc>
        <w:tc>
          <w:tcPr>
            <w:tcW w:w="4395" w:type="dxa"/>
            <w:tcBorders>
              <w:top w:val="single" w:sz="12" w:space="0" w:color="auto"/>
              <w:left w:val="single" w:sz="4" w:space="0" w:color="auto"/>
              <w:bottom w:val="single" w:sz="4" w:space="0" w:color="auto"/>
              <w:right w:val="single" w:sz="4" w:space="0" w:color="auto"/>
            </w:tcBorders>
          </w:tcPr>
          <w:p w14:paraId="0BF1EFB6" w14:textId="77777777" w:rsidR="00B40F04" w:rsidRPr="00DE6D79" w:rsidRDefault="00B40F04" w:rsidP="00B40F04">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Automatic valve</w:t>
            </w:r>
          </w:p>
          <w:p w14:paraId="5B85D283" w14:textId="77777777" w:rsidR="00B40F04" w:rsidRPr="00DE6D79" w:rsidRDefault="00B40F04" w:rsidP="00B40F04">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Check valve or non-return valve</w:t>
            </w:r>
          </w:p>
          <w:p w14:paraId="37E9CAAD" w14:textId="77777777" w:rsidR="00B40F04" w:rsidRPr="00DE6D79" w:rsidRDefault="00B40F04" w:rsidP="00B40F04">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Pressure relief valve</w:t>
            </w:r>
          </w:p>
          <w:p w14:paraId="1F111595" w14:textId="7198B473" w:rsidR="00B40F04" w:rsidRDefault="00B40F04" w:rsidP="00B40F04">
            <w:pPr>
              <w:widowControl w:val="0"/>
              <w:tabs>
                <w:tab w:val="left" w:pos="993"/>
              </w:tabs>
              <w:suppressAutoHyphens w:val="0"/>
              <w:spacing w:before="40" w:after="40" w:line="240" w:lineRule="auto"/>
              <w:rPr>
                <w:bCs/>
                <w:snapToGrid w:val="0"/>
                <w:sz w:val="18"/>
                <w:lang w:eastAsia="it-IT"/>
              </w:rPr>
            </w:pPr>
            <w:r w:rsidRPr="00DE6D79">
              <w:rPr>
                <w:snapToGrid w:val="0"/>
                <w:sz w:val="18"/>
                <w:lang w:eastAsia="it-IT"/>
              </w:rPr>
              <w:t xml:space="preserve">Pressure relief device </w:t>
            </w:r>
            <w:r w:rsidRPr="00DE6D79">
              <w:rPr>
                <w:bCs/>
                <w:snapToGrid w:val="0"/>
                <w:sz w:val="18"/>
                <w:lang w:eastAsia="it-IT"/>
              </w:rPr>
              <w:t>(temperature triggered)</w:t>
            </w:r>
          </w:p>
          <w:p w14:paraId="0A4F96EB" w14:textId="2847A6F3" w:rsidR="00B40F04" w:rsidRPr="00B40F04" w:rsidRDefault="00B40F04" w:rsidP="00B40F04">
            <w:pPr>
              <w:widowControl w:val="0"/>
              <w:tabs>
                <w:tab w:val="left" w:pos="993"/>
              </w:tabs>
              <w:suppressAutoHyphens w:val="0"/>
              <w:spacing w:before="40" w:after="40" w:line="240" w:lineRule="auto"/>
              <w:rPr>
                <w:b/>
                <w:bCs/>
                <w:snapToGrid w:val="0"/>
                <w:sz w:val="18"/>
                <w:lang w:eastAsia="it-IT"/>
              </w:rPr>
            </w:pPr>
            <w:r w:rsidRPr="00B40F04">
              <w:rPr>
                <w:b/>
                <w:bCs/>
                <w:snapToGrid w:val="0"/>
                <w:sz w:val="18"/>
                <w:lang w:eastAsia="it-IT"/>
              </w:rPr>
              <w:t>Manual valve</w:t>
            </w:r>
          </w:p>
          <w:p w14:paraId="6D75BA96" w14:textId="77777777" w:rsidR="00B40F04" w:rsidRPr="00DE6D79" w:rsidRDefault="00B40F04" w:rsidP="00B40F04">
            <w:pPr>
              <w:widowControl w:val="0"/>
              <w:tabs>
                <w:tab w:val="left" w:pos="993"/>
              </w:tabs>
              <w:suppressAutoHyphens w:val="0"/>
              <w:spacing w:before="40" w:after="40" w:line="240" w:lineRule="auto"/>
              <w:rPr>
                <w:snapToGrid w:val="0"/>
                <w:sz w:val="18"/>
                <w:lang w:eastAsia="it-IT"/>
              </w:rPr>
            </w:pPr>
            <w:r w:rsidRPr="00DE6D79">
              <w:rPr>
                <w:snapToGrid w:val="0"/>
                <w:sz w:val="18"/>
                <w:lang w:eastAsia="it-IT"/>
              </w:rPr>
              <w:t>Excess flow valve</w:t>
            </w:r>
          </w:p>
          <w:p w14:paraId="5883F4F1" w14:textId="77777777" w:rsidR="00B40F04" w:rsidRPr="00DE6D79" w:rsidRDefault="00B40F04" w:rsidP="00B40F04">
            <w:pPr>
              <w:keepNext/>
              <w:keepLines/>
              <w:widowControl w:val="0"/>
              <w:suppressAutoHyphens w:val="0"/>
              <w:autoSpaceDE w:val="0"/>
              <w:autoSpaceDN w:val="0"/>
              <w:adjustRightInd w:val="0"/>
              <w:spacing w:before="40" w:after="40" w:line="240" w:lineRule="auto"/>
              <w:rPr>
                <w:bCs/>
                <w:sz w:val="18"/>
                <w:szCs w:val="24"/>
              </w:rPr>
            </w:pPr>
            <w:r w:rsidRPr="00DE6D79">
              <w:rPr>
                <w:bCs/>
                <w:sz w:val="18"/>
                <w:szCs w:val="24"/>
              </w:rPr>
              <w:t>Pressure relief device (pressure triggered)</w:t>
            </w:r>
          </w:p>
        </w:tc>
        <w:tc>
          <w:tcPr>
            <w:tcW w:w="708" w:type="dxa"/>
            <w:tcBorders>
              <w:top w:val="single" w:sz="12" w:space="0" w:color="auto"/>
              <w:left w:val="single" w:sz="4" w:space="0" w:color="auto"/>
              <w:bottom w:val="single" w:sz="4" w:space="0" w:color="auto"/>
              <w:right w:val="single" w:sz="4" w:space="0" w:color="auto"/>
            </w:tcBorders>
          </w:tcPr>
          <w:p w14:paraId="5958A37B" w14:textId="77777777" w:rsidR="00B40F04" w:rsidRPr="00DE6D79" w:rsidRDefault="00B40F04" w:rsidP="00B40F04">
            <w:pPr>
              <w:keepNext/>
              <w:keepLines/>
              <w:widowControl w:val="0"/>
              <w:suppressAutoHyphens w:val="0"/>
              <w:autoSpaceDE w:val="0"/>
              <w:autoSpaceDN w:val="0"/>
              <w:adjustRightInd w:val="0"/>
              <w:spacing w:before="40" w:after="40" w:line="240" w:lineRule="auto"/>
              <w:jc w:val="center"/>
              <w:rPr>
                <w:sz w:val="18"/>
              </w:rPr>
            </w:pPr>
            <w:r w:rsidRPr="00DE6D79">
              <w:rPr>
                <w:sz w:val="18"/>
              </w:rPr>
              <w:t>4A</w:t>
            </w:r>
          </w:p>
        </w:tc>
      </w:tr>
      <w:tr w:rsidR="00B40F04" w:rsidRPr="00DE6D79" w14:paraId="339D7A8E" w14:textId="77777777" w:rsidTr="00B40F04">
        <w:tc>
          <w:tcPr>
            <w:tcW w:w="1129" w:type="dxa"/>
            <w:tcBorders>
              <w:left w:val="single" w:sz="4" w:space="0" w:color="auto"/>
              <w:bottom w:val="single" w:sz="4" w:space="0" w:color="auto"/>
              <w:right w:val="single" w:sz="4" w:space="0" w:color="auto"/>
            </w:tcBorders>
          </w:tcPr>
          <w:p w14:paraId="50700E95"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z w:val="18"/>
              </w:rPr>
              <w:t>8.5.</w:t>
            </w:r>
          </w:p>
        </w:tc>
        <w:tc>
          <w:tcPr>
            <w:tcW w:w="4395" w:type="dxa"/>
            <w:tcBorders>
              <w:left w:val="single" w:sz="4" w:space="0" w:color="auto"/>
              <w:bottom w:val="single" w:sz="4" w:space="0" w:color="auto"/>
              <w:right w:val="single" w:sz="4" w:space="0" w:color="auto"/>
            </w:tcBorders>
          </w:tcPr>
          <w:p w14:paraId="75EC3A73"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z w:val="18"/>
              </w:rPr>
              <w:t>Flexible fuel line-hose</w:t>
            </w:r>
          </w:p>
        </w:tc>
        <w:tc>
          <w:tcPr>
            <w:tcW w:w="708" w:type="dxa"/>
            <w:tcBorders>
              <w:left w:val="single" w:sz="4" w:space="0" w:color="auto"/>
              <w:bottom w:val="single" w:sz="4" w:space="0" w:color="auto"/>
              <w:right w:val="single" w:sz="4" w:space="0" w:color="auto"/>
            </w:tcBorders>
          </w:tcPr>
          <w:p w14:paraId="028B4332" w14:textId="77777777" w:rsidR="00B40F04" w:rsidRPr="00DE6D79" w:rsidRDefault="00B40F04" w:rsidP="00B40F04">
            <w:pPr>
              <w:widowControl w:val="0"/>
              <w:suppressAutoHyphens w:val="0"/>
              <w:autoSpaceDE w:val="0"/>
              <w:autoSpaceDN w:val="0"/>
              <w:adjustRightInd w:val="0"/>
              <w:spacing w:before="40" w:after="40" w:line="240" w:lineRule="auto"/>
              <w:jc w:val="center"/>
              <w:rPr>
                <w:sz w:val="18"/>
              </w:rPr>
            </w:pPr>
            <w:r w:rsidRPr="00DE6D79">
              <w:rPr>
                <w:sz w:val="18"/>
              </w:rPr>
              <w:t>4B</w:t>
            </w:r>
          </w:p>
        </w:tc>
      </w:tr>
      <w:tr w:rsidR="00B40F04" w:rsidRPr="00DE6D79" w14:paraId="4CBDABA7" w14:textId="77777777" w:rsidTr="00B40F04">
        <w:trPr>
          <w:trHeight w:val="20"/>
        </w:trPr>
        <w:tc>
          <w:tcPr>
            <w:tcW w:w="1129" w:type="dxa"/>
            <w:tcBorders>
              <w:top w:val="single" w:sz="4" w:space="0" w:color="auto"/>
              <w:left w:val="single" w:sz="4" w:space="0" w:color="auto"/>
              <w:bottom w:val="single" w:sz="4" w:space="0" w:color="auto"/>
              <w:right w:val="single" w:sz="4" w:space="0" w:color="auto"/>
            </w:tcBorders>
          </w:tcPr>
          <w:p w14:paraId="3B736591"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z w:val="18"/>
              </w:rPr>
              <w:t>8.6.</w:t>
            </w:r>
          </w:p>
        </w:tc>
        <w:tc>
          <w:tcPr>
            <w:tcW w:w="4395" w:type="dxa"/>
            <w:tcBorders>
              <w:top w:val="single" w:sz="4" w:space="0" w:color="auto"/>
              <w:left w:val="single" w:sz="4" w:space="0" w:color="auto"/>
              <w:bottom w:val="single" w:sz="4" w:space="0" w:color="auto"/>
              <w:right w:val="single" w:sz="4" w:space="0" w:color="auto"/>
            </w:tcBorders>
          </w:tcPr>
          <w:p w14:paraId="550C3D32"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z w:val="18"/>
              </w:rPr>
              <w:t>CNG filter</w:t>
            </w:r>
          </w:p>
        </w:tc>
        <w:tc>
          <w:tcPr>
            <w:tcW w:w="708" w:type="dxa"/>
            <w:tcBorders>
              <w:top w:val="single" w:sz="4" w:space="0" w:color="auto"/>
              <w:left w:val="single" w:sz="4" w:space="0" w:color="auto"/>
              <w:bottom w:val="single" w:sz="4" w:space="0" w:color="auto"/>
              <w:right w:val="single" w:sz="4" w:space="0" w:color="auto"/>
            </w:tcBorders>
          </w:tcPr>
          <w:p w14:paraId="519498FB" w14:textId="77777777" w:rsidR="00B40F04" w:rsidRPr="00DE6D79" w:rsidRDefault="00B40F04" w:rsidP="00B40F04">
            <w:pPr>
              <w:widowControl w:val="0"/>
              <w:suppressAutoHyphens w:val="0"/>
              <w:autoSpaceDE w:val="0"/>
              <w:autoSpaceDN w:val="0"/>
              <w:adjustRightInd w:val="0"/>
              <w:spacing w:before="40" w:after="40" w:line="240" w:lineRule="auto"/>
              <w:jc w:val="center"/>
              <w:rPr>
                <w:sz w:val="18"/>
              </w:rPr>
            </w:pPr>
            <w:r w:rsidRPr="00DE6D79">
              <w:rPr>
                <w:sz w:val="18"/>
              </w:rPr>
              <w:t>4C</w:t>
            </w:r>
          </w:p>
        </w:tc>
      </w:tr>
      <w:tr w:rsidR="00B40F04" w:rsidRPr="00DE6D79" w14:paraId="6215C111" w14:textId="77777777" w:rsidTr="00B40F04">
        <w:trPr>
          <w:trHeight w:val="20"/>
        </w:trPr>
        <w:tc>
          <w:tcPr>
            <w:tcW w:w="1129" w:type="dxa"/>
            <w:tcBorders>
              <w:top w:val="single" w:sz="4" w:space="0" w:color="auto"/>
              <w:left w:val="single" w:sz="4" w:space="0" w:color="auto"/>
              <w:bottom w:val="single" w:sz="4" w:space="0" w:color="auto"/>
              <w:right w:val="single" w:sz="4" w:space="0" w:color="auto"/>
            </w:tcBorders>
          </w:tcPr>
          <w:p w14:paraId="236EF0AC"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z w:val="18"/>
              </w:rPr>
              <w:t>8.7.</w:t>
            </w:r>
          </w:p>
        </w:tc>
        <w:tc>
          <w:tcPr>
            <w:tcW w:w="4395" w:type="dxa"/>
            <w:tcBorders>
              <w:top w:val="single" w:sz="4" w:space="0" w:color="auto"/>
              <w:left w:val="single" w:sz="4" w:space="0" w:color="auto"/>
              <w:bottom w:val="single" w:sz="4" w:space="0" w:color="auto"/>
              <w:right w:val="single" w:sz="4" w:space="0" w:color="auto"/>
            </w:tcBorders>
          </w:tcPr>
          <w:p w14:paraId="26E38DD8" w14:textId="77777777" w:rsidR="00B40F04" w:rsidRDefault="00C8113E" w:rsidP="00B40F04">
            <w:pPr>
              <w:widowControl w:val="0"/>
              <w:suppressAutoHyphens w:val="0"/>
              <w:autoSpaceDE w:val="0"/>
              <w:autoSpaceDN w:val="0"/>
              <w:adjustRightInd w:val="0"/>
              <w:spacing w:before="40" w:after="40" w:line="240" w:lineRule="auto"/>
              <w:rPr>
                <w:sz w:val="18"/>
              </w:rPr>
            </w:pPr>
            <w:r>
              <w:rPr>
                <w:sz w:val="18"/>
              </w:rPr>
              <w:t xml:space="preserve">CNG </w:t>
            </w:r>
            <w:r w:rsidR="00B40F04" w:rsidRPr="00DE6D79">
              <w:rPr>
                <w:sz w:val="18"/>
              </w:rPr>
              <w:t>Pressure regulator</w:t>
            </w:r>
          </w:p>
          <w:p w14:paraId="7213C981" w14:textId="3ED5623A" w:rsidR="00C8113E" w:rsidRPr="00DE6D79" w:rsidRDefault="00C8113E" w:rsidP="00C8113E">
            <w:pPr>
              <w:widowControl w:val="0"/>
              <w:suppressAutoHyphens w:val="0"/>
              <w:autoSpaceDE w:val="0"/>
              <w:autoSpaceDN w:val="0"/>
              <w:adjustRightInd w:val="0"/>
              <w:spacing w:before="40" w:after="40" w:line="240" w:lineRule="auto"/>
              <w:rPr>
                <w:sz w:val="18"/>
              </w:rPr>
            </w:pPr>
            <w:r>
              <w:rPr>
                <w:sz w:val="18"/>
              </w:rPr>
              <w:t>CNG Compressor</w:t>
            </w:r>
          </w:p>
        </w:tc>
        <w:tc>
          <w:tcPr>
            <w:tcW w:w="708" w:type="dxa"/>
            <w:tcBorders>
              <w:top w:val="single" w:sz="4" w:space="0" w:color="auto"/>
              <w:left w:val="single" w:sz="4" w:space="0" w:color="auto"/>
              <w:bottom w:val="single" w:sz="4" w:space="0" w:color="auto"/>
              <w:right w:val="single" w:sz="4" w:space="0" w:color="auto"/>
            </w:tcBorders>
          </w:tcPr>
          <w:p w14:paraId="7C263D97" w14:textId="77777777" w:rsidR="00B40F04" w:rsidRPr="00DE6D79" w:rsidRDefault="00B40F04" w:rsidP="00B40F04">
            <w:pPr>
              <w:widowControl w:val="0"/>
              <w:suppressAutoHyphens w:val="0"/>
              <w:autoSpaceDE w:val="0"/>
              <w:autoSpaceDN w:val="0"/>
              <w:adjustRightInd w:val="0"/>
              <w:spacing w:before="40" w:after="40" w:line="240" w:lineRule="auto"/>
              <w:jc w:val="center"/>
              <w:rPr>
                <w:sz w:val="18"/>
              </w:rPr>
            </w:pPr>
            <w:r w:rsidRPr="00DE6D79">
              <w:rPr>
                <w:sz w:val="18"/>
              </w:rPr>
              <w:t>4D</w:t>
            </w:r>
          </w:p>
        </w:tc>
      </w:tr>
      <w:tr w:rsidR="00B40F04" w:rsidRPr="00DE6D79" w14:paraId="11B7699D" w14:textId="77777777" w:rsidTr="00B40F04">
        <w:trPr>
          <w:trHeight w:val="20"/>
        </w:trPr>
        <w:tc>
          <w:tcPr>
            <w:tcW w:w="1129" w:type="dxa"/>
            <w:tcBorders>
              <w:top w:val="single" w:sz="4" w:space="0" w:color="auto"/>
              <w:left w:val="single" w:sz="4" w:space="0" w:color="auto"/>
              <w:bottom w:val="single" w:sz="4" w:space="0" w:color="auto"/>
              <w:right w:val="single" w:sz="4" w:space="0" w:color="auto"/>
            </w:tcBorders>
          </w:tcPr>
          <w:p w14:paraId="779C82B6"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z w:val="18"/>
              </w:rPr>
              <w:t>8.8.</w:t>
            </w:r>
          </w:p>
        </w:tc>
        <w:tc>
          <w:tcPr>
            <w:tcW w:w="4395" w:type="dxa"/>
            <w:tcBorders>
              <w:top w:val="single" w:sz="4" w:space="0" w:color="auto"/>
              <w:left w:val="single" w:sz="4" w:space="0" w:color="auto"/>
              <w:bottom w:val="single" w:sz="4" w:space="0" w:color="auto"/>
              <w:right w:val="single" w:sz="4" w:space="0" w:color="auto"/>
            </w:tcBorders>
          </w:tcPr>
          <w:p w14:paraId="4A4F82A4"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z w:val="18"/>
              </w:rPr>
              <w:t>Pressure and temperature sensors</w:t>
            </w:r>
          </w:p>
        </w:tc>
        <w:tc>
          <w:tcPr>
            <w:tcW w:w="708" w:type="dxa"/>
            <w:tcBorders>
              <w:top w:val="single" w:sz="4" w:space="0" w:color="auto"/>
              <w:left w:val="single" w:sz="4" w:space="0" w:color="auto"/>
              <w:bottom w:val="single" w:sz="4" w:space="0" w:color="auto"/>
              <w:right w:val="single" w:sz="4" w:space="0" w:color="auto"/>
            </w:tcBorders>
          </w:tcPr>
          <w:p w14:paraId="6753B799" w14:textId="77777777" w:rsidR="00B40F04" w:rsidRPr="00DE6D79" w:rsidRDefault="00B40F04" w:rsidP="00B40F04">
            <w:pPr>
              <w:widowControl w:val="0"/>
              <w:suppressAutoHyphens w:val="0"/>
              <w:autoSpaceDE w:val="0"/>
              <w:autoSpaceDN w:val="0"/>
              <w:adjustRightInd w:val="0"/>
              <w:spacing w:before="40" w:after="40" w:line="240" w:lineRule="auto"/>
              <w:jc w:val="center"/>
              <w:rPr>
                <w:sz w:val="18"/>
              </w:rPr>
            </w:pPr>
            <w:r w:rsidRPr="00DE6D79">
              <w:rPr>
                <w:sz w:val="18"/>
              </w:rPr>
              <w:t>4E</w:t>
            </w:r>
          </w:p>
        </w:tc>
      </w:tr>
      <w:tr w:rsidR="00B40F04" w:rsidRPr="00DE6D79" w14:paraId="00C2FAEF" w14:textId="77777777" w:rsidTr="00B40F04">
        <w:trPr>
          <w:trHeight w:val="20"/>
        </w:trPr>
        <w:tc>
          <w:tcPr>
            <w:tcW w:w="1129" w:type="dxa"/>
            <w:tcBorders>
              <w:top w:val="single" w:sz="4" w:space="0" w:color="auto"/>
              <w:left w:val="single" w:sz="4" w:space="0" w:color="auto"/>
              <w:bottom w:val="single" w:sz="4" w:space="0" w:color="auto"/>
              <w:right w:val="single" w:sz="4" w:space="0" w:color="auto"/>
            </w:tcBorders>
          </w:tcPr>
          <w:p w14:paraId="445B5745"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napToGrid w:val="0"/>
                <w:sz w:val="18"/>
                <w:lang w:eastAsia="it-IT"/>
              </w:rPr>
              <w:t>8.9.</w:t>
            </w:r>
          </w:p>
        </w:tc>
        <w:tc>
          <w:tcPr>
            <w:tcW w:w="4395" w:type="dxa"/>
            <w:tcBorders>
              <w:top w:val="single" w:sz="4" w:space="0" w:color="auto"/>
              <w:left w:val="single" w:sz="4" w:space="0" w:color="auto"/>
              <w:bottom w:val="single" w:sz="4" w:space="0" w:color="auto"/>
              <w:right w:val="single" w:sz="4" w:space="0" w:color="auto"/>
            </w:tcBorders>
          </w:tcPr>
          <w:p w14:paraId="7F2FC47C"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napToGrid w:val="0"/>
                <w:sz w:val="18"/>
                <w:lang w:eastAsia="it-IT"/>
              </w:rPr>
              <w:t>Filling unit or receptacle</w:t>
            </w:r>
          </w:p>
        </w:tc>
        <w:tc>
          <w:tcPr>
            <w:tcW w:w="708" w:type="dxa"/>
            <w:tcBorders>
              <w:top w:val="single" w:sz="4" w:space="0" w:color="auto"/>
              <w:left w:val="single" w:sz="4" w:space="0" w:color="auto"/>
              <w:bottom w:val="single" w:sz="4" w:space="0" w:color="auto"/>
              <w:right w:val="single" w:sz="4" w:space="0" w:color="auto"/>
            </w:tcBorders>
          </w:tcPr>
          <w:p w14:paraId="6691C1C1" w14:textId="77777777" w:rsidR="00B40F04" w:rsidRPr="00DE6D79" w:rsidRDefault="00B40F04" w:rsidP="00B40F04">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4F</w:t>
            </w:r>
          </w:p>
        </w:tc>
      </w:tr>
      <w:tr w:rsidR="00B40F04" w:rsidRPr="00DE6D79" w14:paraId="2C04C632" w14:textId="77777777" w:rsidTr="00B40F04">
        <w:trPr>
          <w:trHeight w:val="20"/>
        </w:trPr>
        <w:tc>
          <w:tcPr>
            <w:tcW w:w="1129" w:type="dxa"/>
            <w:tcBorders>
              <w:top w:val="single" w:sz="4" w:space="0" w:color="auto"/>
              <w:left w:val="single" w:sz="4" w:space="0" w:color="auto"/>
              <w:bottom w:val="single" w:sz="4" w:space="0" w:color="auto"/>
              <w:right w:val="single" w:sz="4" w:space="0" w:color="auto"/>
            </w:tcBorders>
          </w:tcPr>
          <w:p w14:paraId="532152ED"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napToGrid w:val="0"/>
                <w:sz w:val="18"/>
                <w:lang w:eastAsia="it-IT"/>
              </w:rPr>
              <w:t>8.10.</w:t>
            </w:r>
          </w:p>
        </w:tc>
        <w:tc>
          <w:tcPr>
            <w:tcW w:w="4395" w:type="dxa"/>
            <w:tcBorders>
              <w:top w:val="single" w:sz="4" w:space="0" w:color="auto"/>
              <w:left w:val="single" w:sz="4" w:space="0" w:color="auto"/>
              <w:bottom w:val="single" w:sz="4" w:space="0" w:color="auto"/>
              <w:right w:val="single" w:sz="4" w:space="0" w:color="auto"/>
            </w:tcBorders>
          </w:tcPr>
          <w:p w14:paraId="40773F77" w14:textId="77777777" w:rsidR="00B40F04" w:rsidRPr="00DE6D79" w:rsidRDefault="00B40F04" w:rsidP="00B40F04">
            <w:pPr>
              <w:widowControl w:val="0"/>
              <w:suppressAutoHyphens w:val="0"/>
              <w:autoSpaceDE w:val="0"/>
              <w:autoSpaceDN w:val="0"/>
              <w:adjustRightInd w:val="0"/>
              <w:spacing w:before="40" w:after="40" w:line="240" w:lineRule="auto"/>
              <w:rPr>
                <w:sz w:val="18"/>
              </w:rPr>
            </w:pPr>
            <w:r w:rsidRPr="00DE6D79">
              <w:rPr>
                <w:snapToGrid w:val="0"/>
                <w:sz w:val="18"/>
                <w:lang w:eastAsia="it-IT"/>
              </w:rPr>
              <w:t>Gas flow adjuster and gas/air mixer, injector or fuel rail</w:t>
            </w:r>
          </w:p>
        </w:tc>
        <w:tc>
          <w:tcPr>
            <w:tcW w:w="708" w:type="dxa"/>
            <w:tcBorders>
              <w:top w:val="single" w:sz="4" w:space="0" w:color="auto"/>
              <w:left w:val="single" w:sz="4" w:space="0" w:color="auto"/>
              <w:bottom w:val="single" w:sz="4" w:space="0" w:color="auto"/>
              <w:right w:val="single" w:sz="4" w:space="0" w:color="auto"/>
            </w:tcBorders>
          </w:tcPr>
          <w:p w14:paraId="39CA96B7" w14:textId="77777777" w:rsidR="00B40F04" w:rsidRPr="00DE6D79" w:rsidRDefault="00B40F04" w:rsidP="00B40F04">
            <w:pPr>
              <w:widowControl w:val="0"/>
              <w:suppressAutoHyphens w:val="0"/>
              <w:autoSpaceDE w:val="0"/>
              <w:autoSpaceDN w:val="0"/>
              <w:adjustRightInd w:val="0"/>
              <w:spacing w:before="40" w:after="40" w:line="240" w:lineRule="auto"/>
              <w:jc w:val="center"/>
              <w:rPr>
                <w:sz w:val="18"/>
              </w:rPr>
            </w:pPr>
            <w:r w:rsidRPr="00DE6D79">
              <w:rPr>
                <w:snapToGrid w:val="0"/>
                <w:sz w:val="18"/>
                <w:lang w:eastAsia="it-IT"/>
              </w:rPr>
              <w:t>4G</w:t>
            </w:r>
          </w:p>
        </w:tc>
      </w:tr>
      <w:tr w:rsidR="00B40F04" w:rsidRPr="00DE6D79" w14:paraId="042A9BDF" w14:textId="77777777" w:rsidTr="00B40F04">
        <w:trPr>
          <w:trHeight w:val="20"/>
        </w:trPr>
        <w:tc>
          <w:tcPr>
            <w:tcW w:w="1129" w:type="dxa"/>
            <w:tcBorders>
              <w:top w:val="single" w:sz="4" w:space="0" w:color="auto"/>
              <w:left w:val="single" w:sz="4" w:space="0" w:color="auto"/>
              <w:bottom w:val="single" w:sz="12" w:space="0" w:color="auto"/>
              <w:right w:val="single" w:sz="4" w:space="0" w:color="auto"/>
            </w:tcBorders>
          </w:tcPr>
          <w:p w14:paraId="4E342C3A" w14:textId="77777777" w:rsidR="00B40F04" w:rsidRPr="00DE6D79" w:rsidRDefault="00B40F04" w:rsidP="00B40F04">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8.11.</w:t>
            </w:r>
          </w:p>
        </w:tc>
        <w:tc>
          <w:tcPr>
            <w:tcW w:w="4395" w:type="dxa"/>
            <w:tcBorders>
              <w:top w:val="single" w:sz="4" w:space="0" w:color="auto"/>
              <w:left w:val="single" w:sz="4" w:space="0" w:color="auto"/>
              <w:bottom w:val="single" w:sz="12" w:space="0" w:color="auto"/>
              <w:right w:val="single" w:sz="4" w:space="0" w:color="auto"/>
            </w:tcBorders>
          </w:tcPr>
          <w:p w14:paraId="42919286" w14:textId="77777777" w:rsidR="00B40F04" w:rsidRPr="00DE6D79" w:rsidRDefault="00B40F04" w:rsidP="00B40F04">
            <w:pPr>
              <w:widowControl w:val="0"/>
              <w:suppressAutoHyphens w:val="0"/>
              <w:autoSpaceDE w:val="0"/>
              <w:autoSpaceDN w:val="0"/>
              <w:adjustRightInd w:val="0"/>
              <w:spacing w:before="40" w:after="40" w:line="240" w:lineRule="auto"/>
              <w:rPr>
                <w:snapToGrid w:val="0"/>
                <w:sz w:val="18"/>
                <w:lang w:eastAsia="it-IT"/>
              </w:rPr>
            </w:pPr>
            <w:r w:rsidRPr="00DE6D79">
              <w:rPr>
                <w:snapToGrid w:val="0"/>
                <w:sz w:val="18"/>
                <w:lang w:eastAsia="it-IT"/>
              </w:rPr>
              <w:t>Electronic control unit</w:t>
            </w:r>
          </w:p>
        </w:tc>
        <w:tc>
          <w:tcPr>
            <w:tcW w:w="708" w:type="dxa"/>
            <w:tcBorders>
              <w:top w:val="single" w:sz="4" w:space="0" w:color="auto"/>
              <w:left w:val="single" w:sz="4" w:space="0" w:color="auto"/>
              <w:bottom w:val="single" w:sz="12" w:space="0" w:color="auto"/>
              <w:right w:val="single" w:sz="4" w:space="0" w:color="auto"/>
            </w:tcBorders>
          </w:tcPr>
          <w:p w14:paraId="65AEF645" w14:textId="77777777" w:rsidR="00B40F04" w:rsidRPr="00DE6D79" w:rsidRDefault="00B40F04" w:rsidP="00B40F04">
            <w:pPr>
              <w:widowControl w:val="0"/>
              <w:suppressAutoHyphens w:val="0"/>
              <w:autoSpaceDE w:val="0"/>
              <w:autoSpaceDN w:val="0"/>
              <w:adjustRightInd w:val="0"/>
              <w:spacing w:before="40" w:after="40" w:line="240" w:lineRule="auto"/>
              <w:jc w:val="center"/>
              <w:rPr>
                <w:snapToGrid w:val="0"/>
                <w:sz w:val="18"/>
                <w:lang w:eastAsia="it-IT"/>
              </w:rPr>
            </w:pPr>
            <w:r w:rsidRPr="00DE6D79">
              <w:rPr>
                <w:snapToGrid w:val="0"/>
                <w:sz w:val="18"/>
                <w:lang w:eastAsia="it-IT"/>
              </w:rPr>
              <w:t>4H</w:t>
            </w:r>
          </w:p>
        </w:tc>
      </w:tr>
    </w:tbl>
    <w:p w14:paraId="71AA7594" w14:textId="77777777" w:rsidR="00B40F04" w:rsidRDefault="00B40F04" w:rsidP="00B40F04">
      <w:pPr>
        <w:spacing w:before="120" w:after="120" w:line="240" w:lineRule="auto"/>
        <w:ind w:left="2268" w:right="1134" w:hanging="1134"/>
        <w:jc w:val="both"/>
      </w:pPr>
    </w:p>
    <w:p w14:paraId="336D981E" w14:textId="77777777" w:rsidR="00B40F04" w:rsidRDefault="00B40F04" w:rsidP="00B40F04">
      <w:pPr>
        <w:spacing w:before="120" w:after="120" w:line="240" w:lineRule="auto"/>
        <w:ind w:left="2268" w:right="1134" w:hanging="1134"/>
        <w:jc w:val="both"/>
      </w:pPr>
    </w:p>
    <w:p w14:paraId="0E71795D" w14:textId="77777777" w:rsidR="00B40F04" w:rsidRDefault="00B40F04" w:rsidP="00B40F04">
      <w:pPr>
        <w:spacing w:before="120" w:after="120" w:line="240" w:lineRule="auto"/>
        <w:ind w:left="2268" w:right="1134" w:hanging="1134"/>
        <w:jc w:val="both"/>
      </w:pPr>
    </w:p>
    <w:p w14:paraId="32499CAF" w14:textId="77777777" w:rsidR="00B40F04" w:rsidRDefault="00B40F04" w:rsidP="00B40F04">
      <w:pPr>
        <w:spacing w:before="120" w:after="120" w:line="240" w:lineRule="auto"/>
        <w:ind w:left="2268" w:right="1134" w:hanging="1134"/>
        <w:jc w:val="both"/>
      </w:pPr>
    </w:p>
    <w:p w14:paraId="4D0CAC62" w14:textId="77777777" w:rsidR="00B40F04" w:rsidRDefault="00B40F04" w:rsidP="00B40F04">
      <w:pPr>
        <w:spacing w:before="120" w:after="120" w:line="240" w:lineRule="auto"/>
        <w:ind w:left="2268" w:right="1134" w:hanging="1134"/>
        <w:jc w:val="both"/>
      </w:pPr>
    </w:p>
    <w:p w14:paraId="7A3DF806" w14:textId="77777777" w:rsidR="00B40F04" w:rsidRDefault="00B40F04" w:rsidP="00B40F04">
      <w:pPr>
        <w:spacing w:before="120" w:after="120" w:line="240" w:lineRule="auto"/>
        <w:ind w:left="2268" w:right="1134" w:hanging="1134"/>
        <w:jc w:val="both"/>
      </w:pPr>
    </w:p>
    <w:p w14:paraId="366108DF" w14:textId="77777777" w:rsidR="00B40F04" w:rsidRDefault="00B40F04" w:rsidP="00B40F04">
      <w:pPr>
        <w:spacing w:before="120" w:after="120" w:line="240" w:lineRule="auto"/>
        <w:ind w:left="2268" w:right="1134" w:hanging="1134"/>
        <w:jc w:val="both"/>
      </w:pPr>
    </w:p>
    <w:p w14:paraId="439E353E" w14:textId="77777777" w:rsidR="00B40F04" w:rsidRDefault="00B40F04" w:rsidP="00B40F04">
      <w:pPr>
        <w:spacing w:before="120" w:after="120" w:line="240" w:lineRule="auto"/>
        <w:ind w:left="2268" w:right="1134" w:hanging="1134"/>
        <w:jc w:val="both"/>
      </w:pPr>
    </w:p>
    <w:p w14:paraId="276D6A62" w14:textId="77777777" w:rsidR="00B40F04" w:rsidRDefault="00B40F04" w:rsidP="00B40F04">
      <w:pPr>
        <w:spacing w:before="120" w:after="120" w:line="240" w:lineRule="auto"/>
        <w:ind w:left="2268" w:right="1134" w:hanging="1134"/>
        <w:jc w:val="both"/>
      </w:pPr>
    </w:p>
    <w:p w14:paraId="2B9709CB" w14:textId="77777777" w:rsidR="00B40F04" w:rsidRDefault="00B40F04" w:rsidP="00B40F04">
      <w:pPr>
        <w:spacing w:before="120" w:after="120" w:line="240" w:lineRule="auto"/>
        <w:ind w:left="2268" w:right="1134" w:hanging="1134"/>
        <w:jc w:val="both"/>
      </w:pPr>
    </w:p>
    <w:p w14:paraId="5C5F8291" w14:textId="77777777" w:rsidR="00B40F04" w:rsidRDefault="00B40F04" w:rsidP="00B40F04">
      <w:pPr>
        <w:spacing w:before="120" w:after="120" w:line="240" w:lineRule="auto"/>
        <w:ind w:left="2268" w:right="1134" w:hanging="1134"/>
        <w:jc w:val="both"/>
      </w:pPr>
    </w:p>
    <w:p w14:paraId="5720DC00" w14:textId="70A33775" w:rsidR="00B40F04" w:rsidRDefault="00B40F04" w:rsidP="00B40F04">
      <w:pPr>
        <w:spacing w:before="120" w:after="120" w:line="240" w:lineRule="auto"/>
        <w:ind w:left="2268" w:right="1134" w:hanging="1134"/>
        <w:jc w:val="both"/>
      </w:pPr>
    </w:p>
    <w:p w14:paraId="40936596" w14:textId="7A48AE90" w:rsidR="00B40F04" w:rsidRDefault="003F5BE2" w:rsidP="00B40F04">
      <w:pPr>
        <w:spacing w:before="120" w:after="120" w:line="240" w:lineRule="auto"/>
        <w:ind w:left="2268" w:right="1134" w:hanging="1134"/>
        <w:jc w:val="both"/>
      </w:pPr>
      <w:r>
        <w:t>"</w:t>
      </w:r>
    </w:p>
    <w:p w14:paraId="339C8690" w14:textId="57A2883F" w:rsidR="00B40F04" w:rsidRDefault="00B40F04" w:rsidP="00B40F04">
      <w:pPr>
        <w:spacing w:after="120" w:line="240" w:lineRule="auto"/>
        <w:ind w:left="2268" w:right="1134" w:hanging="1134"/>
        <w:jc w:val="both"/>
      </w:pPr>
      <w:r>
        <w:rPr>
          <w:i/>
        </w:rPr>
        <w:t>Annex 3A – Appendix A</w:t>
      </w:r>
      <w:r w:rsidRPr="00D86426">
        <w:rPr>
          <w:i/>
        </w:rPr>
        <w:t>,</w:t>
      </w:r>
      <w:r w:rsidRPr="00D86426">
        <w:t xml:space="preserve"> amend to read:</w:t>
      </w:r>
    </w:p>
    <w:p w14:paraId="2FDD81AE" w14:textId="36A435DC" w:rsidR="00B40F04" w:rsidRPr="00DE6D79" w:rsidRDefault="003F5BE2" w:rsidP="00300A74">
      <w:pPr>
        <w:pStyle w:val="SingleTxtG"/>
      </w:pPr>
      <w:r>
        <w:t>"</w:t>
      </w:r>
      <w:r w:rsidR="00B40F04" w:rsidRPr="00DE6D79">
        <w:t>A.24.</w:t>
      </w:r>
      <w:r w:rsidR="00B40F04" w:rsidRPr="00DE6D79">
        <w:tab/>
      </w:r>
      <w:r w:rsidR="00300A74">
        <w:tab/>
      </w:r>
      <w:r w:rsidR="00B40F04" w:rsidRPr="00DE6D79">
        <w:t>Pressure relief device requirements</w:t>
      </w:r>
    </w:p>
    <w:p w14:paraId="5FC4C2DB" w14:textId="77777777" w:rsidR="00B40F04" w:rsidRPr="00DE6D79" w:rsidRDefault="00B40F04" w:rsidP="00B40F04">
      <w:pPr>
        <w:spacing w:after="120" w:line="240" w:lineRule="auto"/>
        <w:ind w:left="2268" w:right="1134"/>
        <w:jc w:val="both"/>
      </w:pPr>
      <w:r w:rsidRPr="00DE6D79">
        <w:t>Pressure relief device specified by the manufacturer shall be shown to be compatible with the service conditions listed in paragraph 4. of Annex 3</w:t>
      </w:r>
      <w:r>
        <w:t>A</w:t>
      </w:r>
      <w:r w:rsidRPr="00DE6D79">
        <w:t xml:space="preserve"> and through the following qualification tests:</w:t>
      </w:r>
    </w:p>
    <w:p w14:paraId="1A7432D0" w14:textId="77777777" w:rsidR="00B40F04" w:rsidRPr="00DE6D79" w:rsidRDefault="00B40F04" w:rsidP="00B40F04">
      <w:pPr>
        <w:spacing w:after="120" w:line="240" w:lineRule="auto"/>
        <w:ind w:left="2835" w:right="1134" w:hanging="567"/>
        <w:jc w:val="both"/>
      </w:pPr>
      <w:r w:rsidRPr="00DE6D79">
        <w:t>(a)</w:t>
      </w:r>
      <w:r w:rsidRPr="00DE6D79">
        <w:tab/>
        <w:t>One specimen shall be held at a controlled temperature of not less than 95 °C and a pressure not less than test pressure (30 MPa) for 24 hours. At the end of this test there shall be no leakage or visible sign of extrusion of any fusible metal used in the design.</w:t>
      </w:r>
    </w:p>
    <w:p w14:paraId="76CE1493" w14:textId="77777777" w:rsidR="00B40F04" w:rsidRPr="00DE6D79" w:rsidRDefault="00B40F04" w:rsidP="00B40F04">
      <w:pPr>
        <w:spacing w:after="120" w:line="240" w:lineRule="auto"/>
        <w:ind w:left="2835" w:right="1134" w:hanging="567"/>
        <w:jc w:val="both"/>
      </w:pPr>
      <w:r w:rsidRPr="00DE6D79">
        <w:t>(b)</w:t>
      </w:r>
      <w:r w:rsidRPr="00DE6D79">
        <w:tab/>
        <w:t>One specimen shall be fatigue tested at a pressure cycling rate not to exceed 4 cycles per minute as follows:</w:t>
      </w:r>
    </w:p>
    <w:p w14:paraId="5AF84263" w14:textId="77777777" w:rsidR="00B40F04" w:rsidRPr="00DE6D79" w:rsidRDefault="00B40F04" w:rsidP="00B40F04">
      <w:pPr>
        <w:spacing w:after="120" w:line="240" w:lineRule="auto"/>
        <w:ind w:left="3402" w:right="1134" w:hanging="567"/>
        <w:jc w:val="both"/>
      </w:pPr>
      <w:r w:rsidRPr="00DE6D79">
        <w:t>(</w:t>
      </w:r>
      <w:proofErr w:type="spellStart"/>
      <w:r w:rsidRPr="00DE6D79">
        <w:t>i</w:t>
      </w:r>
      <w:proofErr w:type="spellEnd"/>
      <w:r w:rsidRPr="00DE6D79">
        <w:t>)</w:t>
      </w:r>
      <w:r w:rsidRPr="00DE6D79">
        <w:tab/>
        <w:t xml:space="preserve">Held at 82 °C while pressured for 10,000 cycles between 2 MPa and 26 </w:t>
      </w:r>
      <w:proofErr w:type="gramStart"/>
      <w:r w:rsidRPr="00DE6D79">
        <w:t>MPa;</w:t>
      </w:r>
      <w:proofErr w:type="gramEnd"/>
    </w:p>
    <w:p w14:paraId="0117BAE4" w14:textId="77777777" w:rsidR="00B40F04" w:rsidRPr="00DE6D79" w:rsidRDefault="00B40F04" w:rsidP="00B40F04">
      <w:pPr>
        <w:spacing w:after="120" w:line="240" w:lineRule="auto"/>
        <w:ind w:left="3402" w:right="1134" w:hanging="567"/>
        <w:jc w:val="both"/>
      </w:pPr>
      <w:r w:rsidRPr="00DE6D79">
        <w:t>(ii)</w:t>
      </w:r>
      <w:r w:rsidRPr="00DE6D79">
        <w:tab/>
        <w:t>Held at -40 °C while pressure for 10,000 cycles between 2 MPa and 20 MPa.</w:t>
      </w:r>
    </w:p>
    <w:p w14:paraId="06697806" w14:textId="77777777" w:rsidR="00B40F04" w:rsidRPr="00DE6D79" w:rsidRDefault="00B40F04" w:rsidP="00B40F04">
      <w:pPr>
        <w:spacing w:after="120" w:line="240" w:lineRule="auto"/>
        <w:ind w:left="2835" w:right="1134"/>
        <w:jc w:val="both"/>
      </w:pPr>
      <w:r w:rsidRPr="00DE6D79">
        <w:t>At the end of this test there shall be no leakage, or any visible sign of extrusion of any fusible metal used in the design.</w:t>
      </w:r>
    </w:p>
    <w:p w14:paraId="7BA36BC0" w14:textId="77777777" w:rsidR="00C52B01" w:rsidRPr="00DC0BA7" w:rsidRDefault="00B40F04" w:rsidP="00C52B01">
      <w:pPr>
        <w:spacing w:after="120" w:line="240" w:lineRule="auto"/>
        <w:ind w:left="2835" w:right="1134" w:hanging="567"/>
        <w:jc w:val="both"/>
        <w:rPr>
          <w:color w:val="FF0000"/>
        </w:rPr>
      </w:pPr>
      <w:r w:rsidRPr="00DE6D79">
        <w:t>(c)</w:t>
      </w:r>
      <w:r w:rsidRPr="00DE6D79">
        <w:tab/>
        <w:t>Exposed brass pressure retaining components of pressure relief devices shall withstand, without stress corrosion cracking,</w:t>
      </w:r>
      <w:r w:rsidR="009534B3">
        <w:t xml:space="preserve"> </w:t>
      </w:r>
      <w:r w:rsidR="009534B3" w:rsidRPr="00370E7D">
        <w:rPr>
          <w:b/>
        </w:rPr>
        <w:t>immersion in ammonia</w:t>
      </w:r>
      <w:r w:rsidRPr="00DE6D79">
        <w:t xml:space="preserve"> </w:t>
      </w:r>
      <w:r w:rsidRPr="009534B3">
        <w:rPr>
          <w:strike/>
        </w:rPr>
        <w:t>a mercurous nitrate test as described in ASTM B154</w:t>
      </w:r>
      <w:r w:rsidRPr="00DE6D79">
        <w:t xml:space="preserve">. </w:t>
      </w:r>
      <w:r w:rsidRPr="00C56D77">
        <w:rPr>
          <w:strike/>
        </w:rPr>
        <w:t>The pressure relief device shall be immersed for 30 minutes in an</w:t>
      </w:r>
      <w:r w:rsidRPr="009534B3">
        <w:rPr>
          <w:strike/>
        </w:rPr>
        <w:t xml:space="preserve"> aqueous mercurous nitrate solution containing 10 g of mercurous nitrate and 10 ml of nitric acid per litre of solution</w:t>
      </w:r>
      <w:r w:rsidRPr="00C56D77">
        <w:rPr>
          <w:strike/>
        </w:rPr>
        <w:t xml:space="preserve">. </w:t>
      </w:r>
      <w:r w:rsidRPr="00DC0BA7">
        <w:rPr>
          <w:color w:val="FF0000"/>
        </w:rPr>
        <w:t>Following the immersion, the pressure relief device shall be leak tested by applying an aerostatic pressure of 26 MPa for one minute during which time the component shall be checked for external leakage; Any leakage shall not exceed 200 cm</w:t>
      </w:r>
      <w:r w:rsidRPr="00DC0BA7">
        <w:rPr>
          <w:color w:val="FF0000"/>
          <w:vertAlign w:val="superscript"/>
        </w:rPr>
        <w:t>3</w:t>
      </w:r>
      <w:r w:rsidRPr="00DC0BA7">
        <w:rPr>
          <w:color w:val="FF0000"/>
        </w:rPr>
        <w:t>/h</w:t>
      </w:r>
      <w:r w:rsidR="00C52B01" w:rsidRPr="00DC0BA7">
        <w:rPr>
          <w:color w:val="FF0000"/>
        </w:rPr>
        <w:t xml:space="preserve">. </w:t>
      </w:r>
    </w:p>
    <w:p w14:paraId="17B01F36" w14:textId="77777777" w:rsidR="00C52B01" w:rsidRDefault="00C52B01" w:rsidP="00C52B01">
      <w:pPr>
        <w:spacing w:after="120" w:line="240" w:lineRule="auto"/>
        <w:ind w:left="3402" w:right="1134" w:hanging="567"/>
        <w:jc w:val="both"/>
        <w:rPr>
          <w:b/>
        </w:rPr>
      </w:pPr>
      <w:r>
        <w:rPr>
          <w:b/>
        </w:rPr>
        <w:lastRenderedPageBreak/>
        <w:t>(</w:t>
      </w:r>
      <w:proofErr w:type="spellStart"/>
      <w:r>
        <w:rPr>
          <w:b/>
        </w:rPr>
        <w:t>i</w:t>
      </w:r>
      <w:proofErr w:type="spellEnd"/>
      <w:r>
        <w:rPr>
          <w:b/>
        </w:rPr>
        <w:t xml:space="preserve">) </w:t>
      </w:r>
      <w:r>
        <w:rPr>
          <w:b/>
        </w:rPr>
        <w:tab/>
      </w:r>
      <w:r w:rsidRPr="00C52B01">
        <w:rPr>
          <w:b/>
        </w:rPr>
        <w:t>Subject each test sample to the physical stresses normally imposed on, or within, a part as a result of its assembly with other components. Apply these stresses to the sample prior to testing and maintain them throughout the test. Samples with thread, intended to be used for installing the product in the field, shall have the threads engaged and tightened to the torque specified in the instruction manual of the sample or specified by the manufacturer. Polytetrafluorethylene (PTFE) tape or pipe compounds sh</w:t>
      </w:r>
      <w:r>
        <w:rPr>
          <w:b/>
        </w:rPr>
        <w:t>all not be used on the threads.</w:t>
      </w:r>
    </w:p>
    <w:p w14:paraId="2D6AC1AD" w14:textId="37051CE4" w:rsidR="00C52B01" w:rsidRPr="00C52B01" w:rsidRDefault="00C52B01" w:rsidP="00C52B01">
      <w:pPr>
        <w:spacing w:after="120" w:line="240" w:lineRule="auto"/>
        <w:ind w:left="3402" w:right="1134" w:hanging="567"/>
        <w:jc w:val="both"/>
        <w:rPr>
          <w:b/>
        </w:rPr>
      </w:pPr>
      <w:r>
        <w:rPr>
          <w:b/>
        </w:rPr>
        <w:t>(ii)</w:t>
      </w:r>
      <w:r>
        <w:rPr>
          <w:b/>
        </w:rPr>
        <w:tab/>
      </w:r>
      <w:r w:rsidRPr="00C52B01">
        <w:rPr>
          <w:b/>
        </w:rPr>
        <w:t>Degrease three samples and expose them continuously for 10 days at a set position to a moist ammonia–air mixture, maintained in a glass chamber of approximately 30 l in capacity with a glass cover. Aqueous ammonia having a specific gravity of 0</w:t>
      </w:r>
      <w:r w:rsidR="008759C0">
        <w:rPr>
          <w:b/>
        </w:rPr>
        <w:t>.</w:t>
      </w:r>
      <w:r w:rsidRPr="00C52B01">
        <w:rPr>
          <w:b/>
        </w:rPr>
        <w:t>94 shall be maintained at the bottom of the glass chamber, below the samples, at a concentration of 21</w:t>
      </w:r>
      <w:r w:rsidR="008759C0">
        <w:rPr>
          <w:b/>
        </w:rPr>
        <w:t>.</w:t>
      </w:r>
      <w:r w:rsidRPr="00C52B01">
        <w:rPr>
          <w:b/>
        </w:rPr>
        <w:t xml:space="preserve">2 ml/l of chamber volume. </w:t>
      </w:r>
      <w:r w:rsidRPr="00003660">
        <w:rPr>
          <w:b/>
          <w:strike/>
          <w:color w:val="FF0000"/>
        </w:rPr>
        <w:t>Maintain approximately 600 cm</w:t>
      </w:r>
      <w:r w:rsidRPr="00003660">
        <w:rPr>
          <w:b/>
          <w:strike/>
          <w:color w:val="FF0000"/>
          <w:vertAlign w:val="superscript"/>
        </w:rPr>
        <w:t>3</w:t>
      </w:r>
      <w:r w:rsidRPr="00003660">
        <w:rPr>
          <w:b/>
          <w:strike/>
          <w:color w:val="FF0000"/>
        </w:rPr>
        <w:t xml:space="preserve"> of aqueous ammonia, with a relative density (specific gravity) of 0</w:t>
      </w:r>
      <w:r w:rsidR="008759C0" w:rsidRPr="00003660">
        <w:rPr>
          <w:b/>
          <w:strike/>
          <w:color w:val="FF0000"/>
        </w:rPr>
        <w:t>.</w:t>
      </w:r>
      <w:r w:rsidRPr="00003660">
        <w:rPr>
          <w:b/>
          <w:strike/>
          <w:color w:val="FF0000"/>
        </w:rPr>
        <w:t>94, at the bottom of the glass chamber, below the samples.</w:t>
      </w:r>
      <w:r w:rsidRPr="00C52B01">
        <w:rPr>
          <w:b/>
        </w:rPr>
        <w:t xml:space="preserve"> Position the samples 40 mm above the aqueous ammonia solution, supported by an inert tray. Maintain the moist ammonia–air mixture in the chamber at atmospheric pressure and at a temperature of 34 °C ± 2 °C.</w:t>
      </w:r>
    </w:p>
    <w:p w14:paraId="172E44B1" w14:textId="4198B16A" w:rsidR="00B40F04" w:rsidRPr="00DC0BA7" w:rsidRDefault="00C52B01" w:rsidP="00C52B01">
      <w:pPr>
        <w:spacing w:after="120" w:line="240" w:lineRule="auto"/>
        <w:ind w:left="2835" w:right="1134"/>
        <w:jc w:val="both"/>
        <w:rPr>
          <w:strike/>
          <w:color w:val="FF0000"/>
        </w:rPr>
      </w:pPr>
      <w:r w:rsidRPr="00DC0BA7">
        <w:rPr>
          <w:b/>
          <w:strike/>
          <w:color w:val="FF0000"/>
        </w:rPr>
        <w:t>After being subjected to the conditions of this procedure, samples shall show no evidence of cracking when examined at a magnification factor of 25.</w:t>
      </w:r>
    </w:p>
    <w:p w14:paraId="5D89FAFD" w14:textId="305AE913" w:rsidR="00794BED" w:rsidRDefault="00B40F04" w:rsidP="00B40F04">
      <w:pPr>
        <w:spacing w:after="120" w:line="240" w:lineRule="auto"/>
        <w:ind w:left="2835" w:right="1134" w:hanging="567"/>
        <w:jc w:val="both"/>
      </w:pPr>
      <w:r w:rsidRPr="00DE6D79">
        <w:t>(d)</w:t>
      </w:r>
      <w:r w:rsidRPr="00DE6D79">
        <w:tab/>
        <w:t>Exposed stainless steel pressure retaining components of pressure relief devices shall be made of an alloy type resistant to chloride induced stress corrosion cracking.</w:t>
      </w:r>
      <w:r w:rsidR="003F5BE2">
        <w:t>"</w:t>
      </w:r>
    </w:p>
    <w:p w14:paraId="5C8FB5FA" w14:textId="24739D22" w:rsidR="00794BED" w:rsidRDefault="00794BED" w:rsidP="00794BED">
      <w:pPr>
        <w:spacing w:after="120" w:line="240" w:lineRule="auto"/>
        <w:ind w:left="2268" w:right="1134" w:hanging="1134"/>
        <w:jc w:val="both"/>
      </w:pPr>
      <w:r>
        <w:rPr>
          <w:i/>
        </w:rPr>
        <w:t>Annex 4A</w:t>
      </w:r>
      <w:r w:rsidRPr="00D86426">
        <w:rPr>
          <w:i/>
        </w:rPr>
        <w:t>,</w:t>
      </w:r>
      <w:r>
        <w:rPr>
          <w:i/>
        </w:rPr>
        <w:t xml:space="preserve"> paragraph 3.2.3.,</w:t>
      </w:r>
      <w:r w:rsidRPr="00D86426">
        <w:t xml:space="preserve"> amend to read:</w:t>
      </w:r>
    </w:p>
    <w:p w14:paraId="007AE8F5" w14:textId="1C215493" w:rsidR="00794BED" w:rsidRPr="00DE6D79" w:rsidRDefault="003F5BE2" w:rsidP="00794BED">
      <w:pPr>
        <w:spacing w:after="120" w:line="240" w:lineRule="auto"/>
        <w:ind w:left="2268" w:right="1134" w:hanging="1134"/>
        <w:jc w:val="both"/>
      </w:pPr>
      <w:r>
        <w:t>"</w:t>
      </w:r>
      <w:r w:rsidR="00794BED" w:rsidRPr="00DE6D79">
        <w:t>3.2.3.</w:t>
      </w:r>
      <w:r w:rsidR="00794BED" w:rsidRPr="00DE6D79">
        <w:tab/>
        <w:t xml:space="preserve">The non-return valve, being in the normal position of use specified by the manufacturer, is submitted to 20,000 operations; then it is deactivated. </w:t>
      </w:r>
      <w:r w:rsidR="00794BED" w:rsidRPr="00794BED">
        <w:rPr>
          <w:b/>
        </w:rPr>
        <w:t>Following 20</w:t>
      </w:r>
      <w:r w:rsidR="002C2750">
        <w:rPr>
          <w:b/>
        </w:rPr>
        <w:t>,</w:t>
      </w:r>
      <w:r w:rsidR="00794BED" w:rsidRPr="00794BED">
        <w:rPr>
          <w:b/>
        </w:rPr>
        <w:t>000 cycles of operation, subject the check valve to 240 h of chatter flow at a flow rate that causes the most chatter. Failure in any sense during the procedure shall constitute a failure of the check valve. All parts shall remain in position and function properly after this test.</w:t>
      </w:r>
      <w:r w:rsidR="00794BED">
        <w:br/>
      </w:r>
      <w:r w:rsidR="00794BED" w:rsidRPr="00DE6D79">
        <w:t>The non-return valve shall remain leak-proof (external) at a pressure of 1.5 times the working pressure (MPa) (see Annex 5B).</w:t>
      </w:r>
      <w:r>
        <w:t>"</w:t>
      </w:r>
    </w:p>
    <w:p w14:paraId="206F603F" w14:textId="1067F728" w:rsidR="00794BED" w:rsidRDefault="00794BED" w:rsidP="00794BED">
      <w:pPr>
        <w:spacing w:after="120" w:line="240" w:lineRule="auto"/>
        <w:ind w:left="2268" w:right="1134" w:hanging="1134"/>
        <w:jc w:val="both"/>
      </w:pPr>
      <w:r>
        <w:rPr>
          <w:i/>
        </w:rPr>
        <w:t>Annex 5L</w:t>
      </w:r>
      <w:r w:rsidRPr="00D86426">
        <w:rPr>
          <w:i/>
        </w:rPr>
        <w:t>,</w:t>
      </w:r>
      <w:r w:rsidRPr="00D86426">
        <w:t xml:space="preserve"> amend to read:</w:t>
      </w:r>
    </w:p>
    <w:p w14:paraId="52ED8D15" w14:textId="5DA29FB0" w:rsidR="00794BED" w:rsidRPr="00DE6D79" w:rsidRDefault="003F5BE2" w:rsidP="00794BED">
      <w:pPr>
        <w:pStyle w:val="HChG"/>
      </w:pPr>
      <w:bookmarkStart w:id="0" w:name="_Toc384289003"/>
      <w:r>
        <w:t>"</w:t>
      </w:r>
      <w:r w:rsidR="00794BED" w:rsidRPr="00DE6D79">
        <w:t>Annex 5L</w:t>
      </w:r>
      <w:bookmarkEnd w:id="0"/>
    </w:p>
    <w:p w14:paraId="7E4A2D87" w14:textId="77777777" w:rsidR="00794BED" w:rsidRPr="00DE6D79" w:rsidRDefault="00794BED" w:rsidP="00794BED">
      <w:pPr>
        <w:pStyle w:val="HChG"/>
      </w:pPr>
      <w:r>
        <w:tab/>
      </w:r>
      <w:r>
        <w:tab/>
      </w:r>
      <w:bookmarkStart w:id="1" w:name="_Toc384289004"/>
      <w:r w:rsidRPr="00DE6D79">
        <w:t>Durability test (continued operation)</w:t>
      </w:r>
      <w:bookmarkEnd w:id="1"/>
    </w:p>
    <w:p w14:paraId="7EC18F26" w14:textId="77777777" w:rsidR="00794BED" w:rsidRPr="00DE6D79" w:rsidRDefault="00794BED" w:rsidP="00794BED">
      <w:pPr>
        <w:spacing w:after="120" w:line="240" w:lineRule="auto"/>
        <w:ind w:left="2268" w:right="1134" w:hanging="1134"/>
        <w:jc w:val="both"/>
      </w:pPr>
      <w:r w:rsidRPr="00DE6D79">
        <w:t>1.</w:t>
      </w:r>
      <w:r w:rsidRPr="00DE6D79">
        <w:tab/>
        <w:t>Test method for CNG components</w:t>
      </w:r>
    </w:p>
    <w:p w14:paraId="629D8F6D" w14:textId="77777777" w:rsidR="00794BED" w:rsidRPr="00DE6D79" w:rsidRDefault="00794BED" w:rsidP="00794BED">
      <w:pPr>
        <w:spacing w:after="120" w:line="240" w:lineRule="auto"/>
        <w:ind w:left="2268" w:right="1134" w:hanging="1134"/>
        <w:jc w:val="both"/>
      </w:pPr>
      <w:r w:rsidRPr="00DE6D79">
        <w:t>1.1.</w:t>
      </w:r>
      <w:r w:rsidRPr="00DE6D79">
        <w:tab/>
        <w:t>The component shall be connected to a source of pressurized dry air or nitrogen by means of a suitable fitting and subjected to the number of cycles specified for that specific component. A cycle shall consist of one opening and one closing of the component within a period of not less than</w:t>
      </w:r>
      <w:r w:rsidRPr="00DE6D79">
        <w:br/>
        <w:t>10 ± 2 seconds.</w:t>
      </w:r>
    </w:p>
    <w:p w14:paraId="519434B8" w14:textId="77777777" w:rsidR="00794BED" w:rsidRPr="00DE6D79" w:rsidRDefault="00794BED" w:rsidP="00794BED">
      <w:pPr>
        <w:spacing w:after="120" w:line="240" w:lineRule="auto"/>
        <w:ind w:left="2835" w:right="1134" w:hanging="567"/>
        <w:jc w:val="both"/>
      </w:pPr>
      <w:r w:rsidRPr="00DE6D79">
        <w:t>(a)</w:t>
      </w:r>
      <w:r w:rsidRPr="00DE6D79">
        <w:tab/>
        <w:t>Room temperature cycling</w:t>
      </w:r>
    </w:p>
    <w:p w14:paraId="3DB754CE" w14:textId="77777777" w:rsidR="00794BED" w:rsidRPr="00DE6D79" w:rsidRDefault="00794BED" w:rsidP="00794BED">
      <w:pPr>
        <w:spacing w:after="120" w:line="240" w:lineRule="auto"/>
        <w:ind w:left="2835" w:right="1134"/>
        <w:jc w:val="both"/>
      </w:pPr>
      <w:r w:rsidRPr="00DE6D79">
        <w:t xml:space="preserve">The component shall be operated through 96 per cent of the total cycles at room temperature and at rated service pressure. During the off cycle the downstream pressure of the test fixture should be allowed to decay to 50 per cent of the test pressure. After that, the components shall </w:t>
      </w:r>
      <w:r w:rsidRPr="00DE6D79">
        <w:lastRenderedPageBreak/>
        <w:t>comply with the leakage test of Annex 5B at room temperature. It is allowed to interrupt this part of the test at 20 per cent intervals for leakage testing.</w:t>
      </w:r>
    </w:p>
    <w:p w14:paraId="3D3D3422" w14:textId="77777777" w:rsidR="00794BED" w:rsidRPr="00DE6D79" w:rsidRDefault="00794BED" w:rsidP="00794BED">
      <w:pPr>
        <w:spacing w:after="120" w:line="240" w:lineRule="auto"/>
        <w:ind w:left="2835" w:right="1134" w:hanging="567"/>
        <w:jc w:val="both"/>
      </w:pPr>
      <w:r w:rsidRPr="00DE6D79">
        <w:t>(b)</w:t>
      </w:r>
      <w:r w:rsidRPr="00DE6D79">
        <w:tab/>
        <w:t>High temperature cycling</w:t>
      </w:r>
    </w:p>
    <w:p w14:paraId="7005D943" w14:textId="77777777" w:rsidR="00794BED" w:rsidRPr="00DE6D79" w:rsidRDefault="00794BED" w:rsidP="00794BED">
      <w:pPr>
        <w:spacing w:after="120" w:line="240" w:lineRule="auto"/>
        <w:ind w:left="2835" w:right="1134"/>
        <w:jc w:val="both"/>
      </w:pPr>
      <w:r w:rsidRPr="00DE6D79">
        <w:t>The component shall be operated through 2 per cent of the total cycles at the appropriate maximum temperature specified at rated service pressure. The component shall comply with the leakage test of Annex 5B at the appropriate maximum temperature at the completion of the high temperature cycles.</w:t>
      </w:r>
    </w:p>
    <w:p w14:paraId="2B6CC22C" w14:textId="77777777" w:rsidR="00794BED" w:rsidRPr="00DE6D79" w:rsidRDefault="00794BED" w:rsidP="00794BED">
      <w:pPr>
        <w:spacing w:after="120" w:line="240" w:lineRule="auto"/>
        <w:ind w:left="2835" w:right="1134" w:hanging="567"/>
        <w:jc w:val="both"/>
      </w:pPr>
      <w:r w:rsidRPr="00DE6D79">
        <w:t>(c)</w:t>
      </w:r>
      <w:r w:rsidRPr="00DE6D79">
        <w:tab/>
        <w:t>Low temperature cycling</w:t>
      </w:r>
    </w:p>
    <w:p w14:paraId="0661DBF1" w14:textId="77777777" w:rsidR="00794BED" w:rsidRPr="00DE6D79" w:rsidRDefault="00794BED" w:rsidP="00794BED">
      <w:pPr>
        <w:spacing w:after="120" w:line="240" w:lineRule="auto"/>
        <w:ind w:left="2835" w:right="1134"/>
        <w:jc w:val="both"/>
      </w:pPr>
      <w:r w:rsidRPr="00DE6D79">
        <w:t>The component shall be operated through 2 per cent of the total cycles at the appropriate minimum temperature specified at rated service pressure. The component shall comply with the leakage test of Annex 5B at the appropriate minimum temperature specified at the completion of the low temperature cycles.</w:t>
      </w:r>
    </w:p>
    <w:p w14:paraId="200B244B" w14:textId="752D9E6E" w:rsidR="006237FD" w:rsidRPr="00DE6D79" w:rsidRDefault="00794BED" w:rsidP="006237FD">
      <w:pPr>
        <w:spacing w:after="120" w:line="240" w:lineRule="auto"/>
        <w:ind w:left="2835" w:right="1134"/>
        <w:jc w:val="both"/>
      </w:pPr>
      <w:r w:rsidRPr="00DE6D79">
        <w:t>Following cycling and leakage re-test, the component shall be capable of completely opening and closing when a torque not greater than that specified in Table 5.3</w:t>
      </w:r>
      <w:r>
        <w:t xml:space="preserve"> below</w:t>
      </w:r>
      <w:r w:rsidRPr="00DE6D79">
        <w:t xml:space="preserve"> is applied to the component handle in a direction to open it completely and then in the reverse direction</w:t>
      </w:r>
      <w:r w:rsidR="006237FD">
        <w:t xml:space="preserve">. </w:t>
      </w:r>
      <w:r w:rsidR="006237FD" w:rsidRPr="00194C40">
        <w:rPr>
          <w:b/>
        </w:rPr>
        <w:t xml:space="preserve">For </w:t>
      </w:r>
      <w:proofErr w:type="gramStart"/>
      <w:r w:rsidR="006237FD" w:rsidRPr="00194C40">
        <w:rPr>
          <w:b/>
        </w:rPr>
        <w:t>a  lever</w:t>
      </w:r>
      <w:proofErr w:type="gramEnd"/>
      <w:r w:rsidR="006237FD" w:rsidRPr="00194C40">
        <w:rPr>
          <w:b/>
        </w:rPr>
        <w:t xml:space="preserve"> operated valve the appropriate maximum torque is to be determined by applying </w:t>
      </w:r>
      <w:r w:rsidR="00CA67BC" w:rsidRPr="00CA67BC">
        <w:rPr>
          <w:b/>
        </w:rPr>
        <w:t>a</w:t>
      </w:r>
      <w:r w:rsidR="006237FD">
        <w:rPr>
          <w:b/>
        </w:rPr>
        <w:t xml:space="preserve"> </w:t>
      </w:r>
      <w:r w:rsidR="006237FD" w:rsidRPr="00194C40">
        <w:rPr>
          <w:b/>
        </w:rPr>
        <w:t xml:space="preserve">pull force </w:t>
      </w:r>
      <w:r w:rsidR="00230810" w:rsidRPr="00DA15DF">
        <w:rPr>
          <w:b/>
          <w:color w:val="FF0000"/>
        </w:rPr>
        <w:t>u</w:t>
      </w:r>
      <w:r w:rsidR="00DA15DF" w:rsidRPr="00DA15DF">
        <w:rPr>
          <w:b/>
          <w:color w:val="FF0000"/>
        </w:rPr>
        <w:t xml:space="preserve">p to </w:t>
      </w:r>
      <w:r w:rsidR="006237FD" w:rsidRPr="00194C40">
        <w:rPr>
          <w:b/>
        </w:rPr>
        <w:t>150 N to the end of the handle operating mechanism.</w:t>
      </w:r>
    </w:p>
    <w:p w14:paraId="667C144E" w14:textId="24750AE6" w:rsidR="006237FD" w:rsidRDefault="006237FD" w:rsidP="00C0522C">
      <w:pPr>
        <w:spacing w:before="240" w:line="240" w:lineRule="auto"/>
        <w:ind w:left="2268" w:right="1134"/>
        <w:jc w:val="both"/>
      </w:pPr>
      <w:bookmarkStart w:id="2" w:name="_Toc343849610"/>
      <w:r w:rsidRPr="00DE6D79">
        <w:t>Table 5.3</w:t>
      </w:r>
      <w:bookmarkEnd w:id="2"/>
    </w:p>
    <w:p w14:paraId="392FE349" w14:textId="59C9FCC9" w:rsidR="002C2750" w:rsidRPr="008759C0" w:rsidRDefault="002C2750" w:rsidP="006237FD">
      <w:pPr>
        <w:spacing w:after="120" w:line="240" w:lineRule="auto"/>
        <w:ind w:left="2268" w:right="1134"/>
        <w:jc w:val="both"/>
        <w:rPr>
          <w:b/>
          <w:bCs/>
        </w:rPr>
      </w:pPr>
      <w:r w:rsidRPr="008F0C1D">
        <w:rPr>
          <w:b/>
          <w:bCs/>
        </w:rPr>
        <w:t>Table Title</w:t>
      </w:r>
      <w:r w:rsidR="00AA6120" w:rsidRPr="00AA6120">
        <w:rPr>
          <w:b/>
          <w:bCs/>
          <w:color w:val="FF0000"/>
        </w:rPr>
        <w:t>?</w:t>
      </w:r>
    </w:p>
    <w:tbl>
      <w:tblPr>
        <w:tblW w:w="6237" w:type="dxa"/>
        <w:tblInd w:w="2352" w:type="dxa"/>
        <w:tblLayout w:type="fixed"/>
        <w:tblCellMar>
          <w:left w:w="84" w:type="dxa"/>
          <w:right w:w="84" w:type="dxa"/>
        </w:tblCellMar>
        <w:tblLook w:val="0000" w:firstRow="0" w:lastRow="0" w:firstColumn="0" w:lastColumn="0" w:noHBand="0" w:noVBand="0"/>
      </w:tblPr>
      <w:tblGrid>
        <w:gridCol w:w="3119"/>
        <w:gridCol w:w="3118"/>
      </w:tblGrid>
      <w:tr w:rsidR="006237FD" w:rsidRPr="00DE6D79" w14:paraId="78C60563" w14:textId="77777777" w:rsidTr="00ED324D">
        <w:trPr>
          <w:trHeight w:val="77"/>
        </w:trPr>
        <w:tc>
          <w:tcPr>
            <w:tcW w:w="3119" w:type="dxa"/>
            <w:tcBorders>
              <w:top w:val="single" w:sz="6" w:space="0" w:color="000000"/>
              <w:left w:val="single" w:sz="6" w:space="0" w:color="000000"/>
              <w:bottom w:val="single" w:sz="12" w:space="0" w:color="auto"/>
              <w:right w:val="single" w:sz="6" w:space="0" w:color="FFFFFF"/>
            </w:tcBorders>
          </w:tcPr>
          <w:p w14:paraId="4123E3FB" w14:textId="77777777" w:rsidR="006237FD" w:rsidRPr="00DE6D79" w:rsidRDefault="006237FD" w:rsidP="00ED324D">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Component inlet size [mm]</w:t>
            </w:r>
          </w:p>
        </w:tc>
        <w:tc>
          <w:tcPr>
            <w:tcW w:w="3118" w:type="dxa"/>
            <w:tcBorders>
              <w:top w:val="single" w:sz="6" w:space="0" w:color="000000"/>
              <w:left w:val="single" w:sz="6" w:space="0" w:color="000000"/>
              <w:bottom w:val="single" w:sz="12" w:space="0" w:color="auto"/>
              <w:right w:val="single" w:sz="6" w:space="0" w:color="000000"/>
            </w:tcBorders>
          </w:tcPr>
          <w:p w14:paraId="18EDE063" w14:textId="77777777" w:rsidR="006237FD" w:rsidRPr="00DE6D79" w:rsidRDefault="006237FD" w:rsidP="00ED324D">
            <w:pPr>
              <w:widowControl w:val="0"/>
              <w:suppressAutoHyphens w:val="0"/>
              <w:autoSpaceDE w:val="0"/>
              <w:autoSpaceDN w:val="0"/>
              <w:adjustRightInd w:val="0"/>
              <w:spacing w:before="20" w:after="20" w:line="240" w:lineRule="auto"/>
              <w:jc w:val="center"/>
              <w:rPr>
                <w:i/>
                <w:sz w:val="16"/>
                <w:szCs w:val="16"/>
              </w:rPr>
            </w:pPr>
            <w:r w:rsidRPr="00DE6D79">
              <w:rPr>
                <w:i/>
                <w:sz w:val="16"/>
                <w:szCs w:val="16"/>
              </w:rPr>
              <w:t>Maximum torque [Nm]</w:t>
            </w:r>
          </w:p>
        </w:tc>
      </w:tr>
      <w:tr w:rsidR="006237FD" w:rsidRPr="00DE6D79" w14:paraId="52C1CE4F" w14:textId="77777777" w:rsidTr="00ED324D">
        <w:trPr>
          <w:trHeight w:val="45"/>
        </w:trPr>
        <w:tc>
          <w:tcPr>
            <w:tcW w:w="3119" w:type="dxa"/>
            <w:tcBorders>
              <w:top w:val="single" w:sz="12" w:space="0" w:color="auto"/>
              <w:left w:val="single" w:sz="6" w:space="0" w:color="000000"/>
              <w:bottom w:val="single" w:sz="6" w:space="0" w:color="FFFFFF"/>
              <w:right w:val="single" w:sz="6" w:space="0" w:color="FFFFFF"/>
            </w:tcBorders>
          </w:tcPr>
          <w:p w14:paraId="5FC9957C" w14:textId="77777777" w:rsidR="006237FD" w:rsidRPr="00DE6D79" w:rsidRDefault="006237FD" w:rsidP="00ED324D">
            <w:pPr>
              <w:widowControl w:val="0"/>
              <w:suppressAutoHyphens w:val="0"/>
              <w:autoSpaceDE w:val="0"/>
              <w:autoSpaceDN w:val="0"/>
              <w:adjustRightInd w:val="0"/>
              <w:spacing w:before="20" w:after="20" w:line="240" w:lineRule="auto"/>
              <w:jc w:val="center"/>
              <w:rPr>
                <w:sz w:val="18"/>
                <w:szCs w:val="18"/>
              </w:rPr>
            </w:pPr>
            <w:r w:rsidRPr="00DE6D79">
              <w:rPr>
                <w:sz w:val="18"/>
                <w:szCs w:val="18"/>
              </w:rPr>
              <w:t>6</w:t>
            </w:r>
          </w:p>
        </w:tc>
        <w:tc>
          <w:tcPr>
            <w:tcW w:w="3118" w:type="dxa"/>
            <w:tcBorders>
              <w:top w:val="single" w:sz="12" w:space="0" w:color="auto"/>
              <w:left w:val="single" w:sz="6" w:space="0" w:color="000000"/>
              <w:bottom w:val="single" w:sz="6" w:space="0" w:color="FFFFFF"/>
              <w:right w:val="single" w:sz="6" w:space="0" w:color="000000"/>
            </w:tcBorders>
          </w:tcPr>
          <w:p w14:paraId="53788CE3" w14:textId="77777777" w:rsidR="006237FD" w:rsidRPr="00DE6D79" w:rsidRDefault="006237FD" w:rsidP="00ED324D">
            <w:pPr>
              <w:widowControl w:val="0"/>
              <w:suppressAutoHyphens w:val="0"/>
              <w:autoSpaceDE w:val="0"/>
              <w:autoSpaceDN w:val="0"/>
              <w:adjustRightInd w:val="0"/>
              <w:spacing w:before="20" w:after="20" w:line="240" w:lineRule="auto"/>
              <w:jc w:val="center"/>
              <w:rPr>
                <w:sz w:val="18"/>
                <w:szCs w:val="18"/>
              </w:rPr>
            </w:pPr>
            <w:r w:rsidRPr="00DE6D79">
              <w:rPr>
                <w:sz w:val="18"/>
                <w:szCs w:val="18"/>
              </w:rPr>
              <w:t>1.7</w:t>
            </w:r>
          </w:p>
        </w:tc>
      </w:tr>
      <w:tr w:rsidR="006237FD" w:rsidRPr="00DE6D79" w14:paraId="74647542" w14:textId="77777777" w:rsidTr="00ED324D">
        <w:trPr>
          <w:trHeight w:val="45"/>
        </w:trPr>
        <w:tc>
          <w:tcPr>
            <w:tcW w:w="3119" w:type="dxa"/>
            <w:tcBorders>
              <w:top w:val="single" w:sz="6" w:space="0" w:color="000000"/>
              <w:left w:val="single" w:sz="6" w:space="0" w:color="000000"/>
              <w:bottom w:val="single" w:sz="6" w:space="0" w:color="000000"/>
              <w:right w:val="single" w:sz="6" w:space="0" w:color="FFFFFF"/>
            </w:tcBorders>
          </w:tcPr>
          <w:p w14:paraId="7014917A" w14:textId="77777777" w:rsidR="006237FD" w:rsidRPr="00DE6D79" w:rsidRDefault="006237FD" w:rsidP="00ED324D">
            <w:pPr>
              <w:widowControl w:val="0"/>
              <w:suppressAutoHyphens w:val="0"/>
              <w:autoSpaceDE w:val="0"/>
              <w:autoSpaceDN w:val="0"/>
              <w:adjustRightInd w:val="0"/>
              <w:spacing w:before="20" w:after="20" w:line="240" w:lineRule="auto"/>
              <w:jc w:val="center"/>
              <w:rPr>
                <w:sz w:val="18"/>
                <w:szCs w:val="18"/>
              </w:rPr>
            </w:pPr>
            <w:r w:rsidRPr="00DE6D79">
              <w:rPr>
                <w:sz w:val="18"/>
                <w:szCs w:val="18"/>
              </w:rPr>
              <w:t>8 or 10</w:t>
            </w:r>
          </w:p>
        </w:tc>
        <w:tc>
          <w:tcPr>
            <w:tcW w:w="3118" w:type="dxa"/>
            <w:tcBorders>
              <w:top w:val="single" w:sz="6" w:space="0" w:color="000000"/>
              <w:left w:val="single" w:sz="6" w:space="0" w:color="000000"/>
              <w:bottom w:val="single" w:sz="6" w:space="0" w:color="000000"/>
              <w:right w:val="single" w:sz="6" w:space="0" w:color="000000"/>
            </w:tcBorders>
          </w:tcPr>
          <w:p w14:paraId="601DDAEC" w14:textId="77777777" w:rsidR="006237FD" w:rsidRPr="00DE6D79" w:rsidRDefault="006237FD" w:rsidP="00ED324D">
            <w:pPr>
              <w:widowControl w:val="0"/>
              <w:suppressAutoHyphens w:val="0"/>
              <w:autoSpaceDE w:val="0"/>
              <w:autoSpaceDN w:val="0"/>
              <w:adjustRightInd w:val="0"/>
              <w:spacing w:before="20" w:after="20" w:line="240" w:lineRule="auto"/>
              <w:jc w:val="center"/>
              <w:rPr>
                <w:sz w:val="18"/>
                <w:szCs w:val="18"/>
              </w:rPr>
            </w:pPr>
            <w:r w:rsidRPr="00DE6D79">
              <w:rPr>
                <w:sz w:val="18"/>
                <w:szCs w:val="18"/>
              </w:rPr>
              <w:t>2.3</w:t>
            </w:r>
          </w:p>
        </w:tc>
      </w:tr>
      <w:tr w:rsidR="006237FD" w:rsidRPr="00DE6D79" w14:paraId="794DC2D7" w14:textId="77777777" w:rsidTr="00ED324D">
        <w:trPr>
          <w:trHeight w:val="45"/>
        </w:trPr>
        <w:tc>
          <w:tcPr>
            <w:tcW w:w="3119" w:type="dxa"/>
            <w:tcBorders>
              <w:top w:val="single" w:sz="6" w:space="0" w:color="000000"/>
              <w:left w:val="single" w:sz="6" w:space="0" w:color="000000"/>
              <w:bottom w:val="single" w:sz="12" w:space="0" w:color="auto"/>
              <w:right w:val="single" w:sz="6" w:space="0" w:color="FFFFFF"/>
            </w:tcBorders>
          </w:tcPr>
          <w:p w14:paraId="4CF369E6" w14:textId="77777777" w:rsidR="006237FD" w:rsidRPr="00DE6D79" w:rsidRDefault="006237FD" w:rsidP="00ED324D">
            <w:pPr>
              <w:widowControl w:val="0"/>
              <w:suppressAutoHyphens w:val="0"/>
              <w:autoSpaceDE w:val="0"/>
              <w:autoSpaceDN w:val="0"/>
              <w:adjustRightInd w:val="0"/>
              <w:spacing w:before="20" w:after="20" w:line="240" w:lineRule="auto"/>
              <w:jc w:val="center"/>
              <w:rPr>
                <w:sz w:val="18"/>
                <w:szCs w:val="18"/>
              </w:rPr>
            </w:pPr>
            <w:r w:rsidRPr="00DE6D79">
              <w:rPr>
                <w:sz w:val="18"/>
                <w:szCs w:val="18"/>
              </w:rPr>
              <w:t>12</w:t>
            </w:r>
          </w:p>
        </w:tc>
        <w:tc>
          <w:tcPr>
            <w:tcW w:w="3118" w:type="dxa"/>
            <w:tcBorders>
              <w:top w:val="single" w:sz="6" w:space="0" w:color="000000"/>
              <w:left w:val="single" w:sz="6" w:space="0" w:color="000000"/>
              <w:bottom w:val="single" w:sz="12" w:space="0" w:color="auto"/>
              <w:right w:val="single" w:sz="6" w:space="0" w:color="000000"/>
            </w:tcBorders>
          </w:tcPr>
          <w:p w14:paraId="31327F63" w14:textId="77777777" w:rsidR="006237FD" w:rsidRPr="00DE6D79" w:rsidRDefault="006237FD" w:rsidP="00ED324D">
            <w:pPr>
              <w:widowControl w:val="0"/>
              <w:suppressAutoHyphens w:val="0"/>
              <w:autoSpaceDE w:val="0"/>
              <w:autoSpaceDN w:val="0"/>
              <w:adjustRightInd w:val="0"/>
              <w:spacing w:before="20" w:after="20" w:line="240" w:lineRule="auto"/>
              <w:jc w:val="center"/>
              <w:rPr>
                <w:sz w:val="18"/>
                <w:szCs w:val="18"/>
              </w:rPr>
            </w:pPr>
            <w:r w:rsidRPr="00DE6D79">
              <w:rPr>
                <w:sz w:val="18"/>
                <w:szCs w:val="18"/>
              </w:rPr>
              <w:t>2.8</w:t>
            </w:r>
          </w:p>
        </w:tc>
      </w:tr>
    </w:tbl>
    <w:p w14:paraId="3738B60E" w14:textId="77777777" w:rsidR="006237FD" w:rsidRPr="00DE6D79" w:rsidRDefault="006237FD" w:rsidP="006237FD">
      <w:pPr>
        <w:spacing w:before="120" w:after="120" w:line="240" w:lineRule="auto"/>
        <w:ind w:left="2268" w:right="1134" w:hanging="1134"/>
        <w:jc w:val="both"/>
      </w:pPr>
      <w:r w:rsidRPr="00DE6D79">
        <w:t>1.2.</w:t>
      </w:r>
      <w:r w:rsidRPr="00DE6D79">
        <w:tab/>
        <w:t>This test shall be conducted at the appropriate maximum temperature specified, and shall be repeated at a temperature of -40 °C.</w:t>
      </w:r>
    </w:p>
    <w:p w14:paraId="733F6ABD" w14:textId="19D6A21E" w:rsidR="00794BED" w:rsidRDefault="006237FD" w:rsidP="006237FD">
      <w:pPr>
        <w:spacing w:after="120" w:line="240" w:lineRule="auto"/>
        <w:ind w:left="2268" w:right="1134" w:hanging="1134"/>
        <w:jc w:val="both"/>
      </w:pPr>
      <w:r w:rsidRPr="00DE6D79">
        <w:t>1.3.</w:t>
      </w:r>
      <w:r w:rsidRPr="00DE6D79">
        <w:tab/>
        <w:t xml:space="preserve">Durability test for LNG products </w:t>
      </w:r>
      <w:proofErr w:type="gramStart"/>
      <w:r w:rsidRPr="00DE6D79">
        <w:t>are</w:t>
      </w:r>
      <w:proofErr w:type="gramEnd"/>
      <w:r w:rsidRPr="00DE6D79">
        <w:t xml:space="preserve"> me</w:t>
      </w:r>
      <w:r>
        <w:t>ntioned in their specific Annex</w:t>
      </w:r>
      <w:r w:rsidRPr="00DE6D79">
        <w:t xml:space="preserve"> 4I up to Annex 4O, where applicable.</w:t>
      </w:r>
      <w:r w:rsidR="003F5BE2">
        <w:t>"</w:t>
      </w:r>
    </w:p>
    <w:p w14:paraId="2967EA26" w14:textId="093BDA58" w:rsidR="00DF0E34" w:rsidRPr="006F4C48" w:rsidRDefault="00B9350C" w:rsidP="00952939">
      <w:pPr>
        <w:pStyle w:val="HChG"/>
        <w:rPr>
          <w:b w:val="0"/>
        </w:rPr>
      </w:pPr>
      <w:r w:rsidRPr="006F4C48">
        <w:tab/>
      </w:r>
      <w:r w:rsidR="00DF0E34" w:rsidRPr="006F4C48">
        <w:t>II</w:t>
      </w:r>
      <w:r w:rsidRPr="006F4C48">
        <w:t>.</w:t>
      </w:r>
      <w:r w:rsidR="00DF0E34" w:rsidRPr="006F4C48">
        <w:tab/>
      </w:r>
      <w:r w:rsidR="00DF0E34" w:rsidRPr="00952939">
        <w:t>Justification</w:t>
      </w:r>
    </w:p>
    <w:p w14:paraId="708A14BE" w14:textId="2C1DEE59" w:rsidR="009709D9" w:rsidRDefault="00E121F7" w:rsidP="00E121F7">
      <w:pPr>
        <w:pStyle w:val="SingleTxtG"/>
        <w:ind w:left="1494" w:hanging="360"/>
        <w:rPr>
          <w:lang w:val="en-US"/>
        </w:rPr>
      </w:pPr>
      <w:r>
        <w:rPr>
          <w:lang w:val="en-US"/>
        </w:rPr>
        <w:t>1.</w:t>
      </w:r>
      <w:r>
        <w:rPr>
          <w:lang w:val="en-US"/>
        </w:rPr>
        <w:tab/>
      </w:r>
      <w:r w:rsidR="009709D9" w:rsidRPr="00DA4C0C">
        <w:rPr>
          <w:lang w:val="en-US"/>
        </w:rPr>
        <w:t>T</w:t>
      </w:r>
      <w:r w:rsidR="009709D9" w:rsidRPr="00DA4C0C">
        <w:rPr>
          <w:spacing w:val="-1"/>
          <w:lang w:val="en-US"/>
        </w:rPr>
        <w:t>h</w:t>
      </w:r>
      <w:r w:rsidR="00F444D1">
        <w:rPr>
          <w:lang w:val="en-US"/>
        </w:rPr>
        <w:t>e above proposal</w:t>
      </w:r>
      <w:r w:rsidR="009709D9" w:rsidRPr="00DA4C0C">
        <w:rPr>
          <w:lang w:val="en-US"/>
        </w:rPr>
        <w:t xml:space="preserve"> </w:t>
      </w:r>
      <w:r w:rsidR="009709D9" w:rsidRPr="00DA4C0C">
        <w:rPr>
          <w:spacing w:val="-1"/>
          <w:lang w:val="en-US"/>
        </w:rPr>
        <w:t>i</w:t>
      </w:r>
      <w:r w:rsidR="009709D9" w:rsidRPr="00DA4C0C">
        <w:rPr>
          <w:lang w:val="en-US"/>
        </w:rPr>
        <w:t>s i</w:t>
      </w:r>
      <w:r w:rsidR="009709D9" w:rsidRPr="00DA4C0C">
        <w:rPr>
          <w:spacing w:val="-1"/>
          <w:lang w:val="en-US"/>
        </w:rPr>
        <w:t>n</w:t>
      </w:r>
      <w:r w:rsidR="009709D9" w:rsidRPr="00DA4C0C">
        <w:rPr>
          <w:lang w:val="en-US"/>
        </w:rPr>
        <w:t>te</w:t>
      </w:r>
      <w:r w:rsidR="009709D9" w:rsidRPr="00DA4C0C">
        <w:rPr>
          <w:spacing w:val="-1"/>
          <w:lang w:val="en-US"/>
        </w:rPr>
        <w:t>n</w:t>
      </w:r>
      <w:r w:rsidR="009709D9" w:rsidRPr="00DA4C0C">
        <w:rPr>
          <w:spacing w:val="1"/>
          <w:lang w:val="en-US"/>
        </w:rPr>
        <w:t>d</w:t>
      </w:r>
      <w:r w:rsidR="009709D9" w:rsidRPr="00DA4C0C">
        <w:rPr>
          <w:spacing w:val="-2"/>
          <w:lang w:val="en-US"/>
        </w:rPr>
        <w:t>e</w:t>
      </w:r>
      <w:r w:rsidR="009709D9" w:rsidRPr="00DA4C0C">
        <w:rPr>
          <w:lang w:val="en-US"/>
        </w:rPr>
        <w:t>d to:</w:t>
      </w:r>
    </w:p>
    <w:p w14:paraId="07875D38" w14:textId="3C0F257D" w:rsidR="008759C0" w:rsidRDefault="00E121F7" w:rsidP="00E121F7">
      <w:pPr>
        <w:pStyle w:val="SingleTxtG"/>
        <w:ind w:left="1530"/>
        <w:rPr>
          <w:lang w:val="en-US"/>
        </w:rPr>
      </w:pPr>
      <w:r>
        <w:rPr>
          <w:lang w:val="en-US"/>
        </w:rPr>
        <w:t>(a)</w:t>
      </w:r>
      <w:r>
        <w:rPr>
          <w:lang w:val="en-US"/>
        </w:rPr>
        <w:tab/>
      </w:r>
      <w:r w:rsidR="00AC62C9">
        <w:rPr>
          <w:lang w:val="en-US"/>
        </w:rPr>
        <w:t>Correct e</w:t>
      </w:r>
      <w:r w:rsidR="009709D9" w:rsidRPr="00DA4C0C">
        <w:rPr>
          <w:lang w:val="en-US"/>
        </w:rPr>
        <w:t xml:space="preserve">rrors/mistakes in the current </w:t>
      </w:r>
      <w:r w:rsidR="00750E14">
        <w:rPr>
          <w:lang w:val="en-US"/>
        </w:rPr>
        <w:t xml:space="preserve">UN </w:t>
      </w:r>
      <w:r w:rsidR="009709D9" w:rsidRPr="00DA4C0C">
        <w:rPr>
          <w:lang w:val="en-US"/>
        </w:rPr>
        <w:t>R</w:t>
      </w:r>
      <w:r w:rsidR="00750E14">
        <w:rPr>
          <w:lang w:val="en-US"/>
        </w:rPr>
        <w:t xml:space="preserve">egulation No. </w:t>
      </w:r>
      <w:r w:rsidR="009709D9" w:rsidRPr="00DA4C0C">
        <w:rPr>
          <w:lang w:val="en-US"/>
        </w:rPr>
        <w:t>110</w:t>
      </w:r>
      <w:r w:rsidR="002C2750">
        <w:rPr>
          <w:lang w:val="en-US"/>
        </w:rPr>
        <w:t>.</w:t>
      </w:r>
    </w:p>
    <w:p w14:paraId="66896732" w14:textId="5DB3213E" w:rsidR="008759C0" w:rsidRDefault="00E121F7" w:rsidP="00E121F7">
      <w:pPr>
        <w:pStyle w:val="SingleTxtG"/>
        <w:ind w:left="2250" w:hanging="720"/>
        <w:rPr>
          <w:lang w:val="en-US"/>
        </w:rPr>
      </w:pPr>
      <w:r>
        <w:rPr>
          <w:lang w:val="en-US"/>
        </w:rPr>
        <w:t>(b)</w:t>
      </w:r>
      <w:r>
        <w:rPr>
          <w:lang w:val="en-US"/>
        </w:rPr>
        <w:tab/>
      </w:r>
      <w:r w:rsidR="009709D9" w:rsidRPr="008759C0">
        <w:rPr>
          <w:lang w:val="en-US"/>
        </w:rPr>
        <w:t xml:space="preserve">Update paragraphs </w:t>
      </w:r>
      <w:r w:rsidR="00AC62C9" w:rsidRPr="008759C0">
        <w:rPr>
          <w:lang w:val="en-US"/>
        </w:rPr>
        <w:t>to be</w:t>
      </w:r>
      <w:r w:rsidR="009709D9" w:rsidRPr="008759C0">
        <w:rPr>
          <w:lang w:val="en-US"/>
        </w:rPr>
        <w:t xml:space="preserve"> in line with </w:t>
      </w:r>
      <w:r w:rsidR="00AC62C9" w:rsidRPr="008759C0">
        <w:rPr>
          <w:lang w:val="en-US"/>
        </w:rPr>
        <w:t>the requirements coming from</w:t>
      </w:r>
      <w:r w:rsidR="009709D9" w:rsidRPr="008759C0">
        <w:rPr>
          <w:lang w:val="en-US"/>
        </w:rPr>
        <w:t xml:space="preserve"> ISO15500 and NG</w:t>
      </w:r>
      <w:r w:rsidR="004E67FA" w:rsidRPr="008759C0">
        <w:rPr>
          <w:lang w:val="en-US"/>
        </w:rPr>
        <w:t>V3.1 (industry standards for</w:t>
      </w:r>
      <w:r w:rsidR="009709D9" w:rsidRPr="008759C0">
        <w:rPr>
          <w:lang w:val="en-US"/>
        </w:rPr>
        <w:t xml:space="preserve"> CNG):</w:t>
      </w:r>
    </w:p>
    <w:p w14:paraId="0836DA19" w14:textId="022B99AD" w:rsidR="008759C0" w:rsidRDefault="00E121F7" w:rsidP="00E121F7">
      <w:pPr>
        <w:pStyle w:val="SingleTxtG"/>
        <w:ind w:left="2610" w:hanging="360"/>
        <w:rPr>
          <w:lang w:val="en-US"/>
        </w:rPr>
      </w:pPr>
      <w:r>
        <w:rPr>
          <w:lang w:val="en-US"/>
        </w:rPr>
        <w:t>(</w:t>
      </w:r>
      <w:proofErr w:type="spellStart"/>
      <w:r>
        <w:rPr>
          <w:lang w:val="en-US"/>
        </w:rPr>
        <w:t>i</w:t>
      </w:r>
      <w:proofErr w:type="spellEnd"/>
      <w:r>
        <w:rPr>
          <w:lang w:val="en-US"/>
        </w:rPr>
        <w:t>)</w:t>
      </w:r>
      <w:r>
        <w:rPr>
          <w:lang w:val="en-US"/>
        </w:rPr>
        <w:tab/>
      </w:r>
      <w:r w:rsidR="009709D9" w:rsidRPr="008759C0">
        <w:rPr>
          <w:lang w:val="en-US"/>
        </w:rPr>
        <w:t xml:space="preserve">Annex 3A test A.24. the current mentioned mercurous nitrate test is replaced by a </w:t>
      </w:r>
      <w:proofErr w:type="gramStart"/>
      <w:r w:rsidR="009709D9" w:rsidRPr="008759C0">
        <w:rPr>
          <w:lang w:val="en-US"/>
        </w:rPr>
        <w:t>10 day</w:t>
      </w:r>
      <w:proofErr w:type="gramEnd"/>
      <w:r w:rsidR="009709D9" w:rsidRPr="008759C0">
        <w:rPr>
          <w:lang w:val="en-US"/>
        </w:rPr>
        <w:t xml:space="preserve"> ammonia immersion. Mercurous nitrate is kno</w:t>
      </w:r>
      <w:r w:rsidR="004E67FA" w:rsidRPr="008759C0">
        <w:rPr>
          <w:lang w:val="en-US"/>
        </w:rPr>
        <w:t xml:space="preserve">wn as a </w:t>
      </w:r>
      <w:r w:rsidR="0095059D" w:rsidRPr="008759C0">
        <w:rPr>
          <w:lang w:val="en-US"/>
        </w:rPr>
        <w:t>carcinogenic, mutagenic and reprotoxic chemicals (</w:t>
      </w:r>
      <w:r w:rsidR="004E67FA" w:rsidRPr="008759C0">
        <w:rPr>
          <w:lang w:val="en-US"/>
        </w:rPr>
        <w:t>CMR</w:t>
      </w:r>
      <w:r w:rsidR="0095059D" w:rsidRPr="008759C0">
        <w:rPr>
          <w:lang w:val="en-US"/>
        </w:rPr>
        <w:t>)</w:t>
      </w:r>
      <w:r w:rsidR="004E67FA" w:rsidRPr="008759C0">
        <w:rPr>
          <w:lang w:val="en-US"/>
        </w:rPr>
        <w:t xml:space="preserve"> substance and </w:t>
      </w:r>
      <w:r w:rsidR="009709D9" w:rsidRPr="008759C0">
        <w:rPr>
          <w:lang w:val="en-US"/>
        </w:rPr>
        <w:t>therefore</w:t>
      </w:r>
      <w:r w:rsidR="004E67FA" w:rsidRPr="008759C0">
        <w:rPr>
          <w:lang w:val="en-US"/>
        </w:rPr>
        <w:t xml:space="preserve"> needs</w:t>
      </w:r>
      <w:r w:rsidR="009709D9" w:rsidRPr="008759C0">
        <w:rPr>
          <w:lang w:val="en-US"/>
        </w:rPr>
        <w:t xml:space="preserve"> to be replaced. </w:t>
      </w:r>
    </w:p>
    <w:p w14:paraId="62A47203" w14:textId="77777777" w:rsidR="008759C0" w:rsidRDefault="008759C0" w:rsidP="008759C0">
      <w:pPr>
        <w:pStyle w:val="SingleTxtG"/>
        <w:ind w:left="2610" w:hanging="360"/>
        <w:rPr>
          <w:lang w:val="en-US"/>
        </w:rPr>
      </w:pPr>
      <w:r>
        <w:rPr>
          <w:lang w:val="en-US"/>
        </w:rPr>
        <w:t>(ii)</w:t>
      </w:r>
      <w:r>
        <w:rPr>
          <w:lang w:val="en-US"/>
        </w:rPr>
        <w:tab/>
      </w:r>
      <w:r w:rsidR="009709D9" w:rsidRPr="008759C0">
        <w:rPr>
          <w:lang w:val="en-US"/>
        </w:rPr>
        <w:t>Annex 4</w:t>
      </w:r>
      <w:r w:rsidR="006E2948" w:rsidRPr="008759C0">
        <w:rPr>
          <w:lang w:val="en-US"/>
        </w:rPr>
        <w:t>A</w:t>
      </w:r>
      <w:r w:rsidR="009709D9" w:rsidRPr="008759C0">
        <w:rPr>
          <w:lang w:val="en-US"/>
        </w:rPr>
        <w:t xml:space="preserve">, after the duration test on a check valve it is common to perform a chatter flow. This chatter flow is something that can occur in practice at a </w:t>
      </w:r>
      <w:r w:rsidR="009709D9" w:rsidRPr="00DA4C0C">
        <w:t>filling station. To determine the closing function this test is added after the duration test. (</w:t>
      </w:r>
      <w:proofErr w:type="gramStart"/>
      <w:r w:rsidR="009709D9" w:rsidRPr="00DA4C0C">
        <w:t>being</w:t>
      </w:r>
      <w:proofErr w:type="gramEnd"/>
      <w:r w:rsidR="009709D9" w:rsidRPr="00DA4C0C">
        <w:t xml:space="preserve"> in line with ISO15500 and NGV3.1).</w:t>
      </w:r>
    </w:p>
    <w:p w14:paraId="36439C6D" w14:textId="419272CF" w:rsidR="009709D9" w:rsidRPr="00CF07FF" w:rsidRDefault="008759C0" w:rsidP="008759C0">
      <w:pPr>
        <w:pStyle w:val="SingleTxtG"/>
        <w:ind w:left="2610" w:hanging="360"/>
        <w:rPr>
          <w:lang w:val="en-US"/>
        </w:rPr>
      </w:pPr>
      <w:r>
        <w:rPr>
          <w:lang w:val="en-US"/>
        </w:rPr>
        <w:t>(iii)</w:t>
      </w:r>
      <w:r>
        <w:rPr>
          <w:lang w:val="en-US"/>
        </w:rPr>
        <w:tab/>
      </w:r>
      <w:r w:rsidR="00DA4C0C" w:rsidRPr="00CF07FF">
        <w:rPr>
          <w:lang w:val="en-US"/>
        </w:rPr>
        <w:t>Annex 5L durability test on a</w:t>
      </w:r>
      <w:r w:rsidR="009709D9" w:rsidRPr="00CF07FF">
        <w:rPr>
          <w:lang w:val="en-US"/>
        </w:rPr>
        <w:t xml:space="preserve"> manual valve is updated with the distinctions between a wheel style valve and lever operated valve. </w:t>
      </w:r>
      <w:r w:rsidR="004E67FA" w:rsidRPr="00CF07FF">
        <w:rPr>
          <w:lang w:val="en-US"/>
        </w:rPr>
        <w:t>I</w:t>
      </w:r>
      <w:r w:rsidR="009709D9" w:rsidRPr="00CF07FF">
        <w:rPr>
          <w:lang w:val="en-US"/>
        </w:rPr>
        <w:t>n the current text there is no distinction in requirements between the two versions. Having the new proposed wording will give a more dedicated requirement.</w:t>
      </w:r>
    </w:p>
    <w:p w14:paraId="083B28A2" w14:textId="6B06E27C" w:rsidR="00952939" w:rsidRDefault="00E121F7" w:rsidP="00E121F7">
      <w:pPr>
        <w:pStyle w:val="SingleTxtG"/>
        <w:ind w:left="1161" w:hanging="27"/>
      </w:pPr>
      <w:r>
        <w:lastRenderedPageBreak/>
        <w:t>2.</w:t>
      </w:r>
      <w:r>
        <w:tab/>
      </w:r>
      <w:r w:rsidR="009709D9" w:rsidRPr="00DA4C0C">
        <w:t>By</w:t>
      </w:r>
      <w:r w:rsidR="009709D9" w:rsidRPr="00DA4C0C">
        <w:rPr>
          <w:spacing w:val="7"/>
        </w:rPr>
        <w:t xml:space="preserve"> </w:t>
      </w:r>
      <w:r w:rsidR="009709D9" w:rsidRPr="00DA4C0C">
        <w:t>i</w:t>
      </w:r>
      <w:r w:rsidR="009709D9" w:rsidRPr="00DA4C0C">
        <w:rPr>
          <w:spacing w:val="-1"/>
        </w:rPr>
        <w:t>n</w:t>
      </w:r>
      <w:r w:rsidR="009709D9" w:rsidRPr="00DA4C0C">
        <w:t>tr</w:t>
      </w:r>
      <w:r w:rsidR="009709D9" w:rsidRPr="00DA4C0C">
        <w:rPr>
          <w:spacing w:val="-1"/>
        </w:rPr>
        <w:t>o</w:t>
      </w:r>
      <w:r w:rsidR="009709D9" w:rsidRPr="00DA4C0C">
        <w:t>du</w:t>
      </w:r>
      <w:r w:rsidR="009709D9" w:rsidRPr="00DA4C0C">
        <w:rPr>
          <w:spacing w:val="-1"/>
        </w:rPr>
        <w:t>cin</w:t>
      </w:r>
      <w:r w:rsidR="009709D9" w:rsidRPr="00DA4C0C">
        <w:t>g</w:t>
      </w:r>
      <w:r w:rsidR="009709D9" w:rsidRPr="00DA4C0C">
        <w:rPr>
          <w:spacing w:val="1"/>
        </w:rPr>
        <w:t xml:space="preserve"> </w:t>
      </w:r>
      <w:r w:rsidR="009709D9" w:rsidRPr="00DA4C0C">
        <w:rPr>
          <w:spacing w:val="-1"/>
        </w:rPr>
        <w:t>t</w:t>
      </w:r>
      <w:r w:rsidR="009709D9" w:rsidRPr="00DA4C0C">
        <w:rPr>
          <w:spacing w:val="1"/>
        </w:rPr>
        <w:t>h</w:t>
      </w:r>
      <w:r w:rsidR="009709D9" w:rsidRPr="00DA4C0C">
        <w:t>e</w:t>
      </w:r>
      <w:r w:rsidR="009709D9" w:rsidRPr="00DA4C0C">
        <w:rPr>
          <w:spacing w:val="7"/>
        </w:rPr>
        <w:t xml:space="preserve"> </w:t>
      </w:r>
      <w:r w:rsidR="009709D9" w:rsidRPr="00DA4C0C">
        <w:rPr>
          <w:spacing w:val="-1"/>
        </w:rPr>
        <w:t>ab</w:t>
      </w:r>
      <w:r w:rsidR="009709D9" w:rsidRPr="00DA4C0C">
        <w:t>ove</w:t>
      </w:r>
      <w:r w:rsidR="009709D9" w:rsidRPr="00DA4C0C">
        <w:rPr>
          <w:spacing w:val="5"/>
        </w:rPr>
        <w:t xml:space="preserve"> </w:t>
      </w:r>
      <w:r w:rsidR="009709D9" w:rsidRPr="00DA4C0C">
        <w:rPr>
          <w:spacing w:val="-1"/>
        </w:rPr>
        <w:t>g</w:t>
      </w:r>
      <w:r w:rsidR="009709D9" w:rsidRPr="00DA4C0C">
        <w:t>iv</w:t>
      </w:r>
      <w:r w:rsidR="009709D9" w:rsidRPr="00DA4C0C">
        <w:rPr>
          <w:spacing w:val="-1"/>
        </w:rPr>
        <w:t>e</w:t>
      </w:r>
      <w:r w:rsidR="009709D9" w:rsidRPr="00DA4C0C">
        <w:t>n</w:t>
      </w:r>
      <w:r w:rsidR="009709D9" w:rsidRPr="00DA4C0C">
        <w:rPr>
          <w:spacing w:val="5"/>
        </w:rPr>
        <w:t xml:space="preserve"> </w:t>
      </w:r>
      <w:r w:rsidR="00CF07FF" w:rsidRPr="00DA4C0C">
        <w:t>re</w:t>
      </w:r>
      <w:r w:rsidR="00CF07FF" w:rsidRPr="00DA4C0C">
        <w:rPr>
          <w:spacing w:val="-1"/>
        </w:rPr>
        <w:t>qu</w:t>
      </w:r>
      <w:r w:rsidR="00CF07FF" w:rsidRPr="00DA4C0C">
        <w:t>ire</w:t>
      </w:r>
      <w:r w:rsidR="00CF07FF" w:rsidRPr="00DA4C0C">
        <w:rPr>
          <w:spacing w:val="-1"/>
        </w:rPr>
        <w:t>m</w:t>
      </w:r>
      <w:r w:rsidR="00CF07FF" w:rsidRPr="00DA4C0C">
        <w:t>en</w:t>
      </w:r>
      <w:r w:rsidR="00CF07FF" w:rsidRPr="00DA4C0C">
        <w:rPr>
          <w:spacing w:val="-1"/>
        </w:rPr>
        <w:t>t</w:t>
      </w:r>
      <w:r w:rsidR="00CF07FF" w:rsidRPr="00DA4C0C">
        <w:t>s,</w:t>
      </w:r>
      <w:r w:rsidR="009709D9" w:rsidRPr="00DA4C0C">
        <w:t xml:space="preserve"> </w:t>
      </w:r>
      <w:r w:rsidR="004E67FA">
        <w:rPr>
          <w:spacing w:val="-1"/>
        </w:rPr>
        <w:t>t</w:t>
      </w:r>
      <w:r w:rsidR="009709D9" w:rsidRPr="00DA4C0C">
        <w:rPr>
          <w:spacing w:val="1"/>
        </w:rPr>
        <w:t>h</w:t>
      </w:r>
      <w:r w:rsidR="009709D9" w:rsidRPr="00DA4C0C">
        <w:t>e</w:t>
      </w:r>
      <w:r w:rsidR="009709D9" w:rsidRPr="00DA4C0C">
        <w:rPr>
          <w:spacing w:val="6"/>
        </w:rPr>
        <w:t xml:space="preserve"> </w:t>
      </w:r>
      <w:r w:rsidR="00CF07FF">
        <w:rPr>
          <w:spacing w:val="6"/>
        </w:rPr>
        <w:t xml:space="preserve">expert from the </w:t>
      </w:r>
      <w:r w:rsidR="009709D9" w:rsidRPr="00DA4C0C">
        <w:rPr>
          <w:spacing w:val="-1"/>
        </w:rPr>
        <w:t>N</w:t>
      </w:r>
      <w:r w:rsidR="009709D9" w:rsidRPr="00DA4C0C">
        <w:t>e</w:t>
      </w:r>
      <w:r w:rsidR="009709D9" w:rsidRPr="00DA4C0C">
        <w:rPr>
          <w:spacing w:val="-1"/>
        </w:rPr>
        <w:t>th</w:t>
      </w:r>
      <w:r w:rsidR="009709D9" w:rsidRPr="00DA4C0C">
        <w:t>e</w:t>
      </w:r>
      <w:r w:rsidR="009709D9" w:rsidRPr="00DA4C0C">
        <w:rPr>
          <w:spacing w:val="-2"/>
        </w:rPr>
        <w:t>r</w:t>
      </w:r>
      <w:r w:rsidR="009709D9" w:rsidRPr="00DA4C0C">
        <w:rPr>
          <w:spacing w:val="2"/>
        </w:rPr>
        <w:t>l</w:t>
      </w:r>
      <w:r w:rsidR="009709D9" w:rsidRPr="00DA4C0C">
        <w:rPr>
          <w:spacing w:val="-1"/>
        </w:rPr>
        <w:t>an</w:t>
      </w:r>
      <w:r w:rsidR="009709D9" w:rsidRPr="00DA4C0C">
        <w:rPr>
          <w:spacing w:val="1"/>
        </w:rPr>
        <w:t>d</w:t>
      </w:r>
      <w:r w:rsidR="009709D9" w:rsidRPr="00DA4C0C">
        <w:t xml:space="preserve">s </w:t>
      </w:r>
      <w:r w:rsidR="009709D9" w:rsidRPr="00DA4C0C">
        <w:rPr>
          <w:spacing w:val="-1"/>
        </w:rPr>
        <w:t>a</w:t>
      </w:r>
      <w:r w:rsidR="009709D9" w:rsidRPr="00DA4C0C">
        <w:t>ims</w:t>
      </w:r>
      <w:r w:rsidR="009709D9" w:rsidRPr="00DA4C0C">
        <w:rPr>
          <w:spacing w:val="6"/>
        </w:rPr>
        <w:t xml:space="preserve"> </w:t>
      </w:r>
      <w:r w:rsidR="009709D9" w:rsidRPr="00DA4C0C">
        <w:t>to</w:t>
      </w:r>
      <w:r w:rsidR="009709D9" w:rsidRPr="00DA4C0C">
        <w:rPr>
          <w:spacing w:val="9"/>
        </w:rPr>
        <w:t xml:space="preserve"> </w:t>
      </w:r>
      <w:r w:rsidR="009709D9" w:rsidRPr="00DA4C0C">
        <w:rPr>
          <w:spacing w:val="-1"/>
        </w:rPr>
        <w:t>m</w:t>
      </w:r>
      <w:r w:rsidR="009709D9" w:rsidRPr="00DA4C0C">
        <w:t>ake</w:t>
      </w:r>
      <w:r w:rsidR="009709D9" w:rsidRPr="00DA4C0C">
        <w:rPr>
          <w:spacing w:val="4"/>
        </w:rPr>
        <w:t xml:space="preserve"> </w:t>
      </w:r>
      <w:r w:rsidR="009709D9" w:rsidRPr="00DA4C0C">
        <w:t>t</w:t>
      </w:r>
      <w:r w:rsidR="009709D9" w:rsidRPr="00DA4C0C">
        <w:rPr>
          <w:spacing w:val="-1"/>
        </w:rPr>
        <w:t>h</w:t>
      </w:r>
      <w:r w:rsidR="009709D9" w:rsidRPr="00DA4C0C">
        <w:t xml:space="preserve">is </w:t>
      </w:r>
      <w:r w:rsidR="00CF07FF">
        <w:t xml:space="preserve">UN </w:t>
      </w:r>
      <w:r w:rsidR="00DD3E27" w:rsidRPr="00DA4C0C">
        <w:t>R</w:t>
      </w:r>
      <w:r w:rsidR="009709D9" w:rsidRPr="00DA4C0C">
        <w:t>egulation up to date a</w:t>
      </w:r>
      <w:r w:rsidR="009709D9" w:rsidRPr="00DA4C0C">
        <w:rPr>
          <w:spacing w:val="-1"/>
        </w:rPr>
        <w:t>n</w:t>
      </w:r>
      <w:r w:rsidR="009709D9" w:rsidRPr="00DA4C0C">
        <w:t>d</w:t>
      </w:r>
      <w:r w:rsidR="009709D9" w:rsidRPr="00DA4C0C">
        <w:rPr>
          <w:spacing w:val="-5"/>
        </w:rPr>
        <w:t xml:space="preserve"> </w:t>
      </w:r>
      <w:r w:rsidR="009709D9" w:rsidRPr="00DA4C0C">
        <w:t>at</w:t>
      </w:r>
      <w:r w:rsidR="009709D9" w:rsidRPr="00DA4C0C">
        <w:rPr>
          <w:spacing w:val="-1"/>
        </w:rPr>
        <w:t xml:space="preserve"> </w:t>
      </w:r>
      <w:r w:rsidR="009709D9" w:rsidRPr="00DA4C0C">
        <w:t>t</w:t>
      </w:r>
      <w:r w:rsidR="009709D9" w:rsidRPr="00DA4C0C">
        <w:rPr>
          <w:spacing w:val="-1"/>
        </w:rPr>
        <w:t>h</w:t>
      </w:r>
      <w:r w:rsidR="009709D9" w:rsidRPr="00DA4C0C">
        <w:t>e</w:t>
      </w:r>
      <w:r w:rsidR="009709D9" w:rsidRPr="00DA4C0C">
        <w:rPr>
          <w:spacing w:val="-4"/>
        </w:rPr>
        <w:t xml:space="preserve"> </w:t>
      </w:r>
      <w:r w:rsidR="009709D9" w:rsidRPr="00DA4C0C">
        <w:t>sa</w:t>
      </w:r>
      <w:r w:rsidR="009709D9" w:rsidRPr="00DA4C0C">
        <w:rPr>
          <w:spacing w:val="-1"/>
        </w:rPr>
        <w:t>m</w:t>
      </w:r>
      <w:r w:rsidR="009709D9" w:rsidRPr="00DA4C0C">
        <w:t>e</w:t>
      </w:r>
      <w:r w:rsidR="009709D9" w:rsidRPr="00DA4C0C">
        <w:rPr>
          <w:spacing w:val="-4"/>
        </w:rPr>
        <w:t xml:space="preserve"> </w:t>
      </w:r>
      <w:r w:rsidR="009709D9" w:rsidRPr="00DA4C0C">
        <w:rPr>
          <w:spacing w:val="2"/>
        </w:rPr>
        <w:t>t</w:t>
      </w:r>
      <w:r w:rsidR="009709D9" w:rsidRPr="00DA4C0C">
        <w:t>i</w:t>
      </w:r>
      <w:r w:rsidR="009709D9" w:rsidRPr="00DA4C0C">
        <w:rPr>
          <w:spacing w:val="-1"/>
        </w:rPr>
        <w:t>m</w:t>
      </w:r>
      <w:r w:rsidR="009709D9" w:rsidRPr="00DA4C0C">
        <w:t>e</w:t>
      </w:r>
      <w:r w:rsidR="009709D9" w:rsidRPr="00DA4C0C">
        <w:rPr>
          <w:spacing w:val="-5"/>
        </w:rPr>
        <w:t xml:space="preserve"> </w:t>
      </w:r>
      <w:r w:rsidR="009709D9" w:rsidRPr="00DA4C0C">
        <w:t>ensur</w:t>
      </w:r>
      <w:r w:rsidR="002C2750">
        <w:t>e</w:t>
      </w:r>
      <w:r w:rsidR="009709D9" w:rsidRPr="00DA4C0C">
        <w:rPr>
          <w:spacing w:val="-7"/>
        </w:rPr>
        <w:t xml:space="preserve"> </w:t>
      </w:r>
      <w:r w:rsidR="009709D9" w:rsidRPr="00DA4C0C">
        <w:t>an</w:t>
      </w:r>
      <w:r w:rsidR="009709D9" w:rsidRPr="00DA4C0C">
        <w:rPr>
          <w:spacing w:val="-4"/>
        </w:rPr>
        <w:t xml:space="preserve"> </w:t>
      </w:r>
      <w:r w:rsidR="009709D9" w:rsidRPr="00DA4C0C">
        <w:t>ad</w:t>
      </w:r>
      <w:r w:rsidR="009709D9" w:rsidRPr="00DA4C0C">
        <w:rPr>
          <w:spacing w:val="-2"/>
        </w:rPr>
        <w:t>e</w:t>
      </w:r>
      <w:r w:rsidR="009709D9" w:rsidRPr="00DA4C0C">
        <w:t>qu</w:t>
      </w:r>
      <w:r w:rsidR="009709D9" w:rsidRPr="00DA4C0C">
        <w:rPr>
          <w:spacing w:val="-1"/>
        </w:rPr>
        <w:t>a</w:t>
      </w:r>
      <w:r w:rsidR="009709D9" w:rsidRPr="00DA4C0C">
        <w:t>te</w:t>
      </w:r>
      <w:r w:rsidR="009709D9" w:rsidRPr="00DA4C0C">
        <w:rPr>
          <w:spacing w:val="-7"/>
        </w:rPr>
        <w:t xml:space="preserve"> </w:t>
      </w:r>
      <w:r w:rsidR="009709D9" w:rsidRPr="00DA4C0C">
        <w:t>s</w:t>
      </w:r>
      <w:r w:rsidR="009709D9" w:rsidRPr="00DA4C0C">
        <w:rPr>
          <w:spacing w:val="-1"/>
        </w:rPr>
        <w:t>a</w:t>
      </w:r>
      <w:r w:rsidR="009709D9" w:rsidRPr="00DA4C0C">
        <w:t>f</w:t>
      </w:r>
      <w:r w:rsidR="009709D9" w:rsidRPr="00DA4C0C">
        <w:rPr>
          <w:spacing w:val="-1"/>
        </w:rPr>
        <w:t>et</w:t>
      </w:r>
      <w:r w:rsidR="009709D9" w:rsidRPr="00DA4C0C">
        <w:t>y</w:t>
      </w:r>
      <w:r w:rsidR="009709D9" w:rsidRPr="00DA4C0C">
        <w:rPr>
          <w:spacing w:val="-5"/>
        </w:rPr>
        <w:t xml:space="preserve"> </w:t>
      </w:r>
      <w:r w:rsidR="009709D9" w:rsidRPr="00DA4C0C">
        <w:t>l</w:t>
      </w:r>
      <w:r w:rsidR="009709D9" w:rsidRPr="00DA4C0C">
        <w:rPr>
          <w:spacing w:val="-1"/>
        </w:rPr>
        <w:t>eve</w:t>
      </w:r>
      <w:r w:rsidR="006237FD">
        <w:t>l.</w:t>
      </w:r>
    </w:p>
    <w:p w14:paraId="3C2F66AF" w14:textId="1CD40622" w:rsidR="00C0522C" w:rsidRPr="00C0522C" w:rsidRDefault="00C0522C" w:rsidP="00C0522C">
      <w:pPr>
        <w:spacing w:before="240"/>
        <w:jc w:val="center"/>
        <w:rPr>
          <w:u w:val="single"/>
        </w:rPr>
      </w:pPr>
      <w:r>
        <w:rPr>
          <w:u w:val="single"/>
        </w:rPr>
        <w:tab/>
      </w:r>
      <w:r>
        <w:rPr>
          <w:u w:val="single"/>
        </w:rPr>
        <w:tab/>
      </w:r>
      <w:r>
        <w:rPr>
          <w:u w:val="single"/>
        </w:rPr>
        <w:tab/>
      </w:r>
    </w:p>
    <w:sectPr w:rsidR="00C0522C" w:rsidRPr="00C0522C" w:rsidSect="00831DAA">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code="9"/>
      <w:pgMar w:top="1418" w:right="1133"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A18A" w14:textId="77777777" w:rsidR="00793268" w:rsidRDefault="00793268" w:rsidP="00203C11">
      <w:pPr>
        <w:spacing w:line="240" w:lineRule="auto"/>
      </w:pPr>
      <w:r>
        <w:separator/>
      </w:r>
    </w:p>
  </w:endnote>
  <w:endnote w:type="continuationSeparator" w:id="0">
    <w:p w14:paraId="1E296A91" w14:textId="77777777" w:rsidR="00793268" w:rsidRDefault="00793268" w:rsidP="00203C11">
      <w:pPr>
        <w:spacing w:line="240" w:lineRule="auto"/>
      </w:pPr>
      <w:r>
        <w:continuationSeparator/>
      </w:r>
    </w:p>
  </w:endnote>
  <w:endnote w:type="continuationNotice" w:id="1">
    <w:p w14:paraId="6A755C6D" w14:textId="77777777" w:rsidR="00793268" w:rsidRDefault="007932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FBC3" w14:textId="3E594621" w:rsidR="00E15CAB" w:rsidRPr="00790261" w:rsidRDefault="00790261" w:rsidP="00790261">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73BE4">
      <w:rPr>
        <w:b/>
        <w:noProof/>
        <w:sz w:val="18"/>
      </w:rPr>
      <w:t>4</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596B" w14:textId="6BEC45A5" w:rsidR="00E15CAB" w:rsidRPr="00790261" w:rsidRDefault="00790261" w:rsidP="00790261">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A73BE4">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FCD1" w14:textId="2AA4FCCA" w:rsidR="00283851" w:rsidRDefault="00E121F7" w:rsidP="00283851">
    <w:pPr>
      <w:pStyle w:val="Footer"/>
    </w:pPr>
    <w:r w:rsidRPr="0027112F">
      <w:rPr>
        <w:noProof/>
        <w:lang w:val="en-US"/>
      </w:rPr>
      <w:drawing>
        <wp:anchor distT="0" distB="0" distL="114300" distR="114300" simplePos="0" relativeHeight="251659264" behindDoc="0" locked="1" layoutInCell="1" allowOverlap="1" wp14:anchorId="1682907A" wp14:editId="29ED498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F0E4354" w14:textId="02DE2362" w:rsidR="00E121F7" w:rsidRPr="00E121F7" w:rsidRDefault="00E121F7" w:rsidP="00E121F7">
    <w:pPr>
      <w:pStyle w:val="Footer"/>
      <w:ind w:right="113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F7E2" w14:textId="77777777" w:rsidR="00793268" w:rsidRPr="00E378AC" w:rsidRDefault="00793268" w:rsidP="00E378AC">
      <w:pPr>
        <w:tabs>
          <w:tab w:val="right" w:pos="2155"/>
        </w:tabs>
        <w:spacing w:after="80"/>
        <w:ind w:left="680"/>
        <w:rPr>
          <w:u w:val="single"/>
        </w:rPr>
      </w:pPr>
      <w:r>
        <w:rPr>
          <w:u w:val="single"/>
        </w:rPr>
        <w:tab/>
      </w:r>
    </w:p>
  </w:footnote>
  <w:footnote w:type="continuationSeparator" w:id="0">
    <w:p w14:paraId="66377402" w14:textId="77777777" w:rsidR="00793268" w:rsidRDefault="00793268">
      <w:r>
        <w:continuationSeparator/>
      </w:r>
    </w:p>
  </w:footnote>
  <w:footnote w:type="continuationNotice" w:id="1">
    <w:p w14:paraId="2305D3F8" w14:textId="77777777" w:rsidR="00793268" w:rsidRDefault="00793268">
      <w:pPr>
        <w:spacing w:line="240" w:lineRule="auto"/>
      </w:pPr>
    </w:p>
  </w:footnote>
  <w:footnote w:id="2">
    <w:p w14:paraId="49DD7F94" w14:textId="41B1CEF3" w:rsidR="00C95640" w:rsidRPr="00AC1034" w:rsidRDefault="00C95640" w:rsidP="00C95640">
      <w:pPr>
        <w:pStyle w:val="FootnoteText"/>
        <w:tabs>
          <w:tab w:val="right" w:pos="1021"/>
        </w:tabs>
        <w:spacing w:line="220" w:lineRule="exact"/>
        <w:ind w:left="1134" w:right="1134" w:hanging="1134"/>
        <w:rPr>
          <w:rStyle w:val="FootnoteReference"/>
          <w:szCs w:val="18"/>
          <w:vertAlign w:val="baseline"/>
          <w:lang w:eastAsia="fr-FR"/>
        </w:rPr>
      </w:pPr>
      <w:r w:rsidRPr="00D63A94">
        <w:rPr>
          <w:rStyle w:val="FootnoteReference"/>
          <w:lang w:val="en-US"/>
        </w:rPr>
        <w:tab/>
        <w:t>*</w:t>
      </w:r>
      <w:r w:rsidRPr="00D63A94">
        <w:rPr>
          <w:rStyle w:val="FootnoteReference"/>
          <w:lang w:val="en-US"/>
        </w:rPr>
        <w:tab/>
      </w:r>
      <w:r w:rsidRPr="00AC1034">
        <w:rPr>
          <w:rStyle w:val="FootnoteReference"/>
          <w:szCs w:val="18"/>
          <w:vertAlign w:val="baseline"/>
          <w:lang w:eastAsia="fr-FR"/>
        </w:rPr>
        <w:t>In accordance with the programme of work of the Inland Transport Committee for 2022 as outlined in proposed programme budget for 2022 (A/76/6 (part V</w:t>
      </w:r>
      <w:r w:rsidR="00AA12FE">
        <w:rPr>
          <w:szCs w:val="18"/>
          <w:lang w:eastAsia="fr-FR"/>
        </w:rPr>
        <w:t>,</w:t>
      </w:r>
      <w:r w:rsidRPr="00AC1034">
        <w:rPr>
          <w:rStyle w:val="FootnoteReference"/>
          <w:szCs w:val="18"/>
          <w:vertAlign w:val="baseline"/>
          <w:lang w:eastAsia="fr-FR"/>
        </w:rPr>
        <w:t xml:space="preserve"> sect. 20) para</w:t>
      </w:r>
      <w:r w:rsidR="00AA12FE">
        <w:rPr>
          <w:rStyle w:val="FootnoteReference"/>
          <w:szCs w:val="18"/>
          <w:vertAlign w:val="baseline"/>
          <w:lang w:eastAsia="fr-FR"/>
        </w:rPr>
        <w:t>.</w:t>
      </w:r>
      <w:r w:rsidRPr="00AC1034">
        <w:rPr>
          <w:rStyle w:val="FootnoteReference"/>
          <w:szCs w:val="18"/>
          <w:vertAlign w:val="baseline"/>
          <w:lang w:eastAsia="fr-FR"/>
        </w:rPr>
        <w:t xml:space="preserve"> 20.76), the World Forum will develop, harmonize and update UN Regulations in order to enhance the performance of vehicles. The present document is submitted in conformity with that mandate.</w:t>
      </w:r>
    </w:p>
    <w:p w14:paraId="51743565" w14:textId="77777777" w:rsidR="00C95640" w:rsidRPr="00D63A94" w:rsidRDefault="00C95640" w:rsidP="00C95640">
      <w:pPr>
        <w:pStyle w:val="FootnoteText"/>
        <w:tabs>
          <w:tab w:val="right" w:pos="1021"/>
        </w:tabs>
        <w:spacing w:line="220" w:lineRule="exact"/>
        <w:ind w:left="1701" w:right="1134" w:hanging="1134"/>
        <w:rPr>
          <w:rStyle w:val="FootnoteReference"/>
          <w:lang w:val="en-US"/>
        </w:rPr>
      </w:pPr>
      <w:r w:rsidRPr="00D63A94">
        <w:rPr>
          <w:rStyle w:val="FootnoteReference"/>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26F" w14:textId="053F44B6" w:rsidR="00C97203" w:rsidRPr="00397D28" w:rsidRDefault="00C97203" w:rsidP="0040340A">
    <w:pPr>
      <w:pStyle w:val="Header"/>
      <w:rPr>
        <w:strike/>
      </w:rPr>
    </w:pPr>
    <w:r w:rsidRPr="00397D28">
      <w:rPr>
        <w:strike/>
      </w:rPr>
      <w:t>ECE/TRANS/WP.29/GRSG/202</w:t>
    </w:r>
    <w:r w:rsidR="00DD3E27" w:rsidRPr="00397D28">
      <w:rPr>
        <w:strike/>
      </w:rPr>
      <w:t>2</w:t>
    </w:r>
    <w:r w:rsidR="00297AB3" w:rsidRPr="00397D28">
      <w:rPr>
        <w:strike/>
      </w:rPr>
      <w:t>/1</w:t>
    </w:r>
    <w:r w:rsidR="0067655F" w:rsidRPr="00397D28">
      <w:rPr>
        <w:strike/>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76547F56" w:rsidR="00606343" w:rsidRPr="00397D28" w:rsidRDefault="00606343" w:rsidP="009523F1">
    <w:pPr>
      <w:pStyle w:val="Header"/>
      <w:jc w:val="right"/>
      <w:rPr>
        <w:strike/>
      </w:rPr>
    </w:pPr>
    <w:r w:rsidRPr="00397D28">
      <w:rPr>
        <w:strike/>
      </w:rPr>
      <w:t>ECE/TRANS/WP.29/GRSG/202</w:t>
    </w:r>
    <w:r w:rsidR="00297AB3" w:rsidRPr="00397D28">
      <w:rPr>
        <w:strike/>
      </w:rPr>
      <w:t>2</w:t>
    </w:r>
    <w:r w:rsidRPr="00397D28">
      <w:rPr>
        <w:strike/>
      </w:rPr>
      <w:t>/</w:t>
    </w:r>
    <w:r w:rsidR="00297AB3" w:rsidRPr="00397D28">
      <w:rPr>
        <w:strike/>
      </w:rPr>
      <w:t>1</w:t>
    </w:r>
    <w:r w:rsidR="0067655F" w:rsidRPr="00397D28">
      <w:rPr>
        <w:strik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397D28" w:rsidRPr="00DD5F08" w14:paraId="084E5A75" w14:textId="77777777" w:rsidTr="00A91442">
      <w:tc>
        <w:tcPr>
          <w:tcW w:w="4253" w:type="dxa"/>
          <w:hideMark/>
        </w:tcPr>
        <w:p w14:paraId="4E1234F4" w14:textId="0446B1E6" w:rsidR="00397D28" w:rsidRPr="00DD5F08" w:rsidRDefault="00397D28" w:rsidP="00397D28">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 xml:space="preserve">the expert </w:t>
          </w:r>
          <w:r>
            <w:rPr>
              <w:rFonts w:eastAsia="Calibri"/>
              <w:kern w:val="2"/>
            </w:rPr>
            <w:t>from the Netherlands</w:t>
          </w:r>
        </w:p>
      </w:tc>
      <w:tc>
        <w:tcPr>
          <w:tcW w:w="5245" w:type="dxa"/>
          <w:hideMark/>
        </w:tcPr>
        <w:p w14:paraId="2B86658F" w14:textId="14F4B146" w:rsidR="00397D28" w:rsidRPr="00DD5F08" w:rsidRDefault="00397D28" w:rsidP="00397D28">
          <w:pPr>
            <w:suppressAutoHyphens w:val="0"/>
            <w:spacing w:line="240" w:lineRule="auto"/>
            <w:ind w:left="1735"/>
            <w:jc w:val="right"/>
            <w:rPr>
              <w:rFonts w:eastAsia="Calibri"/>
              <w:b/>
              <w:bCs/>
              <w:kern w:val="2"/>
            </w:rPr>
          </w:pPr>
          <w:r w:rsidRPr="00DD5F08">
            <w:rPr>
              <w:rFonts w:eastAsia="Calibri"/>
              <w:kern w:val="2"/>
              <w:u w:val="single"/>
            </w:rPr>
            <w:t>Informal document</w:t>
          </w:r>
          <w:r w:rsidRPr="00DD5F08">
            <w:rPr>
              <w:rFonts w:eastAsia="Calibri"/>
              <w:kern w:val="2"/>
            </w:rPr>
            <w:t xml:space="preserve"> </w:t>
          </w:r>
          <w:r w:rsidRPr="00DD5F08">
            <w:rPr>
              <w:rFonts w:eastAsia="Calibri"/>
              <w:b/>
              <w:bCs/>
              <w:kern w:val="2"/>
            </w:rPr>
            <w:t>GRSG-1</w:t>
          </w:r>
          <w:r>
            <w:rPr>
              <w:rFonts w:eastAsia="Calibri"/>
              <w:b/>
              <w:bCs/>
              <w:kern w:val="2"/>
            </w:rPr>
            <w:t>23</w:t>
          </w:r>
          <w:r w:rsidRPr="00DD5F08">
            <w:rPr>
              <w:rFonts w:eastAsia="Calibri"/>
              <w:b/>
              <w:bCs/>
              <w:kern w:val="2"/>
            </w:rPr>
            <w:t>-</w:t>
          </w:r>
          <w:r>
            <w:rPr>
              <w:rFonts w:eastAsia="Calibri"/>
              <w:b/>
              <w:bCs/>
              <w:kern w:val="2"/>
            </w:rPr>
            <w:t>2</w:t>
          </w:r>
          <w:r>
            <w:rPr>
              <w:rFonts w:eastAsia="Calibri"/>
              <w:b/>
              <w:bCs/>
              <w:kern w:val="2"/>
            </w:rPr>
            <w:t>8</w:t>
          </w:r>
        </w:p>
        <w:p w14:paraId="5DF2EE86" w14:textId="77777777" w:rsidR="00397D28" w:rsidRDefault="00397D28" w:rsidP="00397D28">
          <w:pPr>
            <w:tabs>
              <w:tab w:val="center" w:pos="4536"/>
              <w:tab w:val="right" w:pos="9072"/>
            </w:tabs>
            <w:suppressAutoHyphens w:val="0"/>
            <w:spacing w:line="240" w:lineRule="auto"/>
            <w:ind w:left="1735"/>
            <w:jc w:val="right"/>
            <w:rPr>
              <w:rFonts w:eastAsia="Calibri"/>
              <w:kern w:val="2"/>
            </w:rPr>
          </w:pPr>
          <w:r w:rsidRPr="00DD5F08">
            <w:rPr>
              <w:rFonts w:eastAsia="Calibri"/>
              <w:kern w:val="2"/>
            </w:rPr>
            <w:t>(1</w:t>
          </w:r>
          <w:r>
            <w:rPr>
              <w:rFonts w:eastAsia="Calibri"/>
              <w:kern w:val="2"/>
            </w:rPr>
            <w:t>23rd</w:t>
          </w:r>
          <w:r w:rsidRPr="00DD5F08">
            <w:rPr>
              <w:rFonts w:eastAsia="Calibri"/>
              <w:kern w:val="2"/>
            </w:rPr>
            <w:t xml:space="preserve"> GRSG, </w:t>
          </w:r>
          <w:r>
            <w:rPr>
              <w:rFonts w:eastAsia="Calibri"/>
              <w:kern w:val="2"/>
            </w:rPr>
            <w:t>28 March – 1 April</w:t>
          </w:r>
          <w:r w:rsidRPr="00DD5F08">
            <w:rPr>
              <w:rFonts w:eastAsia="Calibri"/>
              <w:kern w:val="2"/>
            </w:rPr>
            <w:t xml:space="preserve"> 202</w:t>
          </w:r>
          <w:r>
            <w:rPr>
              <w:rFonts w:eastAsia="Calibri"/>
              <w:kern w:val="2"/>
            </w:rPr>
            <w:t>2</w:t>
          </w:r>
        </w:p>
        <w:p w14:paraId="4BB560C6" w14:textId="77777777" w:rsidR="00397D28" w:rsidRPr="00DD5F08" w:rsidRDefault="00397D28" w:rsidP="00397D28">
          <w:pPr>
            <w:tabs>
              <w:tab w:val="center" w:pos="4536"/>
              <w:tab w:val="right" w:pos="9072"/>
            </w:tabs>
            <w:suppressAutoHyphens w:val="0"/>
            <w:spacing w:line="240" w:lineRule="auto"/>
            <w:ind w:left="1735"/>
            <w:jc w:val="right"/>
            <w:rPr>
              <w:rFonts w:eastAsia="Calibri"/>
              <w:kern w:val="2"/>
            </w:rPr>
          </w:pPr>
          <w:r w:rsidRPr="00DD5F08">
            <w:rPr>
              <w:rFonts w:eastAsia="Calibri"/>
              <w:kern w:val="2"/>
            </w:rPr>
            <w:t xml:space="preserve">Agenda item </w:t>
          </w:r>
          <w:r w:rsidRPr="00ED3D15">
            <w:rPr>
              <w:rFonts w:eastAsia="Calibri"/>
              <w:kern w:val="2"/>
            </w:rPr>
            <w:t>7 (</w:t>
          </w:r>
          <w:r>
            <w:rPr>
              <w:rFonts w:eastAsia="Calibri"/>
              <w:kern w:val="2"/>
            </w:rPr>
            <w:t>b</w:t>
          </w:r>
          <w:r w:rsidRPr="00ED3D15">
            <w:rPr>
              <w:rFonts w:eastAsia="Calibri"/>
              <w:kern w:val="2"/>
            </w:rPr>
            <w:t>))</w:t>
          </w:r>
        </w:p>
      </w:tc>
    </w:tr>
  </w:tbl>
  <w:p w14:paraId="67D67F34" w14:textId="77777777" w:rsidR="00ED502C" w:rsidRDefault="00ED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8722"/>
        </w:tabs>
        <w:ind w:left="872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04D9"/>
    <w:multiLevelType w:val="hybridMultilevel"/>
    <w:tmpl w:val="37F4F020"/>
    <w:lvl w:ilvl="0" w:tplc="69E00FEC">
      <w:start w:val="1"/>
      <w:numFmt w:val="lowerRoman"/>
      <w:lvlText w:val="%1."/>
      <w:lvlJc w:val="left"/>
      <w:pPr>
        <w:ind w:left="16514" w:hanging="720"/>
      </w:pPr>
      <w:rPr>
        <w:rFonts w:hint="default"/>
      </w:rPr>
    </w:lvl>
    <w:lvl w:ilvl="1" w:tplc="08090019" w:tentative="1">
      <w:start w:val="1"/>
      <w:numFmt w:val="lowerLetter"/>
      <w:lvlText w:val="%2."/>
      <w:lvlJc w:val="left"/>
      <w:pPr>
        <w:ind w:left="16874" w:hanging="360"/>
      </w:pPr>
    </w:lvl>
    <w:lvl w:ilvl="2" w:tplc="0809001B" w:tentative="1">
      <w:start w:val="1"/>
      <w:numFmt w:val="lowerRoman"/>
      <w:lvlText w:val="%3."/>
      <w:lvlJc w:val="right"/>
      <w:pPr>
        <w:ind w:left="17594" w:hanging="180"/>
      </w:pPr>
    </w:lvl>
    <w:lvl w:ilvl="3" w:tplc="0809000F" w:tentative="1">
      <w:start w:val="1"/>
      <w:numFmt w:val="decimal"/>
      <w:lvlText w:val="%4."/>
      <w:lvlJc w:val="left"/>
      <w:pPr>
        <w:ind w:left="18314" w:hanging="360"/>
      </w:pPr>
    </w:lvl>
    <w:lvl w:ilvl="4" w:tplc="08090019" w:tentative="1">
      <w:start w:val="1"/>
      <w:numFmt w:val="lowerLetter"/>
      <w:lvlText w:val="%5."/>
      <w:lvlJc w:val="left"/>
      <w:pPr>
        <w:ind w:left="19034" w:hanging="360"/>
      </w:pPr>
    </w:lvl>
    <w:lvl w:ilvl="5" w:tplc="0809001B" w:tentative="1">
      <w:start w:val="1"/>
      <w:numFmt w:val="lowerRoman"/>
      <w:lvlText w:val="%6."/>
      <w:lvlJc w:val="right"/>
      <w:pPr>
        <w:ind w:left="19754" w:hanging="180"/>
      </w:pPr>
    </w:lvl>
    <w:lvl w:ilvl="6" w:tplc="0809000F" w:tentative="1">
      <w:start w:val="1"/>
      <w:numFmt w:val="decimal"/>
      <w:lvlText w:val="%7."/>
      <w:lvlJc w:val="left"/>
      <w:pPr>
        <w:ind w:left="20474" w:hanging="360"/>
      </w:pPr>
    </w:lvl>
    <w:lvl w:ilvl="7" w:tplc="08090019" w:tentative="1">
      <w:start w:val="1"/>
      <w:numFmt w:val="lowerLetter"/>
      <w:lvlText w:val="%8."/>
      <w:lvlJc w:val="left"/>
      <w:pPr>
        <w:ind w:left="21194" w:hanging="360"/>
      </w:pPr>
    </w:lvl>
    <w:lvl w:ilvl="8" w:tplc="0809001B" w:tentative="1">
      <w:start w:val="1"/>
      <w:numFmt w:val="lowerRoman"/>
      <w:lvlText w:val="%9."/>
      <w:lvlJc w:val="right"/>
      <w:pPr>
        <w:ind w:left="21914" w:hanging="180"/>
      </w:pPr>
    </w:lvl>
  </w:abstractNum>
  <w:abstractNum w:abstractNumId="11" w15:restartNumberingAfterBreak="0">
    <w:nsid w:val="1887306A"/>
    <w:multiLevelType w:val="multilevel"/>
    <w:tmpl w:val="35D6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678C9"/>
    <w:multiLevelType w:val="hybridMultilevel"/>
    <w:tmpl w:val="38849EB8"/>
    <w:lvl w:ilvl="0" w:tplc="5FBE5BD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350B2F71"/>
    <w:multiLevelType w:val="hybridMultilevel"/>
    <w:tmpl w:val="E19C9FC0"/>
    <w:lvl w:ilvl="0" w:tplc="C31A5F92">
      <w:start w:val="1"/>
      <w:numFmt w:val="decimal"/>
      <w:lvlText w:val="%1."/>
      <w:lvlJc w:val="left"/>
      <w:pPr>
        <w:ind w:left="1673" w:hanging="570"/>
      </w:pPr>
      <w:rPr>
        <w:rFonts w:hint="default"/>
      </w:rPr>
    </w:lvl>
    <w:lvl w:ilvl="1" w:tplc="20000019">
      <w:start w:val="1"/>
      <w:numFmt w:val="lowerLetter"/>
      <w:lvlText w:val="%2."/>
      <w:lvlJc w:val="left"/>
      <w:pPr>
        <w:ind w:left="2183" w:hanging="360"/>
      </w:pPr>
    </w:lvl>
    <w:lvl w:ilvl="2" w:tplc="2000001B">
      <w:start w:val="1"/>
      <w:numFmt w:val="lowerRoman"/>
      <w:lvlText w:val="%3."/>
      <w:lvlJc w:val="right"/>
      <w:pPr>
        <w:ind w:left="2903" w:hanging="180"/>
      </w:pPr>
    </w:lvl>
    <w:lvl w:ilvl="3" w:tplc="2000000F" w:tentative="1">
      <w:start w:val="1"/>
      <w:numFmt w:val="decimal"/>
      <w:lvlText w:val="%4."/>
      <w:lvlJc w:val="left"/>
      <w:pPr>
        <w:ind w:left="3623" w:hanging="360"/>
      </w:pPr>
    </w:lvl>
    <w:lvl w:ilvl="4" w:tplc="20000019" w:tentative="1">
      <w:start w:val="1"/>
      <w:numFmt w:val="lowerLetter"/>
      <w:lvlText w:val="%5."/>
      <w:lvlJc w:val="left"/>
      <w:pPr>
        <w:ind w:left="4343" w:hanging="360"/>
      </w:pPr>
    </w:lvl>
    <w:lvl w:ilvl="5" w:tplc="2000001B" w:tentative="1">
      <w:start w:val="1"/>
      <w:numFmt w:val="lowerRoman"/>
      <w:lvlText w:val="%6."/>
      <w:lvlJc w:val="right"/>
      <w:pPr>
        <w:ind w:left="5063" w:hanging="180"/>
      </w:pPr>
    </w:lvl>
    <w:lvl w:ilvl="6" w:tplc="2000000F" w:tentative="1">
      <w:start w:val="1"/>
      <w:numFmt w:val="decimal"/>
      <w:lvlText w:val="%7."/>
      <w:lvlJc w:val="left"/>
      <w:pPr>
        <w:ind w:left="5783" w:hanging="360"/>
      </w:pPr>
    </w:lvl>
    <w:lvl w:ilvl="7" w:tplc="20000019" w:tentative="1">
      <w:start w:val="1"/>
      <w:numFmt w:val="lowerLetter"/>
      <w:lvlText w:val="%8."/>
      <w:lvlJc w:val="left"/>
      <w:pPr>
        <w:ind w:left="6503" w:hanging="360"/>
      </w:pPr>
    </w:lvl>
    <w:lvl w:ilvl="8" w:tplc="2000001B" w:tentative="1">
      <w:start w:val="1"/>
      <w:numFmt w:val="lowerRoman"/>
      <w:lvlText w:val="%9."/>
      <w:lvlJc w:val="right"/>
      <w:pPr>
        <w:ind w:left="7223" w:hanging="180"/>
      </w:pPr>
    </w:lvl>
  </w:abstractNum>
  <w:abstractNum w:abstractNumId="15"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FD35616"/>
    <w:multiLevelType w:val="hybridMultilevel"/>
    <w:tmpl w:val="25C45866"/>
    <w:lvl w:ilvl="0" w:tplc="94F4C16E">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8" w15:restartNumberingAfterBreak="0">
    <w:nsid w:val="4CE826F0"/>
    <w:multiLevelType w:val="hybridMultilevel"/>
    <w:tmpl w:val="FC6A3B5C"/>
    <w:lvl w:ilvl="0" w:tplc="722A1F58">
      <w:start w:val="9"/>
      <w:numFmt w:val="lowerLetter"/>
      <w:lvlText w:val="(%1)"/>
      <w:lvlJc w:val="left"/>
      <w:pPr>
        <w:ind w:left="2610" w:hanging="36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032F09"/>
    <w:multiLevelType w:val="hybridMultilevel"/>
    <w:tmpl w:val="BE98788E"/>
    <w:lvl w:ilvl="0" w:tplc="3DFC626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B117173"/>
    <w:multiLevelType w:val="hybridMultilevel"/>
    <w:tmpl w:val="23AA8C5C"/>
    <w:lvl w:ilvl="0" w:tplc="51547C12">
      <w:start w:val="1"/>
      <w:numFmt w:val="upperRoman"/>
      <w:lvlText w:val="%1."/>
      <w:lvlJc w:val="left"/>
      <w:pPr>
        <w:ind w:left="1260" w:hanging="720"/>
      </w:pPr>
      <w:rPr>
        <w:rFonts w:hint="default"/>
        <w:w w:val="10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23" w15:restartNumberingAfterBreak="0">
    <w:nsid w:val="61E1352A"/>
    <w:multiLevelType w:val="hybridMultilevel"/>
    <w:tmpl w:val="28F25AD8"/>
    <w:lvl w:ilvl="0" w:tplc="9872B6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7"/>
  </w:num>
  <w:num w:numId="23">
    <w:abstractNumId w:val="19"/>
  </w:num>
  <w:num w:numId="24">
    <w:abstractNumId w:val="26"/>
  </w:num>
  <w:num w:numId="25">
    <w:abstractNumId w:val="25"/>
  </w:num>
  <w:num w:numId="26">
    <w:abstractNumId w:val="15"/>
  </w:num>
  <w:num w:numId="27">
    <w:abstractNumId w:val="24"/>
  </w:num>
  <w:num w:numId="28">
    <w:abstractNumId w:val="17"/>
  </w:num>
  <w:num w:numId="29">
    <w:abstractNumId w:val="21"/>
  </w:num>
  <w:num w:numId="30">
    <w:abstractNumId w:val="14"/>
  </w:num>
  <w:num w:numId="31">
    <w:abstractNumId w:val="22"/>
  </w:num>
  <w:num w:numId="32">
    <w:abstractNumId w:val="23"/>
  </w:num>
  <w:num w:numId="33">
    <w:abstractNumId w:val="20"/>
  </w:num>
  <w:num w:numId="34">
    <w:abstractNumId w:val="16"/>
  </w:num>
  <w:num w:numId="35">
    <w:abstractNumId w:val="13"/>
  </w:num>
  <w:num w:numId="36">
    <w:abstractNumId w:val="10"/>
  </w:num>
  <w:num w:numId="37">
    <w:abstractNumId w:val="1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3660"/>
    <w:rsid w:val="000107D8"/>
    <w:rsid w:val="00025CF8"/>
    <w:rsid w:val="00032F33"/>
    <w:rsid w:val="0005378D"/>
    <w:rsid w:val="00056FD9"/>
    <w:rsid w:val="0005715A"/>
    <w:rsid w:val="00066E26"/>
    <w:rsid w:val="00070497"/>
    <w:rsid w:val="000A219B"/>
    <w:rsid w:val="000B6C91"/>
    <w:rsid w:val="000C356D"/>
    <w:rsid w:val="000C3A90"/>
    <w:rsid w:val="000C6EA8"/>
    <w:rsid w:val="000C75E6"/>
    <w:rsid w:val="000D367D"/>
    <w:rsid w:val="000E252E"/>
    <w:rsid w:val="0011327F"/>
    <w:rsid w:val="001309F4"/>
    <w:rsid w:val="00151208"/>
    <w:rsid w:val="00154B5D"/>
    <w:rsid w:val="00156754"/>
    <w:rsid w:val="0017097E"/>
    <w:rsid w:val="00170E8B"/>
    <w:rsid w:val="00174CAC"/>
    <w:rsid w:val="001B5B00"/>
    <w:rsid w:val="001B7FCA"/>
    <w:rsid w:val="001C03BD"/>
    <w:rsid w:val="001D6C5C"/>
    <w:rsid w:val="001E335E"/>
    <w:rsid w:val="001F1DCE"/>
    <w:rsid w:val="001F27DC"/>
    <w:rsid w:val="00203BAB"/>
    <w:rsid w:val="00203C11"/>
    <w:rsid w:val="002139C8"/>
    <w:rsid w:val="00214421"/>
    <w:rsid w:val="00214D75"/>
    <w:rsid w:val="00216BF2"/>
    <w:rsid w:val="00216DD6"/>
    <w:rsid w:val="00222D9F"/>
    <w:rsid w:val="00225C6C"/>
    <w:rsid w:val="00230810"/>
    <w:rsid w:val="002363CA"/>
    <w:rsid w:val="00236983"/>
    <w:rsid w:val="00242021"/>
    <w:rsid w:val="00254D5C"/>
    <w:rsid w:val="00255851"/>
    <w:rsid w:val="00255A96"/>
    <w:rsid w:val="00265779"/>
    <w:rsid w:val="002727E9"/>
    <w:rsid w:val="0027542D"/>
    <w:rsid w:val="00283851"/>
    <w:rsid w:val="002864B0"/>
    <w:rsid w:val="00297AB3"/>
    <w:rsid w:val="002B3BEA"/>
    <w:rsid w:val="002B4811"/>
    <w:rsid w:val="002C2750"/>
    <w:rsid w:val="002D24E5"/>
    <w:rsid w:val="002E1A58"/>
    <w:rsid w:val="002E3A07"/>
    <w:rsid w:val="002E5C78"/>
    <w:rsid w:val="002E6B62"/>
    <w:rsid w:val="00300A74"/>
    <w:rsid w:val="00326F61"/>
    <w:rsid w:val="00340A6E"/>
    <w:rsid w:val="00343F08"/>
    <w:rsid w:val="00351879"/>
    <w:rsid w:val="00363633"/>
    <w:rsid w:val="00370E7D"/>
    <w:rsid w:val="0039598B"/>
    <w:rsid w:val="00395AF4"/>
    <w:rsid w:val="00397754"/>
    <w:rsid w:val="00397D28"/>
    <w:rsid w:val="003A4A40"/>
    <w:rsid w:val="003D215B"/>
    <w:rsid w:val="003F5BE2"/>
    <w:rsid w:val="0040340A"/>
    <w:rsid w:val="00411DA6"/>
    <w:rsid w:val="00416C08"/>
    <w:rsid w:val="00420630"/>
    <w:rsid w:val="00436A7E"/>
    <w:rsid w:val="00454729"/>
    <w:rsid w:val="00461D8F"/>
    <w:rsid w:val="004655AD"/>
    <w:rsid w:val="004875D1"/>
    <w:rsid w:val="00494355"/>
    <w:rsid w:val="004A29E9"/>
    <w:rsid w:val="004A7C27"/>
    <w:rsid w:val="004C01D3"/>
    <w:rsid w:val="004C7EC4"/>
    <w:rsid w:val="004D0240"/>
    <w:rsid w:val="004D4317"/>
    <w:rsid w:val="004D5A4F"/>
    <w:rsid w:val="004E1C7E"/>
    <w:rsid w:val="004E652D"/>
    <w:rsid w:val="004E67FA"/>
    <w:rsid w:val="00502847"/>
    <w:rsid w:val="00541748"/>
    <w:rsid w:val="00547077"/>
    <w:rsid w:val="00552330"/>
    <w:rsid w:val="0055628F"/>
    <w:rsid w:val="005762BC"/>
    <w:rsid w:val="00592DED"/>
    <w:rsid w:val="005A39FD"/>
    <w:rsid w:val="005A3F81"/>
    <w:rsid w:val="005B3E3F"/>
    <w:rsid w:val="005D2727"/>
    <w:rsid w:val="005D37CC"/>
    <w:rsid w:val="005D493F"/>
    <w:rsid w:val="006007D4"/>
    <w:rsid w:val="00605F2E"/>
    <w:rsid w:val="00606343"/>
    <w:rsid w:val="006237FD"/>
    <w:rsid w:val="00627026"/>
    <w:rsid w:val="006321A9"/>
    <w:rsid w:val="00663993"/>
    <w:rsid w:val="00666E05"/>
    <w:rsid w:val="00672451"/>
    <w:rsid w:val="0067655F"/>
    <w:rsid w:val="00686461"/>
    <w:rsid w:val="006A2B1F"/>
    <w:rsid w:val="006B1349"/>
    <w:rsid w:val="006B338E"/>
    <w:rsid w:val="006B40F3"/>
    <w:rsid w:val="006C2F16"/>
    <w:rsid w:val="006E2948"/>
    <w:rsid w:val="006F0A31"/>
    <w:rsid w:val="006F13D9"/>
    <w:rsid w:val="006F2B2E"/>
    <w:rsid w:val="006F4C48"/>
    <w:rsid w:val="006F6664"/>
    <w:rsid w:val="00704E8F"/>
    <w:rsid w:val="00717F9C"/>
    <w:rsid w:val="00741F61"/>
    <w:rsid w:val="00750E14"/>
    <w:rsid w:val="00766E87"/>
    <w:rsid w:val="00781A5F"/>
    <w:rsid w:val="00785AC2"/>
    <w:rsid w:val="00790261"/>
    <w:rsid w:val="007902CC"/>
    <w:rsid w:val="00793268"/>
    <w:rsid w:val="00794BED"/>
    <w:rsid w:val="007C5525"/>
    <w:rsid w:val="007C5EE4"/>
    <w:rsid w:val="007D1613"/>
    <w:rsid w:val="007D1EE3"/>
    <w:rsid w:val="007E2885"/>
    <w:rsid w:val="007E638C"/>
    <w:rsid w:val="007E6B7A"/>
    <w:rsid w:val="007F68D2"/>
    <w:rsid w:val="008058D9"/>
    <w:rsid w:val="00810A73"/>
    <w:rsid w:val="00813236"/>
    <w:rsid w:val="0082103C"/>
    <w:rsid w:val="00831DAA"/>
    <w:rsid w:val="00840DF3"/>
    <w:rsid w:val="0084718D"/>
    <w:rsid w:val="008508AA"/>
    <w:rsid w:val="00851340"/>
    <w:rsid w:val="00852CAE"/>
    <w:rsid w:val="00864117"/>
    <w:rsid w:val="008647A4"/>
    <w:rsid w:val="00873DD3"/>
    <w:rsid w:val="00875329"/>
    <w:rsid w:val="008759C0"/>
    <w:rsid w:val="00891C12"/>
    <w:rsid w:val="008A63C1"/>
    <w:rsid w:val="008D28DC"/>
    <w:rsid w:val="008D5A13"/>
    <w:rsid w:val="008F0C1D"/>
    <w:rsid w:val="008F3F56"/>
    <w:rsid w:val="0092617C"/>
    <w:rsid w:val="00926B71"/>
    <w:rsid w:val="00941811"/>
    <w:rsid w:val="009434DD"/>
    <w:rsid w:val="0095059D"/>
    <w:rsid w:val="009523F1"/>
    <w:rsid w:val="00952939"/>
    <w:rsid w:val="009534B3"/>
    <w:rsid w:val="00955848"/>
    <w:rsid w:val="009709D9"/>
    <w:rsid w:val="0097132E"/>
    <w:rsid w:val="00973A7E"/>
    <w:rsid w:val="009B1D25"/>
    <w:rsid w:val="009B279C"/>
    <w:rsid w:val="009B4427"/>
    <w:rsid w:val="009C2EAF"/>
    <w:rsid w:val="009C403A"/>
    <w:rsid w:val="009C5365"/>
    <w:rsid w:val="009D0DA6"/>
    <w:rsid w:val="009D3829"/>
    <w:rsid w:val="009E1190"/>
    <w:rsid w:val="009E646F"/>
    <w:rsid w:val="009E6A52"/>
    <w:rsid w:val="00A04921"/>
    <w:rsid w:val="00A06F32"/>
    <w:rsid w:val="00A21BD6"/>
    <w:rsid w:val="00A30A47"/>
    <w:rsid w:val="00A32D19"/>
    <w:rsid w:val="00A333A6"/>
    <w:rsid w:val="00A35240"/>
    <w:rsid w:val="00A73BE4"/>
    <w:rsid w:val="00A8798C"/>
    <w:rsid w:val="00A9157D"/>
    <w:rsid w:val="00A968BD"/>
    <w:rsid w:val="00AA12FE"/>
    <w:rsid w:val="00AA6120"/>
    <w:rsid w:val="00AC4428"/>
    <w:rsid w:val="00AC62C9"/>
    <w:rsid w:val="00AD58C9"/>
    <w:rsid w:val="00AE23A3"/>
    <w:rsid w:val="00AE32D0"/>
    <w:rsid w:val="00AE439A"/>
    <w:rsid w:val="00AE6268"/>
    <w:rsid w:val="00AE6E78"/>
    <w:rsid w:val="00AF702D"/>
    <w:rsid w:val="00B00785"/>
    <w:rsid w:val="00B10910"/>
    <w:rsid w:val="00B30819"/>
    <w:rsid w:val="00B40F04"/>
    <w:rsid w:val="00B477C3"/>
    <w:rsid w:val="00B56580"/>
    <w:rsid w:val="00B641B7"/>
    <w:rsid w:val="00B7628B"/>
    <w:rsid w:val="00B849E4"/>
    <w:rsid w:val="00B9350C"/>
    <w:rsid w:val="00BA2AF9"/>
    <w:rsid w:val="00BA51DC"/>
    <w:rsid w:val="00BA5A6C"/>
    <w:rsid w:val="00BA77BB"/>
    <w:rsid w:val="00BD2B16"/>
    <w:rsid w:val="00BE257A"/>
    <w:rsid w:val="00BE7A0C"/>
    <w:rsid w:val="00C0522C"/>
    <w:rsid w:val="00C204AA"/>
    <w:rsid w:val="00C232AF"/>
    <w:rsid w:val="00C41001"/>
    <w:rsid w:val="00C45436"/>
    <w:rsid w:val="00C52B01"/>
    <w:rsid w:val="00C56D77"/>
    <w:rsid w:val="00C74127"/>
    <w:rsid w:val="00C8113E"/>
    <w:rsid w:val="00C95640"/>
    <w:rsid w:val="00C97203"/>
    <w:rsid w:val="00CA2168"/>
    <w:rsid w:val="00CA67BC"/>
    <w:rsid w:val="00CD1564"/>
    <w:rsid w:val="00CD29FA"/>
    <w:rsid w:val="00CE122A"/>
    <w:rsid w:val="00CF07FF"/>
    <w:rsid w:val="00D04307"/>
    <w:rsid w:val="00D06F91"/>
    <w:rsid w:val="00D55DBE"/>
    <w:rsid w:val="00D7196E"/>
    <w:rsid w:val="00D7493A"/>
    <w:rsid w:val="00D87149"/>
    <w:rsid w:val="00D87F6B"/>
    <w:rsid w:val="00D9262A"/>
    <w:rsid w:val="00D93D8E"/>
    <w:rsid w:val="00DA15DF"/>
    <w:rsid w:val="00DA42EC"/>
    <w:rsid w:val="00DA4C0C"/>
    <w:rsid w:val="00DB74A0"/>
    <w:rsid w:val="00DC0BA7"/>
    <w:rsid w:val="00DC0D2A"/>
    <w:rsid w:val="00DC6362"/>
    <w:rsid w:val="00DD3E27"/>
    <w:rsid w:val="00DF0E34"/>
    <w:rsid w:val="00DF45E2"/>
    <w:rsid w:val="00E00D92"/>
    <w:rsid w:val="00E01D68"/>
    <w:rsid w:val="00E121F7"/>
    <w:rsid w:val="00E15CAB"/>
    <w:rsid w:val="00E209CB"/>
    <w:rsid w:val="00E378AC"/>
    <w:rsid w:val="00E43A91"/>
    <w:rsid w:val="00E44917"/>
    <w:rsid w:val="00E55761"/>
    <w:rsid w:val="00E55914"/>
    <w:rsid w:val="00E62562"/>
    <w:rsid w:val="00E74D4C"/>
    <w:rsid w:val="00E807AB"/>
    <w:rsid w:val="00E8137B"/>
    <w:rsid w:val="00E866A5"/>
    <w:rsid w:val="00E967C3"/>
    <w:rsid w:val="00EC6C24"/>
    <w:rsid w:val="00ED2A2A"/>
    <w:rsid w:val="00ED502C"/>
    <w:rsid w:val="00ED68B4"/>
    <w:rsid w:val="00EE1470"/>
    <w:rsid w:val="00EE1CA3"/>
    <w:rsid w:val="00EE415B"/>
    <w:rsid w:val="00F00C55"/>
    <w:rsid w:val="00F102C5"/>
    <w:rsid w:val="00F15950"/>
    <w:rsid w:val="00F15B64"/>
    <w:rsid w:val="00F15C8E"/>
    <w:rsid w:val="00F25024"/>
    <w:rsid w:val="00F25052"/>
    <w:rsid w:val="00F444D1"/>
    <w:rsid w:val="00F44D0B"/>
    <w:rsid w:val="00F46647"/>
    <w:rsid w:val="00F607C0"/>
    <w:rsid w:val="00F740FA"/>
    <w:rsid w:val="00F7502A"/>
    <w:rsid w:val="00F75616"/>
    <w:rsid w:val="00F77AD7"/>
    <w:rsid w:val="00F8597C"/>
    <w:rsid w:val="00F944B5"/>
    <w:rsid w:val="00FB50A9"/>
    <w:rsid w:val="00FB6628"/>
    <w:rsid w:val="00FB6924"/>
    <w:rsid w:val="00FC5A7E"/>
    <w:rsid w:val="00FC653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uiPriority w:val="99"/>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rsid w:val="00203C11"/>
  </w:style>
  <w:style w:type="character" w:customStyle="1" w:styleId="CommentTextChar">
    <w:name w:val="Comment Text Char"/>
    <w:link w:val="CommentText"/>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styleId="Hyperlink">
    <w:name w:val="Hyperlink"/>
    <w:basedOn w:val="DefaultParagraphFont"/>
    <w:uiPriority w:val="99"/>
    <w:rsid w:val="002C2750"/>
    <w:rPr>
      <w:color w:val="0000FF"/>
      <w:u w:val="none"/>
    </w:rPr>
  </w:style>
  <w:style w:type="paragraph" w:styleId="Revision">
    <w:name w:val="Revision"/>
    <w:hidden/>
    <w:uiPriority w:val="99"/>
    <w:semiHidden/>
    <w:rsid w:val="008759C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2.xml><?xml version="1.0" encoding="utf-8"?>
<ds:datastoreItem xmlns:ds="http://schemas.openxmlformats.org/officeDocument/2006/customXml" ds:itemID="{524E73AE-A664-4E49-AE6C-2CFDF035F7F0}"/>
</file>

<file path=customXml/itemProps3.xml><?xml version="1.0" encoding="utf-8"?>
<ds:datastoreItem xmlns:ds="http://schemas.openxmlformats.org/officeDocument/2006/customXml" ds:itemID="{15B78670-E8A2-4F11-920B-C5556F2B440C}">
  <ds:schemaRefs>
    <ds:schemaRef ds:uri="http://schemas.openxmlformats.org/officeDocument/2006/bibliography"/>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1646</Words>
  <Characters>7144</Characters>
  <Application>Microsoft Office Word</Application>
  <DocSecurity>0</DocSecurity>
  <Lines>649</Lines>
  <Paragraphs>676</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ECE/TRANS/WP.29/GRSG/2022/...</vt:lpstr>
      <vt:lpstr>ECE/TRANS/WP.29/GRSG/2022/...</vt:lpstr>
      <vt:lpstr>ECE/TRANS/WP.29/GRSG/2019/34</vt:lpstr>
      <vt:lpstr>ECE/TRANS/WP.29/GRSG/2019/11</vt:lpstr>
    </vt:vector>
  </TitlesOfParts>
  <Company>MIT</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ECE/TRANS/WP.29/GRSG/2022/13</dc:title>
  <dc:subject>2200378</dc:subject>
  <dc:creator>MIT</dc:creator>
  <cp:keywords/>
  <dc:description/>
  <cp:lastModifiedBy>Edoardo Gianotti</cp:lastModifiedBy>
  <cp:revision>4</cp:revision>
  <cp:lastPrinted>2019-07-19T11:29:00Z</cp:lastPrinted>
  <dcterms:created xsi:type="dcterms:W3CDTF">2022-03-29T08:59:00Z</dcterms:created>
  <dcterms:modified xsi:type="dcterms:W3CDTF">2022-03-29T09:56:00Z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55e46f04-1151-4928-a464-2b4d83efefbb_Enabled">
    <vt:lpwstr>true</vt:lpwstr>
  </property>
  <property fmtid="{D5CDD505-2E9C-101B-9397-08002B2CF9AE}" pid="12" name="MSIP_Label_55e46f04-1151-4928-a464-2b4d83efefbb_SetDate">
    <vt:lpwstr>2021-03-08T10:05:22Z</vt:lpwstr>
  </property>
  <property fmtid="{D5CDD505-2E9C-101B-9397-08002B2CF9AE}" pid="13" name="MSIP_Label_55e46f04-1151-4928-a464-2b4d83efefbb_Method">
    <vt:lpwstr>Standard</vt:lpwstr>
  </property>
  <property fmtid="{D5CDD505-2E9C-101B-9397-08002B2CF9AE}" pid="14" name="MSIP_Label_55e46f04-1151-4928-a464-2b4d83efefbb_Name">
    <vt:lpwstr>General Information</vt:lpwstr>
  </property>
  <property fmtid="{D5CDD505-2E9C-101B-9397-08002B2CF9AE}" pid="15" name="MSIP_Label_55e46f04-1151-4928-a464-2b4d83efefbb_SiteId">
    <vt:lpwstr>52d58be5-69b4-421b-836e-b92dbe0b067d</vt:lpwstr>
  </property>
  <property fmtid="{D5CDD505-2E9C-101B-9397-08002B2CF9AE}" pid="16" name="MSIP_Label_55e46f04-1151-4928-a464-2b4d83efefbb_ActionId">
    <vt:lpwstr>8cd008b9-86c3-4f7b-908a-5033aa0602fc</vt:lpwstr>
  </property>
  <property fmtid="{D5CDD505-2E9C-101B-9397-08002B2CF9AE}" pid="17" name="MSIP_Label_55e46f04-1151-4928-a464-2b4d83efefbb_ContentBits">
    <vt:lpwstr>0</vt:lpwstr>
  </property>
</Properties>
</file>