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0E99" w14:textId="77777777" w:rsidR="00416621" w:rsidRDefault="00416621" w:rsidP="00DF0E34">
      <w:pPr>
        <w:pStyle w:val="H1G"/>
        <w:tabs>
          <w:tab w:val="clear" w:pos="851"/>
        </w:tabs>
        <w:ind w:firstLine="0"/>
        <w:rPr>
          <w:rFonts w:asciiTheme="majorBidi" w:hAnsiTheme="majorBidi" w:cstheme="majorBidi"/>
          <w:noProof/>
          <w:sz w:val="28"/>
          <w:lang w:eastAsia="fr-FR"/>
        </w:rPr>
      </w:pPr>
      <w:r w:rsidRPr="00416621">
        <w:rPr>
          <w:rFonts w:asciiTheme="majorBidi" w:hAnsiTheme="majorBidi" w:cstheme="majorBidi"/>
          <w:noProof/>
          <w:sz w:val="28"/>
          <w:lang w:eastAsia="fr-FR"/>
        </w:rPr>
        <w:t xml:space="preserve">Proposal for Supplement </w:t>
      </w:r>
      <w:r>
        <w:rPr>
          <w:rFonts w:asciiTheme="majorBidi" w:hAnsiTheme="majorBidi" w:cstheme="majorBidi"/>
          <w:noProof/>
          <w:sz w:val="28"/>
          <w:lang w:eastAsia="fr-FR"/>
        </w:rPr>
        <w:t>3</w:t>
      </w:r>
      <w:r w:rsidRPr="00416621">
        <w:rPr>
          <w:rFonts w:asciiTheme="majorBidi" w:hAnsiTheme="majorBidi" w:cstheme="majorBidi"/>
          <w:noProof/>
          <w:sz w:val="28"/>
          <w:lang w:eastAsia="fr-FR"/>
        </w:rPr>
        <w:t xml:space="preserve"> to the 03 and for Supplement </w:t>
      </w:r>
      <w:r>
        <w:rPr>
          <w:rFonts w:asciiTheme="majorBidi" w:hAnsiTheme="majorBidi" w:cstheme="majorBidi"/>
          <w:noProof/>
          <w:sz w:val="28"/>
          <w:lang w:eastAsia="fr-FR"/>
        </w:rPr>
        <w:t>2</w:t>
      </w:r>
      <w:r w:rsidRPr="00416621">
        <w:rPr>
          <w:rFonts w:asciiTheme="majorBidi" w:hAnsiTheme="majorBidi" w:cstheme="majorBidi"/>
          <w:noProof/>
          <w:sz w:val="28"/>
          <w:lang w:eastAsia="fr-FR"/>
        </w:rPr>
        <w:t xml:space="preserve"> to the 04 Series of Amendments UN Regulation No. 67 (LPG vehicles)</w:t>
      </w:r>
    </w:p>
    <w:p w14:paraId="2070FB91" w14:textId="2776EB0F" w:rsidR="00DF0E34" w:rsidRPr="00194B9D" w:rsidRDefault="00DF0E34" w:rsidP="00416621">
      <w:pPr>
        <w:pStyle w:val="H1G"/>
        <w:tabs>
          <w:tab w:val="clear" w:pos="851"/>
        </w:tabs>
        <w:ind w:firstLine="567"/>
        <w:jc w:val="center"/>
        <w:rPr>
          <w:rFonts w:asciiTheme="majorBidi" w:hAnsiTheme="majorBidi" w:cstheme="majorBidi"/>
          <w:noProof/>
          <w:vertAlign w:val="superscript"/>
        </w:rPr>
      </w:pPr>
      <w:r w:rsidRPr="00194B9D">
        <w:rPr>
          <w:rFonts w:asciiTheme="majorBidi" w:hAnsiTheme="majorBidi" w:cstheme="majorBidi"/>
          <w:noProof/>
        </w:rPr>
        <w:t xml:space="preserve">Submitted by the experts of </w:t>
      </w:r>
      <w:r w:rsidR="00F03B11">
        <w:rPr>
          <w:rFonts w:asciiTheme="majorBidi" w:hAnsiTheme="majorBidi" w:cstheme="majorBidi"/>
          <w:noProof/>
        </w:rPr>
        <w:t>Liquid Gas Europe</w:t>
      </w:r>
    </w:p>
    <w:p w14:paraId="73E6CF4F" w14:textId="4E3DE3F8" w:rsidR="00E46099" w:rsidRPr="00194B9D" w:rsidRDefault="00881632" w:rsidP="000A02AC">
      <w:pPr>
        <w:tabs>
          <w:tab w:val="left" w:pos="8505"/>
        </w:tabs>
        <w:ind w:left="1134" w:right="1134" w:firstLine="567"/>
        <w:jc w:val="both"/>
        <w:rPr>
          <w:rFonts w:asciiTheme="majorBidi" w:hAnsiTheme="majorBidi" w:cstheme="majorBidi"/>
          <w:noProof/>
        </w:rPr>
      </w:pPr>
      <w:r w:rsidRPr="00194B9D">
        <w:rPr>
          <w:rFonts w:asciiTheme="majorBidi" w:hAnsiTheme="majorBidi" w:cstheme="majorBidi"/>
          <w:noProof/>
        </w:rPr>
        <w:t xml:space="preserve">The text reproduced below was prepared by the expert from </w:t>
      </w:r>
      <w:r w:rsidR="00F03B11">
        <w:rPr>
          <w:rFonts w:asciiTheme="majorBidi" w:hAnsiTheme="majorBidi" w:cstheme="majorBidi"/>
          <w:noProof/>
        </w:rPr>
        <w:t>Liquid Gas Europe</w:t>
      </w:r>
      <w:r w:rsidR="00137B33" w:rsidRPr="00194B9D">
        <w:rPr>
          <w:rFonts w:asciiTheme="majorBidi" w:hAnsiTheme="majorBidi" w:cstheme="majorBidi"/>
          <w:noProof/>
        </w:rPr>
        <w:t xml:space="preserve">. </w:t>
      </w:r>
      <w:r w:rsidR="00A72549" w:rsidRPr="00194B9D">
        <w:rPr>
          <w:rFonts w:asciiTheme="majorBidi" w:hAnsiTheme="majorBidi" w:cstheme="majorBidi"/>
          <w:noProof/>
        </w:rPr>
        <w:t>T</w:t>
      </w:r>
      <w:r w:rsidRPr="00194B9D">
        <w:rPr>
          <w:rFonts w:asciiTheme="majorBidi" w:hAnsiTheme="majorBidi" w:cstheme="majorBidi"/>
          <w:noProof/>
        </w:rPr>
        <w:t xml:space="preserve">he modifications to the current text of the regulation are marked in </w:t>
      </w:r>
      <w:r w:rsidR="00F608E5" w:rsidRPr="00194B9D">
        <w:rPr>
          <w:rFonts w:asciiTheme="majorBidi" w:hAnsiTheme="majorBidi" w:cstheme="majorBidi"/>
          <w:noProof/>
        </w:rPr>
        <w:t xml:space="preserve">bold </w:t>
      </w:r>
      <w:r w:rsidRPr="00194B9D">
        <w:rPr>
          <w:rFonts w:asciiTheme="majorBidi" w:hAnsiTheme="majorBidi" w:cstheme="majorBidi"/>
          <w:noProof/>
        </w:rPr>
        <w:t>characters</w:t>
      </w:r>
      <w:r w:rsidR="00244B06" w:rsidRPr="00194B9D">
        <w:rPr>
          <w:rFonts w:asciiTheme="majorBidi" w:hAnsiTheme="majorBidi" w:cstheme="majorBidi"/>
          <w:noProof/>
        </w:rPr>
        <w:t xml:space="preserve"> and strikethrough for deleted characters</w:t>
      </w:r>
      <w:r w:rsidRPr="00194B9D">
        <w:rPr>
          <w:rFonts w:asciiTheme="majorBidi" w:hAnsiTheme="majorBidi" w:cstheme="majorBidi"/>
          <w:noProof/>
        </w:rPr>
        <w:t>.</w:t>
      </w:r>
    </w:p>
    <w:p w14:paraId="787DF1D6" w14:textId="070658F5" w:rsidR="00E46099" w:rsidRPr="00194B9D" w:rsidRDefault="00881632" w:rsidP="00C26092">
      <w:pPr>
        <w:pStyle w:val="ListParagraph"/>
        <w:numPr>
          <w:ilvl w:val="0"/>
          <w:numId w:val="33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Proposal</w:t>
      </w:r>
    </w:p>
    <w:p w14:paraId="74BB1BE8" w14:textId="77777777" w:rsidR="00A35EB9" w:rsidRDefault="00A35EB9" w:rsidP="00416621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019F6B6A" w14:textId="77777777" w:rsidR="00A35EB9" w:rsidRDefault="00A35EB9" w:rsidP="00A35EB9">
      <w:pPr>
        <w:pStyle w:val="Default0"/>
        <w:ind w:left="1701" w:hanging="1134"/>
        <w:rPr>
          <w:iCs/>
          <w:noProof/>
          <w:sz w:val="20"/>
          <w:szCs w:val="20"/>
          <w:lang w:val="en-GB"/>
        </w:rPr>
      </w:pPr>
      <w:r w:rsidRPr="00194B9D">
        <w:rPr>
          <w:i/>
          <w:noProof/>
          <w:sz w:val="20"/>
          <w:szCs w:val="20"/>
          <w:lang w:val="en-GB"/>
        </w:rPr>
        <w:t>Paragraph</w:t>
      </w:r>
      <w:r>
        <w:rPr>
          <w:i/>
          <w:noProof/>
          <w:sz w:val="20"/>
          <w:szCs w:val="20"/>
          <w:lang w:val="en-GB"/>
        </w:rPr>
        <w:t>s</w:t>
      </w:r>
      <w:r w:rsidRPr="00194B9D">
        <w:rPr>
          <w:i/>
          <w:noProof/>
          <w:sz w:val="20"/>
          <w:szCs w:val="20"/>
          <w:lang w:val="en-GB"/>
        </w:rPr>
        <w:t xml:space="preserve"> </w:t>
      </w:r>
      <w:r>
        <w:rPr>
          <w:i/>
          <w:noProof/>
          <w:sz w:val="20"/>
          <w:szCs w:val="20"/>
          <w:lang w:val="en-GB"/>
        </w:rPr>
        <w:t>6.17.2.1. and 6.17.2.2</w:t>
      </w:r>
      <w:r w:rsidRPr="00194B9D">
        <w:rPr>
          <w:i/>
          <w:noProof/>
          <w:sz w:val="20"/>
          <w:szCs w:val="20"/>
          <w:lang w:val="en-GB"/>
        </w:rPr>
        <w:t>.,</w:t>
      </w:r>
      <w:r w:rsidRPr="00194B9D">
        <w:rPr>
          <w:iCs/>
          <w:noProof/>
          <w:sz w:val="20"/>
          <w:szCs w:val="20"/>
          <w:lang w:val="en-GB"/>
        </w:rPr>
        <w:t xml:space="preserve"> amend to read:</w:t>
      </w:r>
    </w:p>
    <w:p w14:paraId="5BE880E5" w14:textId="77777777" w:rsidR="00A35EB9" w:rsidRPr="00194B9D" w:rsidRDefault="00A35EB9" w:rsidP="00A35EB9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01A5C4A9" w14:textId="5208CBDB" w:rsidR="00A35EB9" w:rsidRPr="00A35EB9" w:rsidRDefault="00A35EB9" w:rsidP="00A35EB9">
      <w:pPr>
        <w:pStyle w:val="Default0"/>
        <w:ind w:left="1701" w:hanging="1134"/>
        <w:rPr>
          <w:b/>
          <w:noProof/>
          <w:color w:val="auto"/>
          <w:sz w:val="20"/>
          <w:szCs w:val="20"/>
          <w:lang w:val="en-GB"/>
        </w:rPr>
      </w:pPr>
      <w:r>
        <w:rPr>
          <w:b/>
          <w:noProof/>
          <w:color w:val="auto"/>
          <w:sz w:val="20"/>
          <w:szCs w:val="20"/>
          <w:lang w:val="en-GB"/>
        </w:rPr>
        <w:t>“</w:t>
      </w:r>
      <w:r w:rsidRPr="00A35EB9">
        <w:rPr>
          <w:noProof/>
          <w:color w:val="auto"/>
          <w:sz w:val="20"/>
          <w:szCs w:val="20"/>
          <w:lang w:val="en-GB"/>
        </w:rPr>
        <w:t>6.17.2.1.</w:t>
      </w:r>
      <w:r w:rsidRPr="00A35EB9">
        <w:rPr>
          <w:noProof/>
          <w:color w:val="auto"/>
          <w:sz w:val="20"/>
          <w:szCs w:val="20"/>
          <w:lang w:val="en-GB"/>
        </w:rPr>
        <w:tab/>
        <w:t xml:space="preserve">The electrical connections inside the boot and passengers compartment shall comply </w:t>
      </w:r>
      <w:r w:rsidRPr="00487047">
        <w:rPr>
          <w:noProof/>
          <w:color w:val="FF0000"/>
          <w:sz w:val="20"/>
          <w:szCs w:val="20"/>
          <w:lang w:val="en-GB"/>
        </w:rPr>
        <w:t>with</w:t>
      </w:r>
      <w:r w:rsidR="004664F7" w:rsidRPr="00487047">
        <w:rPr>
          <w:noProof/>
          <w:color w:val="FF0000"/>
          <w:sz w:val="20"/>
          <w:szCs w:val="20"/>
          <w:lang w:val="en-GB"/>
        </w:rPr>
        <w:t xml:space="preserve"> at least</w:t>
      </w:r>
      <w:r w:rsidRPr="00487047">
        <w:rPr>
          <w:noProof/>
          <w:color w:val="FF0000"/>
          <w:sz w:val="20"/>
          <w:szCs w:val="20"/>
          <w:lang w:val="en-GB"/>
        </w:rPr>
        <w:t xml:space="preserve"> </w:t>
      </w:r>
      <w:r w:rsidR="00FA54C6" w:rsidRPr="00FA54C6">
        <w:rPr>
          <w:noProof/>
          <w:color w:val="FF0000"/>
          <w:sz w:val="20"/>
          <w:szCs w:val="20"/>
          <w:lang w:val="en-GB"/>
        </w:rPr>
        <w:t>the</w:t>
      </w:r>
      <w:r w:rsidR="00FA54C6">
        <w:rPr>
          <w:noProof/>
          <w:color w:val="auto"/>
          <w:sz w:val="20"/>
          <w:szCs w:val="20"/>
          <w:lang w:val="en-GB"/>
        </w:rPr>
        <w:t xml:space="preserve"> </w:t>
      </w:r>
      <w:r w:rsidR="00FA54C6" w:rsidRPr="00FA54C6">
        <w:rPr>
          <w:noProof/>
          <w:color w:val="FF0000"/>
          <w:sz w:val="20"/>
          <w:szCs w:val="20"/>
          <w:lang w:val="en-GB"/>
        </w:rPr>
        <w:t>minimum</w:t>
      </w:r>
      <w:r w:rsidR="00FA54C6">
        <w:rPr>
          <w:noProof/>
          <w:color w:val="auto"/>
          <w:sz w:val="20"/>
          <w:szCs w:val="20"/>
          <w:lang w:val="en-GB"/>
        </w:rPr>
        <w:t xml:space="preserve"> </w:t>
      </w:r>
      <w:r w:rsidRPr="00A35EB9">
        <w:rPr>
          <w:noProof/>
          <w:color w:val="auto"/>
          <w:sz w:val="20"/>
          <w:szCs w:val="20"/>
          <w:lang w:val="en-GB"/>
        </w:rPr>
        <w:t>protection degree class IP 40 according to IEC Standard 60529-1989+A1:1999</w:t>
      </w:r>
      <w:r w:rsidRPr="00ED3D15">
        <w:rPr>
          <w:b/>
          <w:noProof/>
          <w:color w:val="auto"/>
          <w:sz w:val="20"/>
          <w:szCs w:val="20"/>
          <w:lang w:val="en-GB"/>
        </w:rPr>
        <w:t>+</w:t>
      </w:r>
      <w:r w:rsidRPr="00A35EB9">
        <w:rPr>
          <w:b/>
          <w:noProof/>
          <w:color w:val="auto"/>
          <w:sz w:val="20"/>
          <w:szCs w:val="20"/>
          <w:lang w:val="en-GB"/>
        </w:rPr>
        <w:t xml:space="preserve">A2:2013 or IP40 according to ISO20653:2013. </w:t>
      </w:r>
    </w:p>
    <w:p w14:paraId="4F7642D0" w14:textId="77777777" w:rsidR="00A35EB9" w:rsidRPr="00A35EB9" w:rsidRDefault="00A35EB9" w:rsidP="00A35EB9">
      <w:pPr>
        <w:pStyle w:val="Default0"/>
        <w:ind w:left="1701" w:hanging="1134"/>
        <w:rPr>
          <w:b/>
          <w:noProof/>
          <w:color w:val="auto"/>
          <w:sz w:val="20"/>
          <w:szCs w:val="20"/>
          <w:lang w:val="en-GB"/>
        </w:rPr>
      </w:pPr>
    </w:p>
    <w:p w14:paraId="06EE00FB" w14:textId="1D58FC9E" w:rsidR="00A35EB9" w:rsidRPr="00194B9D" w:rsidRDefault="00A35EB9" w:rsidP="00A35EB9">
      <w:pPr>
        <w:pStyle w:val="Default0"/>
        <w:ind w:left="1701" w:hanging="1134"/>
        <w:rPr>
          <w:b/>
          <w:noProof/>
          <w:color w:val="auto"/>
          <w:sz w:val="20"/>
          <w:szCs w:val="20"/>
          <w:lang w:val="en-GB"/>
        </w:rPr>
      </w:pPr>
      <w:r w:rsidRPr="00A35EB9">
        <w:rPr>
          <w:noProof/>
          <w:color w:val="auto"/>
          <w:sz w:val="20"/>
          <w:szCs w:val="20"/>
          <w:lang w:val="en-GB"/>
        </w:rPr>
        <w:t>6.17.2.2.</w:t>
      </w:r>
      <w:r w:rsidRPr="00A35EB9">
        <w:rPr>
          <w:noProof/>
          <w:color w:val="auto"/>
          <w:sz w:val="20"/>
          <w:szCs w:val="20"/>
          <w:lang w:val="en-GB"/>
        </w:rPr>
        <w:tab/>
        <w:t xml:space="preserve">All other electrical connections shall comply </w:t>
      </w:r>
      <w:r w:rsidR="00487047" w:rsidRPr="00487047">
        <w:rPr>
          <w:noProof/>
          <w:color w:val="FF0000"/>
          <w:sz w:val="20"/>
          <w:szCs w:val="20"/>
          <w:lang w:val="en-GB"/>
        </w:rPr>
        <w:t>with at least</w:t>
      </w:r>
      <w:r w:rsidRPr="00A35EB9">
        <w:rPr>
          <w:noProof/>
          <w:color w:val="auto"/>
          <w:sz w:val="20"/>
          <w:szCs w:val="20"/>
          <w:lang w:val="en-GB"/>
        </w:rPr>
        <w:t xml:space="preserve"> </w:t>
      </w:r>
      <w:r w:rsidR="00FA54C6" w:rsidRPr="00FA54C6">
        <w:rPr>
          <w:noProof/>
          <w:color w:val="FF0000"/>
          <w:sz w:val="20"/>
          <w:szCs w:val="20"/>
          <w:lang w:val="en-GB"/>
        </w:rPr>
        <w:t xml:space="preserve">the minimum </w:t>
      </w:r>
      <w:r w:rsidRPr="00A35EB9">
        <w:rPr>
          <w:noProof/>
          <w:color w:val="auto"/>
          <w:sz w:val="20"/>
          <w:szCs w:val="20"/>
          <w:lang w:val="en-GB"/>
        </w:rPr>
        <w:t>protection degree class IP 54 according to IEC Standard 60529-1989+A1:1999</w:t>
      </w:r>
      <w:r w:rsidRPr="00ED3D15">
        <w:rPr>
          <w:b/>
          <w:noProof/>
          <w:color w:val="auto"/>
          <w:sz w:val="20"/>
          <w:szCs w:val="20"/>
          <w:lang w:val="en-GB"/>
        </w:rPr>
        <w:t>+</w:t>
      </w:r>
      <w:r w:rsidRPr="00A35EB9">
        <w:rPr>
          <w:b/>
          <w:noProof/>
          <w:color w:val="auto"/>
          <w:sz w:val="20"/>
          <w:szCs w:val="20"/>
          <w:lang w:val="en-GB"/>
        </w:rPr>
        <w:t xml:space="preserve">A2:2013 or IP5K4 according to ISO20653:2013. </w:t>
      </w:r>
    </w:p>
    <w:p w14:paraId="73A84CD6" w14:textId="77777777" w:rsidR="00A35EB9" w:rsidRDefault="00A35EB9" w:rsidP="00416621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2E8F09E4" w14:textId="77777777" w:rsidR="00416621" w:rsidRPr="00416621" w:rsidRDefault="00416621" w:rsidP="00416621">
      <w:pPr>
        <w:pStyle w:val="Default0"/>
        <w:ind w:left="1701" w:hanging="1134"/>
        <w:rPr>
          <w:noProof/>
          <w:sz w:val="20"/>
          <w:szCs w:val="20"/>
          <w:lang w:val="en-GB"/>
        </w:rPr>
      </w:pPr>
      <w:r w:rsidRPr="00416621">
        <w:rPr>
          <w:i/>
          <w:noProof/>
          <w:sz w:val="20"/>
          <w:szCs w:val="20"/>
          <w:lang w:val="en-GB"/>
        </w:rPr>
        <w:t xml:space="preserve">Paragraph 6.17.10.8. introduced by ECE/TRANS/WP.29/2019/94 (as amended by paragraph 70 of the report ECE/TRANS/WP.29/1149), </w:t>
      </w:r>
      <w:r w:rsidRPr="00416621">
        <w:rPr>
          <w:noProof/>
          <w:sz w:val="20"/>
          <w:szCs w:val="20"/>
          <w:lang w:val="en-GB"/>
        </w:rPr>
        <w:t>renumber as paragraph 6.17.10.9</w:t>
      </w:r>
    </w:p>
    <w:p w14:paraId="407B49E4" w14:textId="77777777" w:rsidR="00416621" w:rsidRPr="00416621" w:rsidRDefault="00416621" w:rsidP="00416621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146CE0CF" w14:textId="77777777" w:rsidR="00416621" w:rsidRPr="00416621" w:rsidRDefault="00416621" w:rsidP="00416621">
      <w:pPr>
        <w:pStyle w:val="Default0"/>
        <w:ind w:left="1701" w:hanging="1134"/>
        <w:rPr>
          <w:noProof/>
          <w:sz w:val="20"/>
          <w:szCs w:val="20"/>
          <w:lang w:val="en-GB"/>
        </w:rPr>
      </w:pPr>
      <w:r w:rsidRPr="00416621">
        <w:rPr>
          <w:noProof/>
          <w:sz w:val="20"/>
          <w:szCs w:val="20"/>
          <w:lang w:val="en-GB"/>
        </w:rPr>
        <w:t>“6.17.10.</w:t>
      </w:r>
      <w:r w:rsidRPr="00416621">
        <w:rPr>
          <w:strike/>
          <w:noProof/>
          <w:sz w:val="20"/>
          <w:szCs w:val="20"/>
          <w:lang w:val="en-GB"/>
        </w:rPr>
        <w:t>8</w:t>
      </w:r>
      <w:r w:rsidRPr="00416621">
        <w:rPr>
          <w:b/>
          <w:noProof/>
          <w:sz w:val="20"/>
          <w:szCs w:val="20"/>
          <w:lang w:val="en-GB"/>
        </w:rPr>
        <w:t>9</w:t>
      </w:r>
      <w:r w:rsidRPr="00416621">
        <w:rPr>
          <w:noProof/>
          <w:sz w:val="20"/>
          <w:szCs w:val="20"/>
          <w:lang w:val="en-GB"/>
        </w:rPr>
        <w:t>.</w:t>
      </w:r>
      <w:r w:rsidRPr="00416621">
        <w:rPr>
          <w:noProof/>
          <w:sz w:val="20"/>
          <w:szCs w:val="20"/>
          <w:lang w:val="en-GB"/>
        </w:rPr>
        <w:tab/>
        <w:t>For vehicles of category M1, the filling unit shall not be located below the body of the vehicle and shall respect the height provisions of paragraph 17.4.5.”</w:t>
      </w:r>
    </w:p>
    <w:p w14:paraId="0661C66A" w14:textId="77777777" w:rsidR="00416621" w:rsidRDefault="00416621" w:rsidP="00416621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1604E53E" w14:textId="4A569EBF" w:rsidR="00E46099" w:rsidRPr="00194B9D" w:rsidRDefault="00881632" w:rsidP="00C26092">
      <w:pPr>
        <w:pStyle w:val="ListParagraph"/>
        <w:numPr>
          <w:ilvl w:val="0"/>
          <w:numId w:val="33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Justification</w:t>
      </w:r>
    </w:p>
    <w:p w14:paraId="6A329925" w14:textId="513D5B6D" w:rsidR="00465801" w:rsidRDefault="00465801" w:rsidP="00316C48">
      <w:pPr>
        <w:pStyle w:val="SingleTxtG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Modifications to </w:t>
      </w:r>
      <w:r w:rsidR="009368C6">
        <w:rPr>
          <w:rFonts w:asciiTheme="majorBidi" w:hAnsiTheme="majorBidi" w:cstheme="majorBidi"/>
          <w:noProof/>
        </w:rPr>
        <w:t>UNECE Regulation no. 67</w:t>
      </w:r>
      <w:r w:rsidR="00252191">
        <w:rPr>
          <w:rFonts w:asciiTheme="majorBidi" w:hAnsiTheme="majorBidi" w:cstheme="majorBidi"/>
          <w:noProof/>
        </w:rPr>
        <w:t xml:space="preserve"> consist</w:t>
      </w:r>
      <w:r>
        <w:rPr>
          <w:rFonts w:asciiTheme="majorBidi" w:hAnsiTheme="majorBidi" w:cstheme="majorBidi"/>
          <w:noProof/>
        </w:rPr>
        <w:t xml:space="preserve"> of 2 parts.</w:t>
      </w:r>
    </w:p>
    <w:p w14:paraId="25FF3215" w14:textId="77777777" w:rsidR="00B1124A" w:rsidRDefault="00A35EB9" w:rsidP="00316C48">
      <w:pPr>
        <w:pStyle w:val="SingleTxtG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The first aims to align the requirements of IP </w:t>
      </w:r>
      <w:r w:rsidR="00531009">
        <w:rPr>
          <w:rFonts w:asciiTheme="majorBidi" w:hAnsiTheme="majorBidi" w:cstheme="majorBidi"/>
          <w:noProof/>
        </w:rPr>
        <w:t>protection grades</w:t>
      </w:r>
      <w:r>
        <w:rPr>
          <w:rFonts w:asciiTheme="majorBidi" w:hAnsiTheme="majorBidi" w:cstheme="majorBidi"/>
          <w:noProof/>
        </w:rPr>
        <w:t xml:space="preserve"> to latest IEC standard and recognise ISO 20653 as </w:t>
      </w:r>
      <w:r w:rsidR="00531009">
        <w:rPr>
          <w:rFonts w:asciiTheme="majorBidi" w:hAnsiTheme="majorBidi" w:cstheme="majorBidi"/>
          <w:noProof/>
        </w:rPr>
        <w:t xml:space="preserve">a </w:t>
      </w:r>
      <w:r>
        <w:rPr>
          <w:rFonts w:asciiTheme="majorBidi" w:hAnsiTheme="majorBidi" w:cstheme="majorBidi"/>
          <w:noProof/>
        </w:rPr>
        <w:t>valid alternative</w:t>
      </w:r>
      <w:r w:rsidR="00531009">
        <w:rPr>
          <w:rFonts w:asciiTheme="majorBidi" w:hAnsiTheme="majorBidi" w:cstheme="majorBidi"/>
          <w:noProof/>
        </w:rPr>
        <w:t xml:space="preserve">, which is more </w:t>
      </w:r>
      <w:r w:rsidR="00B1124A">
        <w:rPr>
          <w:rFonts w:asciiTheme="majorBidi" w:hAnsiTheme="majorBidi" w:cstheme="majorBidi"/>
          <w:noProof/>
        </w:rPr>
        <w:t xml:space="preserve">appropriate and </w:t>
      </w:r>
      <w:r w:rsidR="00531009">
        <w:rPr>
          <w:rFonts w:asciiTheme="majorBidi" w:hAnsiTheme="majorBidi" w:cstheme="majorBidi"/>
          <w:noProof/>
        </w:rPr>
        <w:t>focused on automotive applications</w:t>
      </w:r>
      <w:r>
        <w:rPr>
          <w:rFonts w:asciiTheme="majorBidi" w:hAnsiTheme="majorBidi" w:cstheme="majorBidi"/>
          <w:noProof/>
        </w:rPr>
        <w:t xml:space="preserve">. </w:t>
      </w:r>
    </w:p>
    <w:p w14:paraId="4A10B8FD" w14:textId="0F3FA3B3" w:rsidR="00531009" w:rsidRDefault="00A35EB9" w:rsidP="00316C48">
      <w:pPr>
        <w:pStyle w:val="SingleTxtG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In addition, all IP classes with protection grades </w:t>
      </w:r>
      <w:r w:rsidR="00B1124A">
        <w:rPr>
          <w:rFonts w:asciiTheme="majorBidi" w:hAnsiTheme="majorBidi" w:cstheme="majorBidi"/>
          <w:noProof/>
        </w:rPr>
        <w:t xml:space="preserve">higher than those specified by the regulation </w:t>
      </w:r>
      <w:r>
        <w:rPr>
          <w:rFonts w:asciiTheme="majorBidi" w:hAnsiTheme="majorBidi" w:cstheme="majorBidi"/>
          <w:noProof/>
        </w:rPr>
        <w:t>can be accepted to comply the requirements</w:t>
      </w:r>
      <w:r w:rsidR="00531009">
        <w:rPr>
          <w:rFonts w:asciiTheme="majorBidi" w:hAnsiTheme="majorBidi" w:cstheme="majorBidi"/>
          <w:noProof/>
        </w:rPr>
        <w:t xml:space="preserve">, </w:t>
      </w:r>
      <w:r w:rsidR="00B1124A">
        <w:rPr>
          <w:rFonts w:asciiTheme="majorBidi" w:hAnsiTheme="majorBidi" w:cstheme="majorBidi"/>
          <w:noProof/>
        </w:rPr>
        <w:t xml:space="preserve">including </w:t>
      </w:r>
      <w:r w:rsidR="0048226E">
        <w:rPr>
          <w:rFonts w:asciiTheme="majorBidi" w:hAnsiTheme="majorBidi" w:cstheme="majorBidi"/>
          <w:noProof/>
        </w:rPr>
        <w:t>the following grades not automatically recognised by IEC and ISO standards</w:t>
      </w:r>
      <w:r w:rsidR="00B1124A">
        <w:rPr>
          <w:rFonts w:asciiTheme="majorBidi" w:hAnsiTheme="majorBidi" w:cstheme="majorBidi"/>
          <w:noProof/>
        </w:rPr>
        <w:t>:</w:t>
      </w:r>
    </w:p>
    <w:p w14:paraId="4A967CAA" w14:textId="3A478C7B" w:rsidR="00531009" w:rsidRDefault="00531009" w:rsidP="00B1124A">
      <w:pPr>
        <w:pStyle w:val="SingleTxtG"/>
        <w:numPr>
          <w:ilvl w:val="0"/>
          <w:numId w:val="36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Water protection grade 7: temporary immersion</w:t>
      </w:r>
    </w:p>
    <w:p w14:paraId="23FEAB9C" w14:textId="6094F75B" w:rsidR="00531009" w:rsidRDefault="00531009" w:rsidP="00B1124A">
      <w:pPr>
        <w:pStyle w:val="SingleTxtG"/>
        <w:numPr>
          <w:ilvl w:val="0"/>
          <w:numId w:val="36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Water protection grade 8: continuos immersion</w:t>
      </w:r>
    </w:p>
    <w:p w14:paraId="7AD200DC" w14:textId="6ADC719B" w:rsidR="00531009" w:rsidRPr="00B1124A" w:rsidRDefault="00531009" w:rsidP="005A40C1">
      <w:pPr>
        <w:pStyle w:val="SingleTxtG"/>
        <w:numPr>
          <w:ilvl w:val="0"/>
          <w:numId w:val="36"/>
        </w:numPr>
        <w:rPr>
          <w:rFonts w:asciiTheme="majorBidi" w:hAnsiTheme="majorBidi" w:cstheme="majorBidi"/>
          <w:noProof/>
        </w:rPr>
      </w:pPr>
      <w:r w:rsidRPr="00B1124A">
        <w:rPr>
          <w:rFonts w:asciiTheme="majorBidi" w:hAnsiTheme="majorBidi" w:cstheme="majorBidi"/>
          <w:noProof/>
        </w:rPr>
        <w:t xml:space="preserve">Water protection grade 9K: </w:t>
      </w:r>
      <w:r w:rsidR="00B1124A" w:rsidRPr="00B1124A">
        <w:rPr>
          <w:rFonts w:asciiTheme="majorBidi" w:hAnsiTheme="majorBidi" w:cstheme="majorBidi"/>
          <w:noProof/>
        </w:rPr>
        <w:t>water during high-pressure/steam-jet cleaning</w:t>
      </w:r>
    </w:p>
    <w:p w14:paraId="01B886B8" w14:textId="0889735E" w:rsidR="00416621" w:rsidRDefault="0048226E" w:rsidP="00B1124A">
      <w:pPr>
        <w:pStyle w:val="SingleTxtG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Automotive connectors are usually certified according to one of the abobe mentioned grades and have better performances than</w:t>
      </w:r>
      <w:r w:rsidR="00B1124A">
        <w:rPr>
          <w:rFonts w:asciiTheme="majorBidi" w:hAnsiTheme="majorBidi" w:cstheme="majorBidi"/>
          <w:noProof/>
        </w:rPr>
        <w:t xml:space="preserve"> grade 4</w:t>
      </w:r>
      <w:r>
        <w:rPr>
          <w:rFonts w:asciiTheme="majorBidi" w:hAnsiTheme="majorBidi" w:cstheme="majorBidi"/>
          <w:noProof/>
        </w:rPr>
        <w:t xml:space="preserve"> which is ensuring the protection to</w:t>
      </w:r>
      <w:r w:rsidR="00B1124A">
        <w:rPr>
          <w:rFonts w:asciiTheme="majorBidi" w:hAnsiTheme="majorBidi" w:cstheme="majorBidi"/>
          <w:noProof/>
        </w:rPr>
        <w:t xml:space="preserve"> splash water</w:t>
      </w:r>
      <w:r>
        <w:rPr>
          <w:rFonts w:asciiTheme="majorBidi" w:hAnsiTheme="majorBidi" w:cstheme="majorBidi"/>
          <w:noProof/>
        </w:rPr>
        <w:t xml:space="preserve"> only</w:t>
      </w:r>
      <w:r w:rsidR="00B1124A">
        <w:rPr>
          <w:rFonts w:asciiTheme="majorBidi" w:hAnsiTheme="majorBidi" w:cstheme="majorBidi"/>
          <w:noProof/>
        </w:rPr>
        <w:t>.</w:t>
      </w:r>
    </w:p>
    <w:p w14:paraId="0AF0EA58" w14:textId="53DA8176" w:rsidR="00416621" w:rsidRDefault="00B1124A" w:rsidP="00316C48">
      <w:pPr>
        <w:pStyle w:val="SingleTxtG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The last part aims to correct </w:t>
      </w:r>
      <w:r w:rsidR="00416621" w:rsidRPr="00416621">
        <w:rPr>
          <w:rFonts w:asciiTheme="majorBidi" w:hAnsiTheme="majorBidi" w:cstheme="majorBidi"/>
          <w:noProof/>
        </w:rPr>
        <w:t>the overlapping of the same paragraph number 6.17.10.8 introduced by ECE/TRANS/WP.29/2019/94 (as amended by paragraph 70 of the report ECE/TRANS/WP.29/1149) and by ECE/TRANS/WP.29/2021/20</w:t>
      </w:r>
      <w:r>
        <w:rPr>
          <w:rFonts w:asciiTheme="majorBidi" w:hAnsiTheme="majorBidi" w:cstheme="majorBidi"/>
          <w:noProof/>
        </w:rPr>
        <w:t>. The solution proposed r</w:t>
      </w:r>
      <w:r w:rsidR="00416621" w:rsidRPr="00416621">
        <w:rPr>
          <w:rFonts w:asciiTheme="majorBidi" w:hAnsiTheme="majorBidi" w:cstheme="majorBidi"/>
          <w:noProof/>
        </w:rPr>
        <w:t>enumber</w:t>
      </w:r>
      <w:r>
        <w:rPr>
          <w:rFonts w:asciiTheme="majorBidi" w:hAnsiTheme="majorBidi" w:cstheme="majorBidi"/>
          <w:noProof/>
        </w:rPr>
        <w:t>s</w:t>
      </w:r>
      <w:r w:rsidR="00416621" w:rsidRPr="00416621">
        <w:rPr>
          <w:rFonts w:asciiTheme="majorBidi" w:hAnsiTheme="majorBidi" w:cstheme="majorBidi"/>
          <w:noProof/>
        </w:rPr>
        <w:t xml:space="preserve"> the first as par. 6.17.10.9.</w:t>
      </w:r>
    </w:p>
    <w:p w14:paraId="4AE94591" w14:textId="36BE24B4" w:rsidR="00764095" w:rsidRPr="00194B9D" w:rsidRDefault="00764095" w:rsidP="00764095">
      <w:pPr>
        <w:pStyle w:val="Default0"/>
        <w:jc w:val="center"/>
        <w:rPr>
          <w:b/>
          <w:bCs/>
          <w:noProof/>
          <w:sz w:val="20"/>
          <w:szCs w:val="20"/>
          <w:lang w:val="en-GB"/>
        </w:rPr>
      </w:pPr>
      <w:r w:rsidRPr="00194B9D">
        <w:rPr>
          <w:b/>
          <w:bCs/>
          <w:noProof/>
          <w:sz w:val="20"/>
          <w:szCs w:val="20"/>
          <w:lang w:val="en-GB"/>
        </w:rPr>
        <w:t>________________</w:t>
      </w:r>
    </w:p>
    <w:sectPr w:rsidR="00764095" w:rsidRPr="00194B9D" w:rsidSect="004E2854">
      <w:footerReference w:type="default" r:id="rId11"/>
      <w:headerReference w:type="first" r:id="rId12"/>
      <w:footnotePr>
        <w:numFmt w:val="chicago"/>
      </w:footnotePr>
      <w:pgSz w:w="11906" w:h="16838" w:code="9"/>
      <w:pgMar w:top="1418" w:right="1134" w:bottom="709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48CD" w14:textId="77777777" w:rsidR="009D7377" w:rsidRDefault="009D7377" w:rsidP="00203C11">
      <w:pPr>
        <w:spacing w:line="240" w:lineRule="auto"/>
      </w:pPr>
      <w:r>
        <w:separator/>
      </w:r>
    </w:p>
  </w:endnote>
  <w:endnote w:type="continuationSeparator" w:id="0">
    <w:p w14:paraId="02E1E345" w14:textId="77777777" w:rsidR="009D7377" w:rsidRDefault="009D7377" w:rsidP="00203C11">
      <w:pPr>
        <w:spacing w:line="240" w:lineRule="auto"/>
      </w:pPr>
      <w:r>
        <w:continuationSeparator/>
      </w:r>
    </w:p>
  </w:endnote>
  <w:endnote w:type="continuationNotice" w:id="1">
    <w:p w14:paraId="4108B907" w14:textId="77777777" w:rsidR="009D7377" w:rsidRDefault="009D73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3535" w14:textId="0D7F8876" w:rsidR="00226884" w:rsidRDefault="002268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A2C4F2" wp14:editId="3FEC533C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" name="MSIPCMbbce4f3996d15126cd3c444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F529C1" w14:textId="19F7D42E" w:rsidR="00226884" w:rsidRPr="00226884" w:rsidRDefault="00226884" w:rsidP="0022688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26884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2C4F2" id="_x0000_t202" coordsize="21600,21600" o:spt="202" path="m,l,21600r21600,l21600,xe">
              <v:stroke joinstyle="miter"/>
              <v:path gradientshapeok="t" o:connecttype="rect"/>
            </v:shapetype>
            <v:shape id="MSIPCMbbce4f3996d15126cd3c444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" o:allowincell="f" filled="f" stroked="f" strokeweight=".5pt">
              <v:textbox inset=",0,20pt,0">
                <w:txbxContent>
                  <w:p w14:paraId="4AF529C1" w14:textId="19F7D42E" w:rsidR="00226884" w:rsidRPr="00226884" w:rsidRDefault="00226884" w:rsidP="00226884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226884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9026" w14:textId="77777777" w:rsidR="009D7377" w:rsidRPr="00E378AC" w:rsidRDefault="009D7377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5990FA" w14:textId="77777777" w:rsidR="009D7377" w:rsidRDefault="009D7377">
      <w:r>
        <w:continuationSeparator/>
      </w:r>
    </w:p>
  </w:footnote>
  <w:footnote w:type="continuationNotice" w:id="1">
    <w:p w14:paraId="3FD66B4A" w14:textId="77777777" w:rsidR="009D7377" w:rsidRDefault="009D73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4253"/>
      <w:gridCol w:w="5245"/>
    </w:tblGrid>
    <w:tr w:rsidR="00B156BC" w:rsidRPr="00DD5F08" w14:paraId="2B30589E" w14:textId="77777777" w:rsidTr="002E70EC">
      <w:tc>
        <w:tcPr>
          <w:tcW w:w="4253" w:type="dxa"/>
          <w:hideMark/>
        </w:tcPr>
        <w:p w14:paraId="47DD0A6F" w14:textId="3DF6014D" w:rsidR="00B156BC" w:rsidRPr="00DD5F08" w:rsidRDefault="00B156BC" w:rsidP="00F03B11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 w:rsidR="00C93AD6">
            <w:rPr>
              <w:rFonts w:eastAsia="Calibri"/>
              <w:kern w:val="2"/>
            </w:rPr>
            <w:t xml:space="preserve">the expert of </w:t>
          </w:r>
          <w:r w:rsidR="00F03B11">
            <w:rPr>
              <w:rFonts w:eastAsia="Calibri"/>
              <w:kern w:val="2"/>
            </w:rPr>
            <w:t>Liquid Gas Europe</w:t>
          </w:r>
        </w:p>
      </w:tc>
      <w:tc>
        <w:tcPr>
          <w:tcW w:w="5245" w:type="dxa"/>
          <w:hideMark/>
        </w:tcPr>
        <w:p w14:paraId="05E61DA5" w14:textId="407D7B90" w:rsidR="00B156BC" w:rsidRPr="00DD5F08" w:rsidRDefault="00B156BC" w:rsidP="00FA54C6">
          <w:pPr>
            <w:suppressAutoHyphens w:val="0"/>
            <w:spacing w:line="240" w:lineRule="auto"/>
            <w:ind w:left="1593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 w:rsidR="00E46099">
            <w:rPr>
              <w:rFonts w:eastAsia="Calibri"/>
              <w:b/>
              <w:bCs/>
              <w:kern w:val="2"/>
            </w:rPr>
            <w:t>2</w:t>
          </w:r>
          <w:r w:rsidR="00416621">
            <w:rPr>
              <w:rFonts w:eastAsia="Calibri"/>
              <w:b/>
              <w:bCs/>
              <w:kern w:val="2"/>
            </w:rPr>
            <w:t>3</w:t>
          </w:r>
          <w:r w:rsidRPr="00DD5F08">
            <w:rPr>
              <w:rFonts w:eastAsia="Calibri"/>
              <w:b/>
              <w:bCs/>
              <w:kern w:val="2"/>
            </w:rPr>
            <w:t>-</w:t>
          </w:r>
          <w:r w:rsidR="005F6307">
            <w:rPr>
              <w:rFonts w:eastAsia="Calibri"/>
              <w:b/>
              <w:bCs/>
              <w:kern w:val="2"/>
            </w:rPr>
            <w:t>06</w:t>
          </w:r>
          <w:r w:rsidR="00FA54C6">
            <w:rPr>
              <w:rFonts w:eastAsia="Calibri"/>
              <w:b/>
              <w:bCs/>
              <w:kern w:val="2"/>
            </w:rPr>
            <w:t>-Rev.1</w:t>
          </w:r>
        </w:p>
        <w:p w14:paraId="49322675" w14:textId="0316E41C" w:rsidR="00F03B11" w:rsidRDefault="00B156BC" w:rsidP="00416621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173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(1</w:t>
          </w:r>
          <w:r w:rsidR="00E46099">
            <w:rPr>
              <w:rFonts w:eastAsia="Calibri"/>
              <w:kern w:val="2"/>
            </w:rPr>
            <w:t>2</w:t>
          </w:r>
          <w:r w:rsidR="00416621">
            <w:rPr>
              <w:rFonts w:eastAsia="Calibri"/>
              <w:kern w:val="2"/>
            </w:rPr>
            <w:t>3rd</w:t>
          </w:r>
          <w:r w:rsidRPr="00DD5F08">
            <w:rPr>
              <w:rFonts w:eastAsia="Calibri"/>
              <w:kern w:val="2"/>
            </w:rPr>
            <w:t xml:space="preserve"> GRSG, </w:t>
          </w:r>
          <w:r w:rsidR="00416621">
            <w:rPr>
              <w:rFonts w:eastAsia="Calibri"/>
              <w:kern w:val="2"/>
            </w:rPr>
            <w:t>28 March – 1 April</w:t>
          </w:r>
          <w:r w:rsidRPr="00DD5F08">
            <w:rPr>
              <w:rFonts w:eastAsia="Calibri"/>
              <w:kern w:val="2"/>
            </w:rPr>
            <w:t xml:space="preserve"> 202</w:t>
          </w:r>
          <w:r w:rsidR="00416621">
            <w:rPr>
              <w:rFonts w:eastAsia="Calibri"/>
              <w:kern w:val="2"/>
            </w:rPr>
            <w:t>2</w:t>
          </w:r>
        </w:p>
        <w:p w14:paraId="680BE3D5" w14:textId="08B7AFCD" w:rsidR="00B156BC" w:rsidRPr="00DD5F08" w:rsidRDefault="00B156BC" w:rsidP="00ED3D15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173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Agenda item </w:t>
          </w:r>
          <w:r w:rsidR="00ED3D15" w:rsidRPr="00ED3D15">
            <w:rPr>
              <w:rFonts w:eastAsia="Calibri"/>
              <w:kern w:val="2"/>
            </w:rPr>
            <w:t>7</w:t>
          </w:r>
          <w:r w:rsidR="00B60289" w:rsidRPr="00ED3D15">
            <w:rPr>
              <w:rFonts w:eastAsia="Calibri"/>
              <w:kern w:val="2"/>
            </w:rPr>
            <w:t xml:space="preserve"> (</w:t>
          </w:r>
          <w:r w:rsidR="00C93AD6" w:rsidRPr="00ED3D15">
            <w:rPr>
              <w:rFonts w:eastAsia="Calibri"/>
              <w:kern w:val="2"/>
            </w:rPr>
            <w:t>a</w:t>
          </w:r>
          <w:r w:rsidR="00B60289" w:rsidRPr="00ED3D15">
            <w:rPr>
              <w:rFonts w:eastAsia="Calibri"/>
              <w:kern w:val="2"/>
            </w:rPr>
            <w:t>)</w:t>
          </w:r>
          <w:r w:rsidRPr="00ED3D15">
            <w:rPr>
              <w:rFonts w:eastAsia="Calibri"/>
              <w:kern w:val="2"/>
            </w:rPr>
            <w:t>)</w:t>
          </w:r>
        </w:p>
      </w:tc>
    </w:tr>
  </w:tbl>
  <w:p w14:paraId="5DE79F76" w14:textId="23FA2E8C" w:rsidR="00D06F91" w:rsidRPr="006E324D" w:rsidRDefault="00D06F91" w:rsidP="006E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574A"/>
    <w:multiLevelType w:val="hybridMultilevel"/>
    <w:tmpl w:val="9FB6A0C2"/>
    <w:lvl w:ilvl="0" w:tplc="DE0C3794">
      <w:start w:val="1"/>
      <w:numFmt w:val="upperRoman"/>
      <w:lvlText w:val="%1."/>
      <w:lvlJc w:val="right"/>
      <w:pPr>
        <w:ind w:left="2705" w:hanging="360"/>
      </w:p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0EEB09CA"/>
    <w:multiLevelType w:val="hybridMultilevel"/>
    <w:tmpl w:val="6B4CD3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2452B6"/>
    <w:multiLevelType w:val="hybridMultilevel"/>
    <w:tmpl w:val="AB24EF14"/>
    <w:lvl w:ilvl="0" w:tplc="040C000D">
      <w:start w:val="1"/>
      <w:numFmt w:val="bullet"/>
      <w:lvlText w:val=""/>
      <w:lvlJc w:val="left"/>
      <w:pPr>
        <w:ind w:left="396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3" w15:restartNumberingAfterBreak="0">
    <w:nsid w:val="15B45B68"/>
    <w:multiLevelType w:val="hybridMultilevel"/>
    <w:tmpl w:val="3FEA7244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D683BF9"/>
    <w:multiLevelType w:val="hybridMultilevel"/>
    <w:tmpl w:val="8FC89564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51849D8"/>
    <w:multiLevelType w:val="hybridMultilevel"/>
    <w:tmpl w:val="5EDA32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5EA2ADD"/>
    <w:multiLevelType w:val="hybridMultilevel"/>
    <w:tmpl w:val="54665C28"/>
    <w:lvl w:ilvl="0" w:tplc="D21E7AA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7B5131"/>
    <w:multiLevelType w:val="hybridMultilevel"/>
    <w:tmpl w:val="F7E2241E"/>
    <w:lvl w:ilvl="0" w:tplc="9B84C19C">
      <w:start w:val="3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5" w15:restartNumberingAfterBreak="0">
    <w:nsid w:val="7B275E25"/>
    <w:multiLevelType w:val="hybridMultilevel"/>
    <w:tmpl w:val="30F8110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2"/>
  </w:num>
  <w:num w:numId="30">
    <w:abstractNumId w:val="13"/>
  </w:num>
  <w:num w:numId="31">
    <w:abstractNumId w:val="23"/>
  </w:num>
  <w:num w:numId="32">
    <w:abstractNumId w:val="19"/>
  </w:num>
  <w:num w:numId="33">
    <w:abstractNumId w:val="10"/>
  </w:num>
  <w:num w:numId="34">
    <w:abstractNumId w:val="16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272FC"/>
    <w:rsid w:val="00052C94"/>
    <w:rsid w:val="00055717"/>
    <w:rsid w:val="0005715A"/>
    <w:rsid w:val="000838D5"/>
    <w:rsid w:val="000A02AC"/>
    <w:rsid w:val="000C75E6"/>
    <w:rsid w:val="000D367D"/>
    <w:rsid w:val="000D44E5"/>
    <w:rsid w:val="000E0289"/>
    <w:rsid w:val="000E1E99"/>
    <w:rsid w:val="001309F4"/>
    <w:rsid w:val="00137B33"/>
    <w:rsid w:val="00143D77"/>
    <w:rsid w:val="00151208"/>
    <w:rsid w:val="00170E8B"/>
    <w:rsid w:val="00180E18"/>
    <w:rsid w:val="00194B9D"/>
    <w:rsid w:val="001A33AD"/>
    <w:rsid w:val="001B5B00"/>
    <w:rsid w:val="001D6C5C"/>
    <w:rsid w:val="001F1DCE"/>
    <w:rsid w:val="00203BAB"/>
    <w:rsid w:val="00203C11"/>
    <w:rsid w:val="00214421"/>
    <w:rsid w:val="0021630E"/>
    <w:rsid w:val="00220C7F"/>
    <w:rsid w:val="00222D9F"/>
    <w:rsid w:val="00226884"/>
    <w:rsid w:val="00226B1A"/>
    <w:rsid w:val="00242021"/>
    <w:rsid w:val="00244B06"/>
    <w:rsid w:val="00252191"/>
    <w:rsid w:val="00255851"/>
    <w:rsid w:val="0027542D"/>
    <w:rsid w:val="002902C3"/>
    <w:rsid w:val="002B4811"/>
    <w:rsid w:val="002D0DBE"/>
    <w:rsid w:val="002D7709"/>
    <w:rsid w:val="002E6B62"/>
    <w:rsid w:val="00316C48"/>
    <w:rsid w:val="00326F61"/>
    <w:rsid w:val="00330B54"/>
    <w:rsid w:val="00340A6E"/>
    <w:rsid w:val="00343F08"/>
    <w:rsid w:val="00351879"/>
    <w:rsid w:val="00384A16"/>
    <w:rsid w:val="0039598B"/>
    <w:rsid w:val="003C5401"/>
    <w:rsid w:val="003F6115"/>
    <w:rsid w:val="00411DA6"/>
    <w:rsid w:val="00416621"/>
    <w:rsid w:val="00416C08"/>
    <w:rsid w:val="00461D8F"/>
    <w:rsid w:val="00465801"/>
    <w:rsid w:val="004664F7"/>
    <w:rsid w:val="0048226E"/>
    <w:rsid w:val="0048232A"/>
    <w:rsid w:val="00487047"/>
    <w:rsid w:val="00494339"/>
    <w:rsid w:val="0049466C"/>
    <w:rsid w:val="004A29E9"/>
    <w:rsid w:val="004A4780"/>
    <w:rsid w:val="004A5BFD"/>
    <w:rsid w:val="004B00C5"/>
    <w:rsid w:val="004B7F81"/>
    <w:rsid w:val="004D5A4F"/>
    <w:rsid w:val="004E2854"/>
    <w:rsid w:val="004E652D"/>
    <w:rsid w:val="00531009"/>
    <w:rsid w:val="00541748"/>
    <w:rsid w:val="00543311"/>
    <w:rsid w:val="005762BC"/>
    <w:rsid w:val="005800F3"/>
    <w:rsid w:val="00592DED"/>
    <w:rsid w:val="005B3E3F"/>
    <w:rsid w:val="005C5ECB"/>
    <w:rsid w:val="005D1EBC"/>
    <w:rsid w:val="005D37CC"/>
    <w:rsid w:val="005D4029"/>
    <w:rsid w:val="005F6307"/>
    <w:rsid w:val="006321A9"/>
    <w:rsid w:val="00686461"/>
    <w:rsid w:val="006966FA"/>
    <w:rsid w:val="006B1FE2"/>
    <w:rsid w:val="006B40F3"/>
    <w:rsid w:val="006E324D"/>
    <w:rsid w:val="006F13D9"/>
    <w:rsid w:val="006F2B2E"/>
    <w:rsid w:val="006F6664"/>
    <w:rsid w:val="00752996"/>
    <w:rsid w:val="00764095"/>
    <w:rsid w:val="00785AC2"/>
    <w:rsid w:val="007929D7"/>
    <w:rsid w:val="007D1397"/>
    <w:rsid w:val="007D1613"/>
    <w:rsid w:val="007D1EE3"/>
    <w:rsid w:val="007E3032"/>
    <w:rsid w:val="00803608"/>
    <w:rsid w:val="008058D9"/>
    <w:rsid w:val="0082103C"/>
    <w:rsid w:val="00825122"/>
    <w:rsid w:val="00847D15"/>
    <w:rsid w:val="00851340"/>
    <w:rsid w:val="00852CAE"/>
    <w:rsid w:val="00881632"/>
    <w:rsid w:val="00885C17"/>
    <w:rsid w:val="00892829"/>
    <w:rsid w:val="00896C5E"/>
    <w:rsid w:val="008B17DD"/>
    <w:rsid w:val="008D28DC"/>
    <w:rsid w:val="008D5A13"/>
    <w:rsid w:val="008D5FB3"/>
    <w:rsid w:val="008F3F56"/>
    <w:rsid w:val="00926B71"/>
    <w:rsid w:val="00930D94"/>
    <w:rsid w:val="009368C6"/>
    <w:rsid w:val="00941811"/>
    <w:rsid w:val="00955848"/>
    <w:rsid w:val="00966715"/>
    <w:rsid w:val="0097132E"/>
    <w:rsid w:val="00973A7E"/>
    <w:rsid w:val="009B279C"/>
    <w:rsid w:val="009C5365"/>
    <w:rsid w:val="009D0DA6"/>
    <w:rsid w:val="009D7377"/>
    <w:rsid w:val="009E646F"/>
    <w:rsid w:val="009E6A52"/>
    <w:rsid w:val="00A23141"/>
    <w:rsid w:val="00A35EB9"/>
    <w:rsid w:val="00A51A2B"/>
    <w:rsid w:val="00A63A1E"/>
    <w:rsid w:val="00A72549"/>
    <w:rsid w:val="00AC4428"/>
    <w:rsid w:val="00AC74F7"/>
    <w:rsid w:val="00AE439A"/>
    <w:rsid w:val="00AE6268"/>
    <w:rsid w:val="00B1124A"/>
    <w:rsid w:val="00B156BC"/>
    <w:rsid w:val="00B37371"/>
    <w:rsid w:val="00B477C3"/>
    <w:rsid w:val="00B60289"/>
    <w:rsid w:val="00B9350C"/>
    <w:rsid w:val="00B975D5"/>
    <w:rsid w:val="00BA2AF9"/>
    <w:rsid w:val="00BA49DA"/>
    <w:rsid w:val="00BE7A0C"/>
    <w:rsid w:val="00C0489C"/>
    <w:rsid w:val="00C26092"/>
    <w:rsid w:val="00C851BD"/>
    <w:rsid w:val="00C93AD6"/>
    <w:rsid w:val="00CD29FA"/>
    <w:rsid w:val="00D06F91"/>
    <w:rsid w:val="00D3016B"/>
    <w:rsid w:val="00D344AE"/>
    <w:rsid w:val="00D55DBE"/>
    <w:rsid w:val="00D808C4"/>
    <w:rsid w:val="00D87D12"/>
    <w:rsid w:val="00D87F6B"/>
    <w:rsid w:val="00D9262A"/>
    <w:rsid w:val="00D9479F"/>
    <w:rsid w:val="00DB2FAD"/>
    <w:rsid w:val="00DC0D2A"/>
    <w:rsid w:val="00DD103F"/>
    <w:rsid w:val="00DD5F08"/>
    <w:rsid w:val="00DF0C11"/>
    <w:rsid w:val="00DF0E34"/>
    <w:rsid w:val="00DF4980"/>
    <w:rsid w:val="00E01D68"/>
    <w:rsid w:val="00E170FC"/>
    <w:rsid w:val="00E2686B"/>
    <w:rsid w:val="00E378AC"/>
    <w:rsid w:val="00E43A91"/>
    <w:rsid w:val="00E46099"/>
    <w:rsid w:val="00E80937"/>
    <w:rsid w:val="00E8137B"/>
    <w:rsid w:val="00E866A5"/>
    <w:rsid w:val="00E967C3"/>
    <w:rsid w:val="00ED2A2A"/>
    <w:rsid w:val="00ED3D15"/>
    <w:rsid w:val="00EF30A9"/>
    <w:rsid w:val="00F00C55"/>
    <w:rsid w:val="00F03B11"/>
    <w:rsid w:val="00F14CB8"/>
    <w:rsid w:val="00F44035"/>
    <w:rsid w:val="00F44D0B"/>
    <w:rsid w:val="00F607C0"/>
    <w:rsid w:val="00F608E5"/>
    <w:rsid w:val="00F7502A"/>
    <w:rsid w:val="00F75563"/>
    <w:rsid w:val="00FA54C6"/>
    <w:rsid w:val="00FC5A7E"/>
    <w:rsid w:val="0BD459FA"/>
    <w:rsid w:val="1006EB6B"/>
    <w:rsid w:val="3CC19FE5"/>
    <w:rsid w:val="5B3A0C8C"/>
    <w:rsid w:val="69481054"/>
    <w:rsid w:val="6CD4B0DC"/>
    <w:rsid w:val="6D91684B"/>
    <w:rsid w:val="6DE88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203C11"/>
  </w:style>
  <w:style w:type="character" w:customStyle="1" w:styleId="FootnoteTextChar1">
    <w:name w:val="Footnote Text Char1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F14CB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B25C1-6FFD-4A7C-89D1-09AD76A65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19EBB-8908-40A2-934E-C6E4DC514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526AA-4F55-4DCB-9549-217736383DD3}"/>
</file>

<file path=customXml/itemProps4.xml><?xml version="1.0" encoding="utf-8"?>
<ds:datastoreItem xmlns:ds="http://schemas.openxmlformats.org/officeDocument/2006/customXml" ds:itemID="{B2416349-6FC4-43CA-8BE0-915E040DD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Amendment to UNECE R67</vt:lpstr>
      <vt:lpstr>ECE/TRANS/WP.29/GRSG/2020/19</vt:lpstr>
      <vt:lpstr>ECE/TRANS/WP.29/GRSG/2020/19</vt:lpstr>
    </vt:vector>
  </TitlesOfParts>
  <Company>Liquid Gas Europe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UNECE R67</dc:title>
  <dc:subject>Flow test procedure</dc:subject>
  <dc:creator>Castagnini Alberto</dc:creator>
  <cp:keywords/>
  <dc:description/>
  <cp:lastModifiedBy>Edoardo Gianotti</cp:lastModifiedBy>
  <cp:revision>6</cp:revision>
  <cp:lastPrinted>2019-07-19T11:29:00Z</cp:lastPrinted>
  <dcterms:created xsi:type="dcterms:W3CDTF">2022-03-29T07:55:00Z</dcterms:created>
  <dcterms:modified xsi:type="dcterms:W3CDTF">2022-03-29T07:58:00Z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etDate">
    <vt:lpwstr>2021-02-18T16:00:50Z</vt:lpwstr>
  </property>
  <property fmtid="{D5CDD505-2E9C-101B-9397-08002B2CF9AE}" pid="12" name="MSIP_Label_fd1c0902-ed92-4fed-896d-2e7725de02d4_Method">
    <vt:lpwstr>Standard</vt:lpwstr>
  </property>
  <property fmtid="{D5CDD505-2E9C-101B-9397-08002B2CF9AE}" pid="13" name="MSIP_Label_fd1c0902-ed92-4fed-896d-2e7725de02d4_Name">
    <vt:lpwstr>Anyone (not protected)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ActionId">
    <vt:lpwstr>f6ebd82d-908c-4e84-8c6f-75eeb0f0ba5e</vt:lpwstr>
  </property>
  <property fmtid="{D5CDD505-2E9C-101B-9397-08002B2CF9AE}" pid="16" name="MSIP_Label_fd1c0902-ed92-4fed-896d-2e7725de02d4_ContentBits">
    <vt:lpwstr>2</vt:lpwstr>
  </property>
</Properties>
</file>