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06DB480A" w14:textId="77777777" w:rsidTr="00C97039">
        <w:trPr>
          <w:trHeight w:hRule="exact" w:val="851"/>
        </w:trPr>
        <w:tc>
          <w:tcPr>
            <w:tcW w:w="1276" w:type="dxa"/>
            <w:tcBorders>
              <w:bottom w:val="single" w:sz="4" w:space="0" w:color="auto"/>
            </w:tcBorders>
          </w:tcPr>
          <w:p w14:paraId="27BB9DF9" w14:textId="77777777" w:rsidR="00F35BAF" w:rsidRPr="00DB58B5" w:rsidRDefault="00F35BAF" w:rsidP="00C22589"/>
        </w:tc>
        <w:tc>
          <w:tcPr>
            <w:tcW w:w="2268" w:type="dxa"/>
            <w:tcBorders>
              <w:bottom w:val="single" w:sz="4" w:space="0" w:color="auto"/>
            </w:tcBorders>
            <w:vAlign w:val="bottom"/>
          </w:tcPr>
          <w:p w14:paraId="63A82283"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440D940" w14:textId="77777777" w:rsidR="00F35BAF" w:rsidRPr="00DB58B5" w:rsidRDefault="00C22589" w:rsidP="00C22589">
            <w:pPr>
              <w:jc w:val="right"/>
            </w:pPr>
            <w:r w:rsidRPr="00C22589">
              <w:rPr>
                <w:sz w:val="40"/>
              </w:rPr>
              <w:t>ECE</w:t>
            </w:r>
            <w:r>
              <w:t>/TRANS/WP.15/AC.2/76</w:t>
            </w:r>
          </w:p>
        </w:tc>
      </w:tr>
      <w:tr w:rsidR="00F35BAF" w:rsidRPr="00DB58B5" w14:paraId="5CEC002F" w14:textId="77777777" w:rsidTr="00C97039">
        <w:trPr>
          <w:trHeight w:hRule="exact" w:val="2835"/>
        </w:trPr>
        <w:tc>
          <w:tcPr>
            <w:tcW w:w="1276" w:type="dxa"/>
            <w:tcBorders>
              <w:top w:val="single" w:sz="4" w:space="0" w:color="auto"/>
              <w:bottom w:val="single" w:sz="12" w:space="0" w:color="auto"/>
            </w:tcBorders>
          </w:tcPr>
          <w:p w14:paraId="25676EAB" w14:textId="77777777" w:rsidR="00F35BAF" w:rsidRPr="00DB58B5" w:rsidRDefault="00F35BAF" w:rsidP="00C97039">
            <w:pPr>
              <w:spacing w:before="120"/>
              <w:jc w:val="center"/>
            </w:pPr>
            <w:r>
              <w:rPr>
                <w:noProof/>
                <w:lang w:eastAsia="fr-CH"/>
              </w:rPr>
              <w:drawing>
                <wp:inline distT="0" distB="0" distL="0" distR="0" wp14:anchorId="40531816" wp14:editId="4ECFD61D">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C0D5118"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75ECB751" w14:textId="77777777" w:rsidR="00F35BAF" w:rsidRDefault="00C22589" w:rsidP="00C97039">
            <w:pPr>
              <w:spacing w:before="240"/>
            </w:pPr>
            <w:r>
              <w:t>Distr. générale</w:t>
            </w:r>
          </w:p>
          <w:p w14:paraId="1541A812" w14:textId="77777777" w:rsidR="00C22589" w:rsidRDefault="00C22589" w:rsidP="00C22589">
            <w:pPr>
              <w:spacing w:line="240" w:lineRule="exact"/>
            </w:pPr>
            <w:r>
              <w:t>22 février 2021</w:t>
            </w:r>
          </w:p>
          <w:p w14:paraId="12D987F1" w14:textId="77777777" w:rsidR="00C22589" w:rsidRDefault="00C22589" w:rsidP="00C22589">
            <w:pPr>
              <w:spacing w:line="240" w:lineRule="exact"/>
            </w:pPr>
            <w:r>
              <w:t>Français</w:t>
            </w:r>
          </w:p>
          <w:p w14:paraId="3E40F461" w14:textId="77777777" w:rsidR="00C22589" w:rsidRPr="00DB58B5" w:rsidRDefault="00C22589" w:rsidP="00C22589">
            <w:pPr>
              <w:spacing w:line="240" w:lineRule="exact"/>
            </w:pPr>
            <w:r>
              <w:t>Original : anglais</w:t>
            </w:r>
          </w:p>
        </w:tc>
      </w:tr>
    </w:tbl>
    <w:p w14:paraId="64CFE7D5" w14:textId="77777777" w:rsidR="007F20FA" w:rsidRPr="000312C0" w:rsidRDefault="007F20FA" w:rsidP="007F20FA">
      <w:pPr>
        <w:spacing w:before="120"/>
        <w:rPr>
          <w:b/>
          <w:sz w:val="28"/>
          <w:szCs w:val="28"/>
        </w:rPr>
      </w:pPr>
      <w:r w:rsidRPr="000312C0">
        <w:rPr>
          <w:b/>
          <w:sz w:val="28"/>
          <w:szCs w:val="28"/>
        </w:rPr>
        <w:t>Commission économique pour l’Europe</w:t>
      </w:r>
    </w:p>
    <w:p w14:paraId="16FDD1A4" w14:textId="77777777" w:rsidR="007F20FA" w:rsidRDefault="007F20FA" w:rsidP="007F20FA">
      <w:pPr>
        <w:spacing w:before="120"/>
        <w:rPr>
          <w:sz w:val="28"/>
          <w:szCs w:val="28"/>
        </w:rPr>
      </w:pPr>
      <w:r w:rsidRPr="00685843">
        <w:rPr>
          <w:sz w:val="28"/>
          <w:szCs w:val="28"/>
        </w:rPr>
        <w:t>Comité des transports intérieurs</w:t>
      </w:r>
    </w:p>
    <w:p w14:paraId="22602C57" w14:textId="77777777" w:rsidR="00C22589" w:rsidRPr="00275CCD" w:rsidRDefault="00C22589" w:rsidP="00C22589">
      <w:pPr>
        <w:spacing w:before="120" w:after="120"/>
        <w:rPr>
          <w:b/>
          <w:sz w:val="32"/>
          <w:szCs w:val="32"/>
          <w:lang w:val="fr-FR"/>
        </w:rPr>
      </w:pPr>
      <w:r w:rsidRPr="00275CCD">
        <w:rPr>
          <w:b/>
          <w:bCs/>
          <w:sz w:val="24"/>
          <w:szCs w:val="24"/>
          <w:lang w:val="fr-FR"/>
        </w:rPr>
        <w:t>Groupe de travail des transports de marchandises dangereuses</w:t>
      </w:r>
    </w:p>
    <w:p w14:paraId="5E91BC14" w14:textId="77777777" w:rsidR="00C22589" w:rsidRPr="00F10460" w:rsidRDefault="00C22589" w:rsidP="00C22589">
      <w:pPr>
        <w:spacing w:after="120"/>
        <w:rPr>
          <w:b/>
          <w:bCs/>
          <w:lang w:val="fr-FR"/>
        </w:rPr>
      </w:pPr>
      <w:r w:rsidRPr="00F10460">
        <w:rPr>
          <w:b/>
          <w:bCs/>
          <w:lang w:val="fr-FR"/>
        </w:rPr>
        <w:t>Réunion commune d</w:t>
      </w:r>
      <w:r>
        <w:rPr>
          <w:b/>
          <w:bCs/>
          <w:lang w:val="fr-FR"/>
        </w:rPr>
        <w:t>’</w:t>
      </w:r>
      <w:r w:rsidRPr="00F10460">
        <w:rPr>
          <w:b/>
          <w:bCs/>
          <w:lang w:val="fr-FR"/>
        </w:rPr>
        <w:t>experts du Règlement annexé à l</w:t>
      </w:r>
      <w:r>
        <w:rPr>
          <w:b/>
          <w:bCs/>
          <w:lang w:val="fr-FR"/>
        </w:rPr>
        <w:t>’</w:t>
      </w:r>
      <w:r w:rsidRPr="00F10460">
        <w:rPr>
          <w:b/>
          <w:bCs/>
          <w:lang w:val="fr-FR"/>
        </w:rPr>
        <w:t xml:space="preserve">Accord européen </w:t>
      </w:r>
      <w:r w:rsidR="00275CCD">
        <w:rPr>
          <w:b/>
          <w:bCs/>
          <w:lang w:val="fr-FR"/>
        </w:rPr>
        <w:br/>
      </w:r>
      <w:r w:rsidRPr="00F10460">
        <w:rPr>
          <w:b/>
          <w:bCs/>
          <w:lang w:val="fr-FR"/>
        </w:rPr>
        <w:t xml:space="preserve">relatif au transport international des marchandises dangereuses </w:t>
      </w:r>
      <w:r w:rsidR="00275CCD">
        <w:rPr>
          <w:b/>
          <w:bCs/>
          <w:lang w:val="fr-FR"/>
        </w:rPr>
        <w:br/>
      </w:r>
      <w:r w:rsidRPr="00F10460">
        <w:rPr>
          <w:b/>
          <w:bCs/>
          <w:lang w:val="fr-FR"/>
        </w:rPr>
        <w:t>par voies de navigation intérieures (ADN) (Comité de sécurité de l</w:t>
      </w:r>
      <w:r>
        <w:rPr>
          <w:b/>
          <w:bCs/>
          <w:lang w:val="fr-FR"/>
        </w:rPr>
        <w:t>’</w:t>
      </w:r>
      <w:r w:rsidRPr="00F10460">
        <w:rPr>
          <w:b/>
          <w:bCs/>
          <w:lang w:val="fr-FR"/>
        </w:rPr>
        <w:t>ADN)</w:t>
      </w:r>
    </w:p>
    <w:p w14:paraId="17E92721" w14:textId="77777777" w:rsidR="00C22589" w:rsidRPr="00F10460" w:rsidRDefault="00C22589" w:rsidP="00C22589">
      <w:pPr>
        <w:rPr>
          <w:b/>
          <w:bCs/>
          <w:lang w:val="fr-FR"/>
        </w:rPr>
      </w:pPr>
      <w:r w:rsidRPr="00F10460">
        <w:rPr>
          <w:b/>
          <w:bCs/>
          <w:lang w:val="fr-FR"/>
        </w:rPr>
        <w:t>Trente-septième session</w:t>
      </w:r>
    </w:p>
    <w:p w14:paraId="668EEAFD" w14:textId="77777777" w:rsidR="00C22589" w:rsidRPr="00F10460" w:rsidRDefault="00C22589" w:rsidP="00C22589">
      <w:pPr>
        <w:rPr>
          <w:lang w:val="fr-FR"/>
        </w:rPr>
      </w:pPr>
      <w:r w:rsidRPr="00F10460">
        <w:rPr>
          <w:lang w:val="fr-FR"/>
        </w:rPr>
        <w:t>Genève, 25-29 janvier 2021</w:t>
      </w:r>
    </w:p>
    <w:p w14:paraId="13D9C920" w14:textId="77777777" w:rsidR="00C22589" w:rsidRPr="00F10460" w:rsidRDefault="00C22589" w:rsidP="00275CCD">
      <w:pPr>
        <w:pStyle w:val="HChG"/>
        <w:rPr>
          <w:lang w:val="fr-FR"/>
        </w:rPr>
      </w:pPr>
      <w:r w:rsidRPr="00F10460">
        <w:rPr>
          <w:lang w:val="fr-FR"/>
        </w:rPr>
        <w:tab/>
      </w:r>
      <w:r w:rsidRPr="00F10460">
        <w:rPr>
          <w:lang w:val="fr-FR"/>
        </w:rPr>
        <w:tab/>
      </w:r>
      <w:r w:rsidRPr="00275CCD">
        <w:t>Rapport</w:t>
      </w:r>
      <w:r w:rsidRPr="00F10460">
        <w:rPr>
          <w:lang w:val="fr-FR"/>
        </w:rPr>
        <w:t xml:space="preserve"> de la Réunion commune d</w:t>
      </w:r>
      <w:r>
        <w:rPr>
          <w:lang w:val="fr-FR"/>
        </w:rPr>
        <w:t>’</w:t>
      </w:r>
      <w:r w:rsidRPr="00F10460">
        <w:rPr>
          <w:lang w:val="fr-FR"/>
        </w:rPr>
        <w:t>experts du Règlement annexé à l</w:t>
      </w:r>
      <w:r>
        <w:rPr>
          <w:lang w:val="fr-FR"/>
        </w:rPr>
        <w:t>’</w:t>
      </w:r>
      <w:r w:rsidRPr="00F10460">
        <w:rPr>
          <w:lang w:val="fr-FR"/>
        </w:rPr>
        <w:t xml:space="preserve">Accord européen relatif au transport </w:t>
      </w:r>
      <w:r w:rsidR="00275CCD">
        <w:rPr>
          <w:lang w:val="fr-FR"/>
        </w:rPr>
        <w:br/>
      </w:r>
      <w:r w:rsidRPr="00F10460">
        <w:rPr>
          <w:lang w:val="fr-FR"/>
        </w:rPr>
        <w:t xml:space="preserve">international des marchandises dangereuses par </w:t>
      </w:r>
      <w:r w:rsidR="00275CCD">
        <w:rPr>
          <w:lang w:val="fr-FR"/>
        </w:rPr>
        <w:br/>
      </w:r>
      <w:r w:rsidRPr="00F10460">
        <w:rPr>
          <w:lang w:val="fr-FR"/>
        </w:rPr>
        <w:t xml:space="preserve">voies de navigation intérieures (Comité de sécurité </w:t>
      </w:r>
      <w:r w:rsidR="00275CCD">
        <w:rPr>
          <w:lang w:val="fr-FR"/>
        </w:rPr>
        <w:br/>
      </w:r>
      <w:r w:rsidRPr="00F10460">
        <w:rPr>
          <w:lang w:val="fr-FR"/>
        </w:rPr>
        <w:t>de l</w:t>
      </w:r>
      <w:r>
        <w:rPr>
          <w:lang w:val="fr-FR"/>
        </w:rPr>
        <w:t>’</w:t>
      </w:r>
      <w:r w:rsidRPr="00F10460">
        <w:rPr>
          <w:lang w:val="fr-FR"/>
        </w:rPr>
        <w:t>ADN) sur sa trente-septième session</w:t>
      </w:r>
      <w:bookmarkStart w:id="0" w:name="_Toc410743246"/>
      <w:bookmarkStart w:id="1" w:name="_Toc428948781"/>
      <w:bookmarkStart w:id="2" w:name="_Toc442372095"/>
      <w:bookmarkStart w:id="3" w:name="_Toc505688398"/>
      <w:bookmarkStart w:id="4" w:name="_Toc32481629"/>
      <w:bookmarkStart w:id="5" w:name="_Toc63762780"/>
      <w:bookmarkStart w:id="6" w:name="_Toc64472430"/>
      <w:bookmarkEnd w:id="0"/>
      <w:bookmarkEnd w:id="1"/>
      <w:bookmarkEnd w:id="2"/>
      <w:bookmarkEnd w:id="3"/>
      <w:bookmarkEnd w:id="4"/>
      <w:bookmarkEnd w:id="5"/>
      <w:bookmarkEnd w:id="6"/>
      <w:r w:rsidR="00275CCD" w:rsidRPr="00275CCD">
        <w:rPr>
          <w:rStyle w:val="Appelnotedebasdep"/>
          <w:b w:val="0"/>
          <w:bCs/>
          <w:sz w:val="20"/>
          <w:vertAlign w:val="baseline"/>
        </w:rPr>
        <w:footnoteReference w:customMarkFollows="1" w:id="2"/>
        <w:t>*</w:t>
      </w:r>
    </w:p>
    <w:p w14:paraId="2505829B" w14:textId="77777777" w:rsidR="00C22589" w:rsidRPr="00F10460" w:rsidRDefault="00C22589" w:rsidP="00C22589">
      <w:pPr>
        <w:rPr>
          <w:lang w:val="fr-FR"/>
        </w:rPr>
      </w:pPr>
      <w:r w:rsidRPr="00F10460">
        <w:rPr>
          <w:lang w:val="fr-FR"/>
        </w:rPr>
        <w:br w:type="page"/>
      </w:r>
    </w:p>
    <w:p w14:paraId="5F702DB4" w14:textId="77777777" w:rsidR="00275CCD" w:rsidRPr="00275CCD" w:rsidRDefault="00275CCD" w:rsidP="00275CCD">
      <w:pPr>
        <w:spacing w:after="120"/>
        <w:rPr>
          <w:sz w:val="28"/>
        </w:rPr>
      </w:pPr>
      <w:r w:rsidRPr="00275CCD">
        <w:rPr>
          <w:sz w:val="28"/>
        </w:rPr>
        <w:lastRenderedPageBreak/>
        <w:t>Table des matières</w:t>
      </w:r>
    </w:p>
    <w:p w14:paraId="6D963179" w14:textId="77777777" w:rsidR="00275CCD" w:rsidRPr="00275CCD" w:rsidRDefault="00275CCD" w:rsidP="00275CCD">
      <w:pPr>
        <w:tabs>
          <w:tab w:val="right" w:pos="9638"/>
        </w:tabs>
        <w:spacing w:after="120"/>
        <w:ind w:left="283"/>
        <w:rPr>
          <w:i/>
          <w:sz w:val="18"/>
        </w:rPr>
      </w:pPr>
      <w:r w:rsidRPr="00275CCD">
        <w:rPr>
          <w:i/>
          <w:sz w:val="18"/>
        </w:rPr>
        <w:tab/>
        <w:t>Page</w:t>
      </w:r>
    </w:p>
    <w:p w14:paraId="35F4DC0E" w14:textId="77777777" w:rsidR="00C22589" w:rsidRPr="00F10460" w:rsidRDefault="00C22589" w:rsidP="00275CCD">
      <w:pPr>
        <w:tabs>
          <w:tab w:val="right" w:pos="850"/>
          <w:tab w:val="right" w:leader="dot" w:pos="8787"/>
          <w:tab w:val="right" w:pos="9638"/>
        </w:tabs>
        <w:spacing w:after="120"/>
        <w:ind w:left="1134" w:hanging="1134"/>
        <w:rPr>
          <w:noProof/>
          <w:lang w:val="fr-FR"/>
        </w:rPr>
      </w:pPr>
      <w:r w:rsidRPr="00F10460">
        <w:rPr>
          <w:lang w:val="fr-FR"/>
        </w:rPr>
        <w:tab/>
        <w:t>I.</w:t>
      </w:r>
      <w:r w:rsidRPr="00F10460">
        <w:rPr>
          <w:lang w:val="fr-FR"/>
        </w:rPr>
        <w:tab/>
        <w:t>Participation et questions d</w:t>
      </w:r>
      <w:r>
        <w:rPr>
          <w:lang w:val="fr-FR"/>
        </w:rPr>
        <w:t>’</w:t>
      </w:r>
      <w:r w:rsidRPr="00F10460">
        <w:rPr>
          <w:lang w:val="fr-FR"/>
        </w:rPr>
        <w:t>organisation</w:t>
      </w:r>
      <w:r w:rsidRPr="00F10460">
        <w:rPr>
          <w:noProof/>
          <w:webHidden/>
          <w:lang w:val="fr-FR"/>
        </w:rPr>
        <w:tab/>
      </w:r>
      <w:r w:rsidRPr="00F10460">
        <w:rPr>
          <w:noProof/>
          <w:webHidden/>
          <w:lang w:val="fr-FR"/>
        </w:rPr>
        <w:tab/>
        <w:t>5</w:t>
      </w:r>
    </w:p>
    <w:p w14:paraId="0DAACA8C" w14:textId="77777777" w:rsidR="00C22589" w:rsidRPr="00F10460" w:rsidRDefault="00C22589" w:rsidP="00275CCD">
      <w:pPr>
        <w:tabs>
          <w:tab w:val="right" w:leader="dot" w:pos="8787"/>
          <w:tab w:val="right" w:pos="9638"/>
        </w:tabs>
        <w:spacing w:after="120"/>
        <w:ind w:left="1559" w:hanging="425"/>
        <w:rPr>
          <w:noProof/>
          <w:lang w:val="fr-FR"/>
        </w:rPr>
      </w:pPr>
      <w:r w:rsidRPr="00F10460">
        <w:rPr>
          <w:lang w:val="fr-FR"/>
        </w:rPr>
        <w:t>Participation</w:t>
      </w:r>
      <w:r w:rsidRPr="00F10460">
        <w:rPr>
          <w:noProof/>
          <w:webHidden/>
          <w:lang w:val="fr-FR"/>
        </w:rPr>
        <w:tab/>
      </w:r>
      <w:r w:rsidRPr="00F10460">
        <w:rPr>
          <w:noProof/>
          <w:webHidden/>
          <w:lang w:val="fr-FR"/>
        </w:rPr>
        <w:tab/>
        <w:t>5</w:t>
      </w:r>
    </w:p>
    <w:p w14:paraId="6C291EF2" w14:textId="77777777" w:rsidR="00C22589" w:rsidRPr="00F10460" w:rsidRDefault="00C22589" w:rsidP="00275CCD">
      <w:pPr>
        <w:tabs>
          <w:tab w:val="right" w:pos="850"/>
          <w:tab w:val="right" w:leader="dot" w:pos="8787"/>
          <w:tab w:val="right" w:pos="9638"/>
        </w:tabs>
        <w:spacing w:after="120"/>
        <w:ind w:left="1134" w:hanging="1134"/>
        <w:rPr>
          <w:noProof/>
          <w:lang w:val="fr-FR"/>
        </w:rPr>
      </w:pPr>
      <w:r w:rsidRPr="00F10460">
        <w:rPr>
          <w:lang w:val="fr-FR"/>
        </w:rPr>
        <w:tab/>
        <w:t>II.</w:t>
      </w:r>
      <w:r w:rsidRPr="00F10460">
        <w:rPr>
          <w:lang w:val="fr-FR"/>
        </w:rPr>
        <w:tab/>
        <w:t>Adoption de l</w:t>
      </w:r>
      <w:r>
        <w:rPr>
          <w:lang w:val="fr-FR"/>
        </w:rPr>
        <w:t>’</w:t>
      </w:r>
      <w:r w:rsidRPr="00F10460">
        <w:rPr>
          <w:lang w:val="fr-FR"/>
        </w:rPr>
        <w:t>ordre du jour (point 1 de l</w:t>
      </w:r>
      <w:r>
        <w:rPr>
          <w:lang w:val="fr-FR"/>
        </w:rPr>
        <w:t>’</w:t>
      </w:r>
      <w:r w:rsidRPr="00F10460">
        <w:rPr>
          <w:lang w:val="fr-FR"/>
        </w:rPr>
        <w:t>ordre du jour)</w:t>
      </w:r>
      <w:r w:rsidRPr="00F10460">
        <w:rPr>
          <w:noProof/>
          <w:webHidden/>
          <w:lang w:val="fr-FR"/>
        </w:rPr>
        <w:tab/>
      </w:r>
      <w:r w:rsidRPr="00F10460">
        <w:rPr>
          <w:noProof/>
          <w:webHidden/>
          <w:lang w:val="fr-FR"/>
        </w:rPr>
        <w:tab/>
        <w:t>5</w:t>
      </w:r>
    </w:p>
    <w:p w14:paraId="00950BB3" w14:textId="77777777" w:rsidR="00C22589" w:rsidRPr="00F10460" w:rsidRDefault="00C22589" w:rsidP="00275CCD">
      <w:pPr>
        <w:tabs>
          <w:tab w:val="right" w:pos="850"/>
          <w:tab w:val="right" w:leader="dot" w:pos="8787"/>
          <w:tab w:val="right" w:pos="9638"/>
        </w:tabs>
        <w:spacing w:after="120"/>
        <w:ind w:left="1134" w:hanging="1134"/>
        <w:rPr>
          <w:noProof/>
          <w:lang w:val="fr-FR"/>
        </w:rPr>
      </w:pPr>
      <w:r w:rsidRPr="00F10460">
        <w:rPr>
          <w:lang w:val="fr-FR"/>
        </w:rPr>
        <w:tab/>
        <w:t>III.</w:t>
      </w:r>
      <w:r w:rsidRPr="00F10460">
        <w:rPr>
          <w:lang w:val="fr-FR"/>
        </w:rPr>
        <w:tab/>
        <w:t>Élection du Bureau pour 2021 (point 2 de l</w:t>
      </w:r>
      <w:r>
        <w:rPr>
          <w:lang w:val="fr-FR"/>
        </w:rPr>
        <w:t>’</w:t>
      </w:r>
      <w:r w:rsidRPr="00F10460">
        <w:rPr>
          <w:lang w:val="fr-FR"/>
        </w:rPr>
        <w:t>ordre du jour)</w:t>
      </w:r>
      <w:r w:rsidRPr="00F10460">
        <w:rPr>
          <w:noProof/>
          <w:webHidden/>
          <w:lang w:val="fr-FR"/>
        </w:rPr>
        <w:tab/>
      </w:r>
      <w:r w:rsidRPr="00F10460">
        <w:rPr>
          <w:noProof/>
          <w:webHidden/>
          <w:lang w:val="fr-FR"/>
        </w:rPr>
        <w:tab/>
      </w:r>
      <w:r w:rsidR="00D77BF1">
        <w:rPr>
          <w:noProof/>
          <w:webHidden/>
          <w:lang w:val="fr-FR"/>
        </w:rPr>
        <w:t>6</w:t>
      </w:r>
    </w:p>
    <w:p w14:paraId="70EE8726" w14:textId="77777777" w:rsidR="00C22589" w:rsidRPr="00F10460" w:rsidRDefault="00C22589" w:rsidP="00275CCD">
      <w:pPr>
        <w:tabs>
          <w:tab w:val="right" w:pos="850"/>
          <w:tab w:val="right" w:leader="dot" w:pos="8787"/>
          <w:tab w:val="right" w:pos="9638"/>
        </w:tabs>
        <w:spacing w:after="120"/>
        <w:ind w:left="1134" w:hanging="1134"/>
        <w:rPr>
          <w:noProof/>
          <w:lang w:val="fr-FR"/>
        </w:rPr>
      </w:pPr>
      <w:r w:rsidRPr="00F10460">
        <w:rPr>
          <w:lang w:val="fr-FR"/>
        </w:rPr>
        <w:tab/>
        <w:t>IV.</w:t>
      </w:r>
      <w:r w:rsidRPr="00F10460">
        <w:rPr>
          <w:lang w:val="fr-FR"/>
        </w:rPr>
        <w:tab/>
        <w:t>Questions découlant des travaux d</w:t>
      </w:r>
      <w:r>
        <w:rPr>
          <w:lang w:val="fr-FR"/>
        </w:rPr>
        <w:t>’</w:t>
      </w:r>
      <w:r w:rsidRPr="00F10460">
        <w:rPr>
          <w:lang w:val="fr-FR"/>
        </w:rPr>
        <w:t>organes des Nations Unies ou d</w:t>
      </w:r>
      <w:r>
        <w:rPr>
          <w:lang w:val="fr-FR"/>
        </w:rPr>
        <w:t>’</w:t>
      </w:r>
      <w:r w:rsidRPr="00F10460">
        <w:rPr>
          <w:lang w:val="fr-FR"/>
        </w:rPr>
        <w:t xml:space="preserve">autres organisations </w:t>
      </w:r>
      <w:r w:rsidRPr="00F10460">
        <w:rPr>
          <w:lang w:val="fr-FR"/>
        </w:rPr>
        <w:br/>
        <w:t>(point 3 de l</w:t>
      </w:r>
      <w:r>
        <w:rPr>
          <w:lang w:val="fr-FR"/>
        </w:rPr>
        <w:t>’</w:t>
      </w:r>
      <w:r w:rsidRPr="00F10460">
        <w:rPr>
          <w:lang w:val="fr-FR"/>
        </w:rPr>
        <w:t>ordre du jour)</w:t>
      </w:r>
      <w:r w:rsidRPr="00F10460">
        <w:rPr>
          <w:noProof/>
          <w:webHidden/>
          <w:lang w:val="fr-FR"/>
        </w:rPr>
        <w:tab/>
      </w:r>
      <w:r w:rsidRPr="00F10460">
        <w:rPr>
          <w:noProof/>
          <w:webHidden/>
          <w:lang w:val="fr-FR"/>
        </w:rPr>
        <w:tab/>
        <w:t>6</w:t>
      </w:r>
    </w:p>
    <w:p w14:paraId="09C3B4B2" w14:textId="77777777" w:rsidR="00C22589" w:rsidRPr="00F10460" w:rsidRDefault="00C22589" w:rsidP="00275CCD">
      <w:pPr>
        <w:tabs>
          <w:tab w:val="right" w:leader="dot" w:pos="8787"/>
          <w:tab w:val="right" w:pos="9638"/>
        </w:tabs>
        <w:spacing w:after="120"/>
        <w:ind w:left="1559" w:hanging="425"/>
        <w:rPr>
          <w:noProof/>
          <w:lang w:val="fr-FR"/>
        </w:rPr>
      </w:pPr>
      <w:r w:rsidRPr="00F10460">
        <w:rPr>
          <w:lang w:val="fr-FR"/>
        </w:rPr>
        <w:t>A.</w:t>
      </w:r>
      <w:r w:rsidRPr="00F10460">
        <w:rPr>
          <w:lang w:val="fr-FR"/>
        </w:rPr>
        <w:tab/>
        <w:t>Travaux du Comité des transports intérieurs</w:t>
      </w:r>
      <w:r w:rsidRPr="00F10460">
        <w:rPr>
          <w:noProof/>
          <w:webHidden/>
          <w:lang w:val="fr-FR"/>
        </w:rPr>
        <w:tab/>
      </w:r>
      <w:r w:rsidRPr="00F10460">
        <w:rPr>
          <w:noProof/>
          <w:webHidden/>
          <w:lang w:val="fr-FR"/>
        </w:rPr>
        <w:tab/>
        <w:t>6</w:t>
      </w:r>
    </w:p>
    <w:p w14:paraId="33F7C14B" w14:textId="77777777" w:rsidR="00C22589" w:rsidRPr="00F10460" w:rsidRDefault="00C22589" w:rsidP="00275CCD">
      <w:pPr>
        <w:tabs>
          <w:tab w:val="right" w:leader="dot" w:pos="8787"/>
          <w:tab w:val="right" w:pos="9638"/>
        </w:tabs>
        <w:spacing w:after="120"/>
        <w:ind w:left="1559" w:hanging="425"/>
        <w:rPr>
          <w:noProof/>
          <w:lang w:val="fr-FR"/>
        </w:rPr>
      </w:pPr>
      <w:r w:rsidRPr="00F10460">
        <w:rPr>
          <w:lang w:val="fr-FR"/>
        </w:rPr>
        <w:t>B.</w:t>
      </w:r>
      <w:r w:rsidRPr="00F10460">
        <w:rPr>
          <w:lang w:val="fr-FR"/>
        </w:rPr>
        <w:tab/>
        <w:t>Intervention de la Commission du Danube</w:t>
      </w:r>
      <w:r w:rsidRPr="00F10460">
        <w:rPr>
          <w:noProof/>
          <w:webHidden/>
          <w:lang w:val="fr-FR"/>
        </w:rPr>
        <w:tab/>
      </w:r>
      <w:r w:rsidRPr="00F10460">
        <w:rPr>
          <w:noProof/>
          <w:webHidden/>
          <w:lang w:val="fr-FR"/>
        </w:rPr>
        <w:tab/>
        <w:t>6</w:t>
      </w:r>
    </w:p>
    <w:p w14:paraId="42BF2FAA" w14:textId="77777777" w:rsidR="00C22589" w:rsidRPr="00F10460" w:rsidRDefault="00C22589" w:rsidP="00275CCD">
      <w:pPr>
        <w:tabs>
          <w:tab w:val="right" w:pos="850"/>
          <w:tab w:val="right" w:leader="dot" w:pos="8787"/>
          <w:tab w:val="right" w:pos="9638"/>
        </w:tabs>
        <w:spacing w:after="120"/>
        <w:ind w:left="1134" w:hanging="1134"/>
        <w:rPr>
          <w:noProof/>
          <w:lang w:val="fr-FR"/>
        </w:rPr>
      </w:pPr>
      <w:r w:rsidRPr="00F10460">
        <w:rPr>
          <w:lang w:val="fr-FR"/>
        </w:rPr>
        <w:tab/>
        <w:t>V.</w:t>
      </w:r>
      <w:r w:rsidRPr="00F10460">
        <w:rPr>
          <w:lang w:val="fr-FR"/>
        </w:rPr>
        <w:tab/>
        <w:t>Mise en œuvre de l</w:t>
      </w:r>
      <w:r>
        <w:rPr>
          <w:lang w:val="fr-FR"/>
        </w:rPr>
        <w:t>’</w:t>
      </w:r>
      <w:r w:rsidRPr="00F10460">
        <w:rPr>
          <w:lang w:val="fr-FR"/>
        </w:rPr>
        <w:t xml:space="preserve">Accord européen relatif au transport international des marchandises </w:t>
      </w:r>
      <w:r w:rsidR="00D77BF1">
        <w:rPr>
          <w:lang w:val="fr-FR"/>
        </w:rPr>
        <w:br/>
      </w:r>
      <w:r w:rsidRPr="00F10460">
        <w:rPr>
          <w:lang w:val="fr-FR"/>
        </w:rPr>
        <w:t>dangereuses par voies de navigation intérieures (ADN) (point 4 de l</w:t>
      </w:r>
      <w:r>
        <w:rPr>
          <w:lang w:val="fr-FR"/>
        </w:rPr>
        <w:t>’</w:t>
      </w:r>
      <w:r w:rsidRPr="00F10460">
        <w:rPr>
          <w:lang w:val="fr-FR"/>
        </w:rPr>
        <w:t>ordre du jour)</w:t>
      </w:r>
      <w:r w:rsidRPr="00F10460">
        <w:rPr>
          <w:noProof/>
          <w:webHidden/>
          <w:lang w:val="fr-FR"/>
        </w:rPr>
        <w:tab/>
      </w:r>
      <w:r w:rsidRPr="00F10460">
        <w:rPr>
          <w:noProof/>
          <w:webHidden/>
          <w:lang w:val="fr-FR"/>
        </w:rPr>
        <w:tab/>
        <w:t>6</w:t>
      </w:r>
    </w:p>
    <w:p w14:paraId="3B94694B" w14:textId="77777777" w:rsidR="00C22589" w:rsidRPr="00F10460" w:rsidRDefault="00C22589" w:rsidP="00275CCD">
      <w:pPr>
        <w:tabs>
          <w:tab w:val="right" w:leader="dot" w:pos="8787"/>
          <w:tab w:val="right" w:pos="9638"/>
        </w:tabs>
        <w:spacing w:after="120"/>
        <w:ind w:left="1559" w:hanging="425"/>
        <w:rPr>
          <w:noProof/>
          <w:lang w:val="fr-FR"/>
        </w:rPr>
      </w:pPr>
      <w:r w:rsidRPr="00F10460">
        <w:rPr>
          <w:lang w:val="fr-FR"/>
        </w:rPr>
        <w:t>A.</w:t>
      </w:r>
      <w:r w:rsidRPr="00F10460">
        <w:rPr>
          <w:lang w:val="fr-FR"/>
        </w:rPr>
        <w:tab/>
        <w:t>État de l</w:t>
      </w:r>
      <w:r>
        <w:rPr>
          <w:lang w:val="fr-FR"/>
        </w:rPr>
        <w:t>’</w:t>
      </w:r>
      <w:r w:rsidRPr="00F10460">
        <w:rPr>
          <w:lang w:val="fr-FR"/>
        </w:rPr>
        <w:t>ADN</w:t>
      </w:r>
      <w:r w:rsidRPr="00F10460">
        <w:rPr>
          <w:noProof/>
          <w:webHidden/>
          <w:lang w:val="fr-FR"/>
        </w:rPr>
        <w:tab/>
      </w:r>
      <w:r w:rsidRPr="00F10460">
        <w:rPr>
          <w:noProof/>
          <w:webHidden/>
          <w:lang w:val="fr-FR"/>
        </w:rPr>
        <w:tab/>
        <w:t>6</w:t>
      </w:r>
    </w:p>
    <w:p w14:paraId="47984899" w14:textId="77777777" w:rsidR="00C22589" w:rsidRPr="00F10460" w:rsidRDefault="00C22589" w:rsidP="00275CCD">
      <w:pPr>
        <w:tabs>
          <w:tab w:val="right" w:leader="dot" w:pos="8787"/>
          <w:tab w:val="right" w:pos="9638"/>
        </w:tabs>
        <w:spacing w:after="120"/>
        <w:ind w:left="1559" w:hanging="425"/>
        <w:rPr>
          <w:noProof/>
          <w:lang w:val="fr-FR"/>
        </w:rPr>
      </w:pPr>
      <w:r w:rsidRPr="00F10460">
        <w:rPr>
          <w:lang w:val="fr-FR"/>
        </w:rPr>
        <w:t>B.</w:t>
      </w:r>
      <w:r w:rsidRPr="00F10460">
        <w:rPr>
          <w:lang w:val="fr-FR"/>
        </w:rPr>
        <w:tab/>
        <w:t>Autorisations spéciales, dérogations et équivalences</w:t>
      </w:r>
      <w:r w:rsidRPr="00F10460">
        <w:rPr>
          <w:noProof/>
          <w:webHidden/>
          <w:lang w:val="fr-FR"/>
        </w:rPr>
        <w:tab/>
      </w:r>
      <w:r w:rsidRPr="00F10460">
        <w:rPr>
          <w:noProof/>
          <w:webHidden/>
          <w:lang w:val="fr-FR"/>
        </w:rPr>
        <w:tab/>
        <w:t>7</w:t>
      </w:r>
    </w:p>
    <w:p w14:paraId="3825F411" w14:textId="77777777" w:rsidR="00C22589" w:rsidRPr="00F10460" w:rsidRDefault="00C22589" w:rsidP="00275CCD">
      <w:pPr>
        <w:tabs>
          <w:tab w:val="right" w:leader="dot" w:pos="8787"/>
          <w:tab w:val="right" w:pos="9638"/>
        </w:tabs>
        <w:spacing w:after="120"/>
        <w:ind w:left="1559"/>
        <w:rPr>
          <w:noProof/>
          <w:lang w:val="fr-FR"/>
        </w:rPr>
      </w:pPr>
      <w:r w:rsidRPr="00F10460">
        <w:rPr>
          <w:lang w:val="fr-FR"/>
        </w:rPr>
        <w:t>Annonce d</w:t>
      </w:r>
      <w:r>
        <w:rPr>
          <w:lang w:val="fr-FR"/>
        </w:rPr>
        <w:t>’</w:t>
      </w:r>
      <w:r w:rsidRPr="00F10460">
        <w:rPr>
          <w:lang w:val="fr-FR"/>
        </w:rPr>
        <w:t>une demande de dérogation pour la construction d</w:t>
      </w:r>
      <w:r>
        <w:rPr>
          <w:lang w:val="fr-FR"/>
        </w:rPr>
        <w:t>’</w:t>
      </w:r>
      <w:r w:rsidRPr="00F10460">
        <w:rPr>
          <w:lang w:val="fr-FR"/>
        </w:rPr>
        <w:t xml:space="preserve">un bateau avitailleur </w:t>
      </w:r>
      <w:r w:rsidR="008C63D6">
        <w:rPr>
          <w:lang w:val="fr-FR"/>
        </w:rPr>
        <w:br/>
      </w:r>
      <w:r w:rsidRPr="00F10460">
        <w:rPr>
          <w:lang w:val="fr-FR"/>
        </w:rPr>
        <w:t>en GNL avec des citernes de plus de 1 000 m³</w:t>
      </w:r>
      <w:r w:rsidRPr="00F10460">
        <w:rPr>
          <w:noProof/>
          <w:webHidden/>
          <w:lang w:val="fr-FR"/>
        </w:rPr>
        <w:tab/>
      </w:r>
      <w:r w:rsidRPr="00F10460">
        <w:rPr>
          <w:noProof/>
          <w:webHidden/>
          <w:lang w:val="fr-FR"/>
        </w:rPr>
        <w:tab/>
        <w:t>7</w:t>
      </w:r>
    </w:p>
    <w:p w14:paraId="23110BE4" w14:textId="77777777" w:rsidR="00C22589" w:rsidRPr="00F10460" w:rsidRDefault="00C22589" w:rsidP="00275CCD">
      <w:pPr>
        <w:tabs>
          <w:tab w:val="right" w:leader="dot" w:pos="8787"/>
          <w:tab w:val="right" w:pos="9638"/>
        </w:tabs>
        <w:spacing w:after="120"/>
        <w:ind w:left="1559" w:hanging="425"/>
        <w:rPr>
          <w:noProof/>
          <w:lang w:val="fr-FR"/>
        </w:rPr>
      </w:pPr>
      <w:r w:rsidRPr="00F10460">
        <w:rPr>
          <w:lang w:val="fr-FR"/>
        </w:rPr>
        <w:t>C.</w:t>
      </w:r>
      <w:r w:rsidR="00275CCD">
        <w:rPr>
          <w:lang w:val="fr-FR"/>
        </w:rPr>
        <w:tab/>
      </w:r>
      <w:r w:rsidRPr="00F10460">
        <w:rPr>
          <w:lang w:val="fr-FR"/>
        </w:rPr>
        <w:t>Interprétation du Règlement annexé à l</w:t>
      </w:r>
      <w:r>
        <w:rPr>
          <w:lang w:val="fr-FR"/>
        </w:rPr>
        <w:t>’</w:t>
      </w:r>
      <w:r w:rsidRPr="00F10460">
        <w:rPr>
          <w:lang w:val="fr-FR"/>
        </w:rPr>
        <w:t>ADN</w:t>
      </w:r>
      <w:r w:rsidRPr="00F10460">
        <w:rPr>
          <w:noProof/>
          <w:webHidden/>
          <w:lang w:val="fr-FR"/>
        </w:rPr>
        <w:tab/>
      </w:r>
      <w:r w:rsidRPr="00F10460">
        <w:rPr>
          <w:noProof/>
          <w:webHidden/>
          <w:lang w:val="fr-FR"/>
        </w:rPr>
        <w:tab/>
        <w:t>7</w:t>
      </w:r>
    </w:p>
    <w:p w14:paraId="6001E9E4"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1.</w:t>
      </w:r>
      <w:r w:rsidRPr="00F10460">
        <w:rPr>
          <w:lang w:val="fr-FR"/>
        </w:rPr>
        <w:tab/>
        <w:t>1.6.7.2.2.1 en comparaison avec le 1.6.7.2.2.2 et le 9.3.3.8.1 de l</w:t>
      </w:r>
      <w:r>
        <w:rPr>
          <w:lang w:val="fr-FR"/>
        </w:rPr>
        <w:t>’</w:t>
      </w:r>
      <w:r w:rsidRPr="00F10460">
        <w:rPr>
          <w:lang w:val="fr-FR"/>
        </w:rPr>
        <w:t>ADN</w:t>
      </w:r>
      <w:r w:rsidR="00275CCD">
        <w:rPr>
          <w:lang w:val="fr-FR"/>
        </w:rPr>
        <w:br/>
        <w:t>− </w:t>
      </w:r>
      <w:r w:rsidRPr="00F10460">
        <w:rPr>
          <w:lang w:val="fr-FR"/>
        </w:rPr>
        <w:t>Maintien de la classe</w:t>
      </w:r>
      <w:r w:rsidRPr="00F10460">
        <w:rPr>
          <w:noProof/>
          <w:webHidden/>
          <w:lang w:val="fr-FR"/>
        </w:rPr>
        <w:tab/>
      </w:r>
      <w:r w:rsidRPr="00F10460">
        <w:rPr>
          <w:noProof/>
          <w:webHidden/>
          <w:lang w:val="fr-FR"/>
        </w:rPr>
        <w:tab/>
        <w:t>7</w:t>
      </w:r>
    </w:p>
    <w:p w14:paraId="4476B548"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2.</w:t>
      </w:r>
      <w:r w:rsidRPr="00F10460">
        <w:rPr>
          <w:lang w:val="fr-FR"/>
        </w:rPr>
        <w:tab/>
        <w:t>Paragraphes 9.3.x.13.3 de l</w:t>
      </w:r>
      <w:r>
        <w:rPr>
          <w:lang w:val="fr-FR"/>
        </w:rPr>
        <w:t>’</w:t>
      </w:r>
      <w:r w:rsidRPr="00F10460">
        <w:rPr>
          <w:lang w:val="fr-FR"/>
        </w:rPr>
        <w:t>ADN</w:t>
      </w:r>
      <w:r w:rsidR="00275CCD">
        <w:rPr>
          <w:lang w:val="fr-FR"/>
        </w:rPr>
        <w:t xml:space="preserve"> − </w:t>
      </w:r>
      <w:r w:rsidRPr="00F10460">
        <w:rPr>
          <w:lang w:val="fr-FR"/>
        </w:rPr>
        <w:t>Manuel de stabilité</w:t>
      </w:r>
      <w:r w:rsidRPr="00F10460">
        <w:rPr>
          <w:noProof/>
          <w:webHidden/>
          <w:lang w:val="fr-FR"/>
        </w:rPr>
        <w:tab/>
      </w:r>
      <w:r w:rsidRPr="00F10460">
        <w:rPr>
          <w:noProof/>
          <w:webHidden/>
          <w:lang w:val="fr-FR"/>
        </w:rPr>
        <w:tab/>
      </w:r>
      <w:r w:rsidR="00D77BF1">
        <w:rPr>
          <w:noProof/>
          <w:webHidden/>
          <w:lang w:val="fr-FR"/>
        </w:rPr>
        <w:t>8</w:t>
      </w:r>
    </w:p>
    <w:p w14:paraId="191562C0" w14:textId="77777777" w:rsidR="00C22589" w:rsidRPr="00FD1BF9" w:rsidRDefault="00C22589" w:rsidP="00275CCD">
      <w:pPr>
        <w:tabs>
          <w:tab w:val="right" w:leader="dot" w:pos="8787"/>
          <w:tab w:val="right" w:pos="9638"/>
        </w:tabs>
        <w:spacing w:after="120"/>
        <w:ind w:left="1984" w:hanging="425"/>
        <w:rPr>
          <w:noProof/>
          <w:lang w:val="es-ES"/>
        </w:rPr>
      </w:pPr>
      <w:r w:rsidRPr="00FD1BF9">
        <w:rPr>
          <w:lang w:val="es-ES"/>
        </w:rPr>
        <w:t>3.</w:t>
      </w:r>
      <w:r w:rsidRPr="00FD1BF9">
        <w:rPr>
          <w:lang w:val="es-ES"/>
        </w:rPr>
        <w:tab/>
        <w:t>3.2.3.2 Tableau C de l</w:t>
      </w:r>
      <w:r>
        <w:rPr>
          <w:lang w:val="es-ES"/>
        </w:rPr>
        <w:t>’</w:t>
      </w:r>
      <w:r w:rsidRPr="00FD1BF9">
        <w:rPr>
          <w:lang w:val="es-ES"/>
        </w:rPr>
        <w:t>ADN, N</w:t>
      </w:r>
      <w:r w:rsidRPr="00275CCD">
        <w:rPr>
          <w:vertAlign w:val="superscript"/>
          <w:lang w:val="es-ES"/>
        </w:rPr>
        <w:t>o</w:t>
      </w:r>
      <w:r w:rsidRPr="00FD1BF9">
        <w:rPr>
          <w:lang w:val="es-ES"/>
        </w:rPr>
        <w:t> ONU 1999</w:t>
      </w:r>
      <w:r w:rsidRPr="00FD1BF9">
        <w:rPr>
          <w:noProof/>
          <w:webHidden/>
          <w:lang w:val="es-ES"/>
        </w:rPr>
        <w:tab/>
      </w:r>
      <w:r w:rsidRPr="00FD1BF9">
        <w:rPr>
          <w:noProof/>
          <w:webHidden/>
          <w:lang w:val="es-ES"/>
        </w:rPr>
        <w:tab/>
        <w:t>8</w:t>
      </w:r>
    </w:p>
    <w:p w14:paraId="647A2030"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4.</w:t>
      </w:r>
      <w:r w:rsidRPr="00F10460">
        <w:rPr>
          <w:lang w:val="fr-FR"/>
        </w:rPr>
        <w:tab/>
        <w:t>1.2.1 de l</w:t>
      </w:r>
      <w:r>
        <w:rPr>
          <w:lang w:val="fr-FR"/>
        </w:rPr>
        <w:t>’</w:t>
      </w:r>
      <w:r w:rsidRPr="00F10460">
        <w:rPr>
          <w:lang w:val="fr-FR"/>
        </w:rPr>
        <w:t>ADN</w:t>
      </w:r>
      <w:r w:rsidR="00275CCD">
        <w:rPr>
          <w:lang w:val="fr-FR"/>
        </w:rPr>
        <w:t xml:space="preserve"> </w:t>
      </w:r>
      <w:r w:rsidRPr="00F10460">
        <w:rPr>
          <w:lang w:val="fr-FR"/>
        </w:rPr>
        <w:t>− Classement en zones</w:t>
      </w:r>
      <w:r w:rsidRPr="00F10460">
        <w:rPr>
          <w:noProof/>
          <w:webHidden/>
          <w:lang w:val="fr-FR"/>
        </w:rPr>
        <w:tab/>
      </w:r>
      <w:r w:rsidRPr="00F10460">
        <w:rPr>
          <w:noProof/>
          <w:webHidden/>
          <w:lang w:val="fr-FR"/>
        </w:rPr>
        <w:tab/>
        <w:t>8</w:t>
      </w:r>
    </w:p>
    <w:p w14:paraId="3C31B35F"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5.</w:t>
      </w:r>
      <w:r w:rsidRPr="00F10460">
        <w:rPr>
          <w:lang w:val="fr-FR"/>
        </w:rPr>
        <w:tab/>
        <w:t>Matières non détectables pour lesquelles un toximètre est exigé</w:t>
      </w:r>
      <w:r w:rsidRPr="00F10460">
        <w:rPr>
          <w:noProof/>
          <w:webHidden/>
          <w:lang w:val="fr-FR"/>
        </w:rPr>
        <w:tab/>
      </w:r>
      <w:r w:rsidRPr="00F10460">
        <w:rPr>
          <w:noProof/>
          <w:webHidden/>
          <w:lang w:val="fr-FR"/>
        </w:rPr>
        <w:tab/>
        <w:t>8</w:t>
      </w:r>
    </w:p>
    <w:p w14:paraId="59BB067F"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6.</w:t>
      </w:r>
      <w:r w:rsidRPr="00F10460">
        <w:rPr>
          <w:lang w:val="fr-FR"/>
        </w:rPr>
        <w:tab/>
        <w:t>Agrément des sociétés de classification</w:t>
      </w:r>
      <w:r w:rsidR="00275CCD">
        <w:rPr>
          <w:lang w:val="fr-FR"/>
        </w:rPr>
        <w:t xml:space="preserve"> </w:t>
      </w:r>
      <w:r w:rsidRPr="00F10460">
        <w:rPr>
          <w:lang w:val="fr-FR"/>
        </w:rPr>
        <w:t>− Interprétation du 1.15.1 et du 1.15.3.8</w:t>
      </w:r>
      <w:r w:rsidRPr="00F10460">
        <w:rPr>
          <w:noProof/>
          <w:webHidden/>
          <w:lang w:val="fr-FR"/>
        </w:rPr>
        <w:tab/>
      </w:r>
      <w:r w:rsidRPr="00F10460">
        <w:rPr>
          <w:noProof/>
          <w:webHidden/>
          <w:lang w:val="fr-FR"/>
        </w:rPr>
        <w:tab/>
        <w:t>8</w:t>
      </w:r>
    </w:p>
    <w:p w14:paraId="76F51ECF"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7.</w:t>
      </w:r>
      <w:r w:rsidRPr="00F10460">
        <w:rPr>
          <w:lang w:val="fr-FR"/>
        </w:rPr>
        <w:tab/>
        <w:t>Attestations de spécialisation des experts</w:t>
      </w:r>
      <w:r w:rsidR="00275CCD">
        <w:rPr>
          <w:lang w:val="fr-FR"/>
        </w:rPr>
        <w:t xml:space="preserve"> </w:t>
      </w:r>
      <w:r w:rsidRPr="00F10460">
        <w:rPr>
          <w:lang w:val="fr-FR"/>
        </w:rPr>
        <w:t>− Interprétation du chapitre 8.2</w:t>
      </w:r>
      <w:r w:rsidRPr="00F10460">
        <w:rPr>
          <w:noProof/>
          <w:webHidden/>
          <w:lang w:val="fr-FR"/>
        </w:rPr>
        <w:tab/>
      </w:r>
      <w:r w:rsidRPr="00F10460">
        <w:rPr>
          <w:noProof/>
          <w:webHidden/>
          <w:lang w:val="fr-FR"/>
        </w:rPr>
        <w:tab/>
        <w:t>9</w:t>
      </w:r>
    </w:p>
    <w:p w14:paraId="34ABE1E3"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8.</w:t>
      </w:r>
      <w:r w:rsidRPr="00F10460">
        <w:rPr>
          <w:lang w:val="fr-FR"/>
        </w:rPr>
        <w:tab/>
        <w:t>Attestation relative aux connaissances particulières de l</w:t>
      </w:r>
      <w:r>
        <w:rPr>
          <w:lang w:val="fr-FR"/>
        </w:rPr>
        <w:t>’</w:t>
      </w:r>
      <w:r w:rsidRPr="00F10460">
        <w:rPr>
          <w:lang w:val="fr-FR"/>
        </w:rPr>
        <w:t>ADN</w:t>
      </w:r>
      <w:r w:rsidR="00275CCD">
        <w:rPr>
          <w:lang w:val="fr-FR"/>
        </w:rPr>
        <w:t xml:space="preserve"> </w:t>
      </w:r>
      <w:r w:rsidRPr="00F10460">
        <w:rPr>
          <w:lang w:val="fr-FR"/>
        </w:rPr>
        <w:t>− Section 8.6.2</w:t>
      </w:r>
      <w:r w:rsidRPr="00F10460">
        <w:rPr>
          <w:noProof/>
          <w:webHidden/>
          <w:lang w:val="fr-FR"/>
        </w:rPr>
        <w:tab/>
      </w:r>
      <w:r w:rsidRPr="00F10460">
        <w:rPr>
          <w:noProof/>
          <w:webHidden/>
          <w:lang w:val="fr-FR"/>
        </w:rPr>
        <w:tab/>
        <w:t>9</w:t>
      </w:r>
    </w:p>
    <w:p w14:paraId="41059084"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9.</w:t>
      </w:r>
      <w:r w:rsidRPr="00F10460">
        <w:rPr>
          <w:lang w:val="fr-FR"/>
        </w:rPr>
        <w:tab/>
        <w:t>Renouvellement du certificat d</w:t>
      </w:r>
      <w:r>
        <w:rPr>
          <w:lang w:val="fr-FR"/>
        </w:rPr>
        <w:t>’</w:t>
      </w:r>
      <w:r w:rsidRPr="00F10460">
        <w:rPr>
          <w:lang w:val="fr-FR"/>
        </w:rPr>
        <w:t>agrément − Section 1.16.10 du Règlement annexé</w:t>
      </w:r>
      <w:r w:rsidRPr="00F10460">
        <w:rPr>
          <w:noProof/>
          <w:webHidden/>
          <w:lang w:val="fr-FR"/>
        </w:rPr>
        <w:tab/>
      </w:r>
      <w:r w:rsidRPr="00F10460">
        <w:rPr>
          <w:noProof/>
          <w:webHidden/>
          <w:lang w:val="fr-FR"/>
        </w:rPr>
        <w:tab/>
        <w:t>9</w:t>
      </w:r>
    </w:p>
    <w:p w14:paraId="0D85E3A2"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10.</w:t>
      </w:r>
      <w:r w:rsidRPr="00F10460">
        <w:rPr>
          <w:lang w:val="fr-FR"/>
        </w:rPr>
        <w:tab/>
        <w:t>Interprétation du 9.3.3.12.2</w:t>
      </w:r>
      <w:r w:rsidRPr="00F10460">
        <w:rPr>
          <w:noProof/>
          <w:webHidden/>
          <w:lang w:val="fr-FR"/>
        </w:rPr>
        <w:tab/>
      </w:r>
      <w:r w:rsidRPr="00F10460">
        <w:rPr>
          <w:noProof/>
          <w:webHidden/>
          <w:lang w:val="fr-FR"/>
        </w:rPr>
        <w:tab/>
        <w:t>9</w:t>
      </w:r>
    </w:p>
    <w:p w14:paraId="647A82DC"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11.</w:t>
      </w:r>
      <w:r w:rsidRPr="00F10460">
        <w:rPr>
          <w:lang w:val="fr-FR"/>
        </w:rPr>
        <w:tab/>
        <w:t>Sous-section 8.1.2.2 de l</w:t>
      </w:r>
      <w:r>
        <w:rPr>
          <w:lang w:val="fr-FR"/>
        </w:rPr>
        <w:t>’</w:t>
      </w:r>
      <w:r w:rsidRPr="00F10460">
        <w:rPr>
          <w:lang w:val="fr-FR"/>
        </w:rPr>
        <w:t>ADN</w:t>
      </w:r>
      <w:r w:rsidR="00275CCD">
        <w:rPr>
          <w:lang w:val="fr-FR"/>
        </w:rPr>
        <w:t xml:space="preserve"> </w:t>
      </w:r>
      <w:r w:rsidRPr="00F10460">
        <w:rPr>
          <w:lang w:val="fr-FR"/>
        </w:rPr>
        <w:t xml:space="preserve">− Documents devant se trouver à bord </w:t>
      </w:r>
      <w:r w:rsidR="004C0A5C">
        <w:rPr>
          <w:lang w:val="fr-FR"/>
        </w:rPr>
        <w:br/>
      </w:r>
      <w:r w:rsidRPr="00F10460">
        <w:rPr>
          <w:lang w:val="fr-FR"/>
        </w:rPr>
        <w:t>des bateaux à marchandises sèches</w:t>
      </w:r>
      <w:r w:rsidR="00275CCD">
        <w:rPr>
          <w:lang w:val="fr-FR"/>
        </w:rPr>
        <w:t xml:space="preserve"> </w:t>
      </w:r>
      <w:r w:rsidRPr="00F10460">
        <w:rPr>
          <w:lang w:val="fr-FR"/>
        </w:rPr>
        <w:t>− Protection anti-explosion</w:t>
      </w:r>
      <w:r w:rsidRPr="00F10460">
        <w:rPr>
          <w:noProof/>
          <w:webHidden/>
          <w:lang w:val="fr-FR"/>
        </w:rPr>
        <w:tab/>
      </w:r>
      <w:r w:rsidRPr="00F10460">
        <w:rPr>
          <w:noProof/>
          <w:webHidden/>
          <w:lang w:val="fr-FR"/>
        </w:rPr>
        <w:tab/>
      </w:r>
      <w:r w:rsidR="00D77BF1">
        <w:rPr>
          <w:noProof/>
          <w:webHidden/>
          <w:lang w:val="fr-FR"/>
        </w:rPr>
        <w:t>10</w:t>
      </w:r>
    </w:p>
    <w:p w14:paraId="4AFB16ED"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12.</w:t>
      </w:r>
      <w:r w:rsidRPr="00F10460">
        <w:rPr>
          <w:lang w:val="fr-FR"/>
        </w:rPr>
        <w:tab/>
        <w:t>Sous-section 9.3.x.0 de l</w:t>
      </w:r>
      <w:r>
        <w:rPr>
          <w:lang w:val="fr-FR"/>
        </w:rPr>
        <w:t>’</w:t>
      </w:r>
      <w:r w:rsidRPr="00F10460">
        <w:rPr>
          <w:lang w:val="fr-FR"/>
        </w:rPr>
        <w:t xml:space="preserve">ADN − Matériaux de construction pour les canots </w:t>
      </w:r>
      <w:r w:rsidR="004C0A5C">
        <w:rPr>
          <w:lang w:val="fr-FR"/>
        </w:rPr>
        <w:br/>
      </w:r>
      <w:r w:rsidRPr="00F10460">
        <w:rPr>
          <w:lang w:val="fr-FR"/>
        </w:rPr>
        <w:t>de sauvetage et ajout de l</w:t>
      </w:r>
      <w:r>
        <w:rPr>
          <w:lang w:val="fr-FR"/>
        </w:rPr>
        <w:t>’</w:t>
      </w:r>
      <w:r w:rsidRPr="00F10460">
        <w:rPr>
          <w:lang w:val="fr-FR"/>
        </w:rPr>
        <w:t xml:space="preserve">utilisation de matériaux dans la zone </w:t>
      </w:r>
      <w:r w:rsidR="004C0A5C">
        <w:rPr>
          <w:lang w:val="fr-FR"/>
        </w:rPr>
        <w:br/>
      </w:r>
      <w:r w:rsidRPr="00F10460">
        <w:rPr>
          <w:lang w:val="fr-FR"/>
        </w:rPr>
        <w:t>de cargaison des chalands-citernes</w:t>
      </w:r>
      <w:r w:rsidRPr="00F10460">
        <w:rPr>
          <w:noProof/>
          <w:webHidden/>
          <w:lang w:val="fr-FR"/>
        </w:rPr>
        <w:tab/>
      </w:r>
      <w:r w:rsidRPr="00F10460">
        <w:rPr>
          <w:noProof/>
          <w:webHidden/>
          <w:lang w:val="fr-FR"/>
        </w:rPr>
        <w:tab/>
        <w:t>10</w:t>
      </w:r>
    </w:p>
    <w:p w14:paraId="1DAB563F"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13.</w:t>
      </w:r>
      <w:r w:rsidRPr="00F10460">
        <w:rPr>
          <w:lang w:val="fr-FR"/>
        </w:rPr>
        <w:tab/>
        <w:t xml:space="preserve">Transport de cargaisons en vrac fumigées dans des cales et cales fumigées </w:t>
      </w:r>
      <w:r w:rsidR="004C0A5C">
        <w:rPr>
          <w:lang w:val="fr-FR"/>
        </w:rPr>
        <w:br/>
      </w:r>
      <w:r w:rsidRPr="00F10460">
        <w:rPr>
          <w:lang w:val="fr-FR"/>
        </w:rPr>
        <w:t>de bateaux à marchandises sèches</w:t>
      </w:r>
      <w:r w:rsidRPr="00F10460">
        <w:rPr>
          <w:noProof/>
          <w:webHidden/>
          <w:lang w:val="fr-FR"/>
        </w:rPr>
        <w:tab/>
      </w:r>
      <w:r w:rsidRPr="00F10460">
        <w:rPr>
          <w:noProof/>
          <w:webHidden/>
          <w:lang w:val="fr-FR"/>
        </w:rPr>
        <w:tab/>
        <w:t>10</w:t>
      </w:r>
    </w:p>
    <w:p w14:paraId="511861B0"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14.</w:t>
      </w:r>
      <w:r w:rsidRPr="00F10460">
        <w:rPr>
          <w:lang w:val="fr-FR"/>
        </w:rPr>
        <w:tab/>
        <w:t>Interprétation de l</w:t>
      </w:r>
      <w:r>
        <w:rPr>
          <w:lang w:val="fr-FR"/>
        </w:rPr>
        <w:t>’</w:t>
      </w:r>
      <w:r w:rsidRPr="00F10460">
        <w:rPr>
          <w:lang w:val="fr-FR"/>
        </w:rPr>
        <w:t>inspection intermédiaire et contrôle des documents</w:t>
      </w:r>
      <w:r w:rsidR="004C0A5C">
        <w:rPr>
          <w:lang w:val="fr-FR"/>
        </w:rPr>
        <w:t xml:space="preserve"> </w:t>
      </w:r>
      <w:r w:rsidRPr="00F10460">
        <w:rPr>
          <w:lang w:val="fr-FR"/>
        </w:rPr>
        <w:t>− 8.1.7.2</w:t>
      </w:r>
      <w:r w:rsidRPr="00F10460">
        <w:rPr>
          <w:lang w:val="fr-FR"/>
        </w:rPr>
        <w:tab/>
      </w:r>
      <w:r w:rsidRPr="00F10460">
        <w:rPr>
          <w:noProof/>
          <w:webHidden/>
          <w:lang w:val="fr-FR"/>
        </w:rPr>
        <w:tab/>
        <w:t>1</w:t>
      </w:r>
      <w:r w:rsidR="00D77BF1">
        <w:rPr>
          <w:noProof/>
          <w:webHidden/>
          <w:lang w:val="fr-FR"/>
        </w:rPr>
        <w:t>1</w:t>
      </w:r>
    </w:p>
    <w:p w14:paraId="2F687C9F"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15.</w:t>
      </w:r>
      <w:r w:rsidRPr="00F10460">
        <w:rPr>
          <w:lang w:val="fr-FR"/>
        </w:rPr>
        <w:tab/>
        <w:t>Ambiguïtés relatives à l</w:t>
      </w:r>
      <w:r>
        <w:rPr>
          <w:lang w:val="fr-FR"/>
        </w:rPr>
        <w:t>’</w:t>
      </w:r>
      <w:r w:rsidRPr="00F10460">
        <w:rPr>
          <w:lang w:val="fr-FR"/>
        </w:rPr>
        <w:t xml:space="preserve">application des dispositions transitoires énoncées </w:t>
      </w:r>
      <w:r w:rsidR="004C0A5C">
        <w:rPr>
          <w:lang w:val="fr-FR"/>
        </w:rPr>
        <w:br/>
      </w:r>
      <w:r w:rsidRPr="00F10460">
        <w:rPr>
          <w:lang w:val="fr-FR"/>
        </w:rPr>
        <w:t>au point 8.1.2.3 pour les documents de transport (barges-citernes)</w:t>
      </w:r>
      <w:r w:rsidRPr="00F10460">
        <w:rPr>
          <w:noProof/>
          <w:webHidden/>
          <w:lang w:val="fr-FR"/>
        </w:rPr>
        <w:tab/>
      </w:r>
      <w:r w:rsidRPr="00F10460">
        <w:rPr>
          <w:noProof/>
          <w:webHidden/>
          <w:lang w:val="fr-FR"/>
        </w:rPr>
        <w:tab/>
        <w:t>11</w:t>
      </w:r>
    </w:p>
    <w:p w14:paraId="5681B7E0" w14:textId="77777777" w:rsidR="00C22589" w:rsidRPr="00F10460" w:rsidRDefault="00C22589" w:rsidP="00D77BF1">
      <w:pPr>
        <w:tabs>
          <w:tab w:val="right" w:leader="dot" w:pos="8787"/>
          <w:tab w:val="right" w:pos="9638"/>
        </w:tabs>
        <w:spacing w:after="120"/>
        <w:ind w:left="1984" w:hanging="425"/>
        <w:rPr>
          <w:noProof/>
          <w:lang w:val="fr-FR"/>
        </w:rPr>
      </w:pPr>
      <w:r w:rsidRPr="00F10460">
        <w:rPr>
          <w:lang w:val="fr-FR"/>
        </w:rPr>
        <w:t>16.</w:t>
      </w:r>
      <w:r w:rsidRPr="00F10460">
        <w:rPr>
          <w:lang w:val="fr-FR"/>
        </w:rPr>
        <w:tab/>
        <w:t xml:space="preserve">Critères de stabilité supplémentaires pour certaines matières de la liste </w:t>
      </w:r>
      <w:r w:rsidR="004C0A5C">
        <w:rPr>
          <w:lang w:val="fr-FR"/>
        </w:rPr>
        <w:br/>
      </w:r>
      <w:r w:rsidRPr="00F10460">
        <w:rPr>
          <w:lang w:val="fr-FR"/>
        </w:rPr>
        <w:t>des matières du bateau</w:t>
      </w:r>
      <w:r w:rsidRPr="00F10460">
        <w:rPr>
          <w:lang w:val="fr-FR"/>
        </w:rPr>
        <w:tab/>
      </w:r>
      <w:r w:rsidRPr="00F10460">
        <w:rPr>
          <w:noProof/>
          <w:webHidden/>
          <w:lang w:val="fr-FR"/>
        </w:rPr>
        <w:tab/>
        <w:t>11</w:t>
      </w:r>
    </w:p>
    <w:p w14:paraId="4977FD97"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17.</w:t>
      </w:r>
      <w:r w:rsidRPr="00F10460">
        <w:rPr>
          <w:lang w:val="fr-FR"/>
        </w:rPr>
        <w:tab/>
        <w:t>Utilisation de cofferdams comme citernes de ballastage</w:t>
      </w:r>
      <w:r w:rsidR="004C0A5C">
        <w:rPr>
          <w:lang w:val="fr-FR"/>
        </w:rPr>
        <w:t xml:space="preserve"> </w:t>
      </w:r>
      <w:r w:rsidRPr="00F10460">
        <w:rPr>
          <w:lang w:val="fr-FR"/>
        </w:rPr>
        <w:t>− 7.2.3.20 de l</w:t>
      </w:r>
      <w:r>
        <w:rPr>
          <w:lang w:val="fr-FR"/>
        </w:rPr>
        <w:t>’</w:t>
      </w:r>
      <w:r w:rsidRPr="00F10460">
        <w:rPr>
          <w:lang w:val="fr-FR"/>
        </w:rPr>
        <w:t>ADN</w:t>
      </w:r>
      <w:r w:rsidRPr="00F10460">
        <w:rPr>
          <w:noProof/>
          <w:webHidden/>
          <w:lang w:val="fr-FR"/>
        </w:rPr>
        <w:tab/>
      </w:r>
      <w:r w:rsidRPr="00F10460">
        <w:rPr>
          <w:noProof/>
          <w:webHidden/>
          <w:lang w:val="fr-FR"/>
        </w:rPr>
        <w:tab/>
        <w:t>11</w:t>
      </w:r>
    </w:p>
    <w:p w14:paraId="1B48754E" w14:textId="77777777" w:rsidR="00C22589" w:rsidRPr="00F10460" w:rsidRDefault="00C22589" w:rsidP="008C63D6">
      <w:pPr>
        <w:keepNext/>
        <w:tabs>
          <w:tab w:val="right" w:leader="dot" w:pos="8787"/>
          <w:tab w:val="right" w:pos="9638"/>
        </w:tabs>
        <w:spacing w:after="120"/>
        <w:ind w:left="1559" w:hanging="425"/>
        <w:rPr>
          <w:noProof/>
          <w:lang w:val="fr-FR"/>
        </w:rPr>
      </w:pPr>
      <w:r w:rsidRPr="00F10460">
        <w:rPr>
          <w:lang w:val="fr-FR"/>
        </w:rPr>
        <w:lastRenderedPageBreak/>
        <w:t>D.</w:t>
      </w:r>
      <w:r w:rsidRPr="00F10460">
        <w:rPr>
          <w:lang w:val="fr-FR"/>
        </w:rPr>
        <w:tab/>
        <w:t>Formation des experts</w:t>
      </w:r>
      <w:r w:rsidRPr="00F10460">
        <w:rPr>
          <w:noProof/>
          <w:webHidden/>
          <w:lang w:val="fr-FR"/>
        </w:rPr>
        <w:tab/>
      </w:r>
      <w:r w:rsidRPr="00F10460">
        <w:rPr>
          <w:noProof/>
          <w:webHidden/>
          <w:lang w:val="fr-FR"/>
        </w:rPr>
        <w:tab/>
        <w:t>1</w:t>
      </w:r>
      <w:r w:rsidR="00D77BF1">
        <w:rPr>
          <w:noProof/>
          <w:webHidden/>
          <w:lang w:val="fr-FR"/>
        </w:rPr>
        <w:t>2</w:t>
      </w:r>
    </w:p>
    <w:p w14:paraId="45C8F6F2"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1.</w:t>
      </w:r>
      <w:r w:rsidRPr="00F10460">
        <w:rPr>
          <w:lang w:val="fr-FR"/>
        </w:rPr>
        <w:tab/>
        <w:t xml:space="preserve">Compte rendu de la vingt et unième réunion du groupe de travail informel </w:t>
      </w:r>
      <w:r w:rsidR="004C0A5C">
        <w:rPr>
          <w:lang w:val="fr-FR"/>
        </w:rPr>
        <w:br/>
      </w:r>
      <w:r w:rsidRPr="00F10460">
        <w:rPr>
          <w:lang w:val="fr-FR"/>
        </w:rPr>
        <w:t>de la formation des experts</w:t>
      </w:r>
      <w:r w:rsidRPr="00F10460">
        <w:rPr>
          <w:noProof/>
          <w:webHidden/>
          <w:lang w:val="fr-FR"/>
        </w:rPr>
        <w:tab/>
      </w:r>
      <w:r w:rsidRPr="00F10460">
        <w:rPr>
          <w:noProof/>
          <w:webHidden/>
          <w:lang w:val="fr-FR"/>
        </w:rPr>
        <w:tab/>
        <w:t>1</w:t>
      </w:r>
      <w:r w:rsidR="00D77BF1">
        <w:rPr>
          <w:noProof/>
          <w:webHidden/>
          <w:lang w:val="fr-FR"/>
        </w:rPr>
        <w:t>2</w:t>
      </w:r>
    </w:p>
    <w:p w14:paraId="49B671F0"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2.</w:t>
      </w:r>
      <w:r w:rsidRPr="00F10460">
        <w:rPr>
          <w:lang w:val="fr-FR"/>
        </w:rPr>
        <w:tab/>
        <w:t>Directive du Comité d</w:t>
      </w:r>
      <w:r>
        <w:rPr>
          <w:lang w:val="fr-FR"/>
        </w:rPr>
        <w:t>’</w:t>
      </w:r>
      <w:r w:rsidRPr="00F10460">
        <w:rPr>
          <w:lang w:val="fr-FR"/>
        </w:rPr>
        <w:t>administration pour l</w:t>
      </w:r>
      <w:r>
        <w:rPr>
          <w:lang w:val="fr-FR"/>
        </w:rPr>
        <w:t>’</w:t>
      </w:r>
      <w:r w:rsidRPr="00F10460">
        <w:rPr>
          <w:lang w:val="fr-FR"/>
        </w:rPr>
        <w:t xml:space="preserve">utilisation du catalogue </w:t>
      </w:r>
      <w:r w:rsidR="004C0A5C">
        <w:rPr>
          <w:lang w:val="fr-FR"/>
        </w:rPr>
        <w:br/>
      </w:r>
      <w:r w:rsidRPr="00F10460">
        <w:rPr>
          <w:lang w:val="fr-FR"/>
        </w:rPr>
        <w:t>de questions pour l</w:t>
      </w:r>
      <w:r>
        <w:rPr>
          <w:lang w:val="fr-FR"/>
        </w:rPr>
        <w:t>’</w:t>
      </w:r>
      <w:r w:rsidRPr="00F10460">
        <w:rPr>
          <w:lang w:val="fr-FR"/>
        </w:rPr>
        <w:t>examen d</w:t>
      </w:r>
      <w:r>
        <w:rPr>
          <w:lang w:val="fr-FR"/>
        </w:rPr>
        <w:t>’</w:t>
      </w:r>
      <w:r w:rsidRPr="00F10460">
        <w:rPr>
          <w:lang w:val="fr-FR"/>
        </w:rPr>
        <w:t>expert ADN (chap. 8.2)</w:t>
      </w:r>
      <w:r w:rsidRPr="00F10460">
        <w:rPr>
          <w:noProof/>
          <w:webHidden/>
          <w:lang w:val="fr-FR"/>
        </w:rPr>
        <w:tab/>
      </w:r>
      <w:r w:rsidRPr="00F10460">
        <w:rPr>
          <w:noProof/>
          <w:webHidden/>
          <w:lang w:val="fr-FR"/>
        </w:rPr>
        <w:tab/>
        <w:t>1</w:t>
      </w:r>
      <w:r w:rsidR="00D77BF1">
        <w:rPr>
          <w:noProof/>
          <w:webHidden/>
          <w:lang w:val="fr-FR"/>
        </w:rPr>
        <w:t>2</w:t>
      </w:r>
    </w:p>
    <w:p w14:paraId="773DDDB9"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3.</w:t>
      </w:r>
      <w:r w:rsidRPr="00F10460">
        <w:rPr>
          <w:lang w:val="fr-FR"/>
        </w:rPr>
        <w:tab/>
        <w:t>Catalogue de questions 2021</w:t>
      </w:r>
      <w:r w:rsidRPr="00F10460">
        <w:rPr>
          <w:noProof/>
          <w:webHidden/>
          <w:lang w:val="fr-FR"/>
        </w:rPr>
        <w:tab/>
      </w:r>
      <w:r w:rsidRPr="00F10460">
        <w:rPr>
          <w:noProof/>
          <w:webHidden/>
          <w:lang w:val="fr-FR"/>
        </w:rPr>
        <w:tab/>
        <w:t>12</w:t>
      </w:r>
    </w:p>
    <w:p w14:paraId="1B7004BC"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4.</w:t>
      </w:r>
      <w:r w:rsidRPr="00F10460">
        <w:rPr>
          <w:lang w:val="fr-FR"/>
        </w:rPr>
        <w:tab/>
        <w:t>Rectification du catalogue de questions</w:t>
      </w:r>
      <w:r w:rsidR="004C0A5C">
        <w:rPr>
          <w:lang w:val="fr-FR"/>
        </w:rPr>
        <w:t xml:space="preserve"> </w:t>
      </w:r>
      <w:r w:rsidRPr="00F10460">
        <w:rPr>
          <w:lang w:val="fr-FR"/>
        </w:rPr>
        <w:t>− généralités</w:t>
      </w:r>
      <w:r w:rsidRPr="00F10460">
        <w:rPr>
          <w:noProof/>
          <w:webHidden/>
          <w:lang w:val="fr-FR"/>
        </w:rPr>
        <w:tab/>
      </w:r>
      <w:r w:rsidRPr="00F10460">
        <w:rPr>
          <w:noProof/>
          <w:webHidden/>
          <w:lang w:val="fr-FR"/>
        </w:rPr>
        <w:tab/>
        <w:t>12</w:t>
      </w:r>
    </w:p>
    <w:p w14:paraId="337263F5" w14:textId="77777777" w:rsidR="00C22589" w:rsidRPr="00F10460" w:rsidRDefault="00C22589" w:rsidP="00275CCD">
      <w:pPr>
        <w:tabs>
          <w:tab w:val="right" w:leader="dot" w:pos="8787"/>
          <w:tab w:val="right" w:pos="9638"/>
        </w:tabs>
        <w:spacing w:after="120"/>
        <w:ind w:left="1559" w:hanging="425"/>
        <w:rPr>
          <w:noProof/>
          <w:lang w:val="fr-FR"/>
        </w:rPr>
      </w:pPr>
      <w:r w:rsidRPr="00F10460">
        <w:rPr>
          <w:lang w:val="fr-FR"/>
        </w:rPr>
        <w:t>E.</w:t>
      </w:r>
      <w:r w:rsidRPr="00F10460">
        <w:rPr>
          <w:lang w:val="fr-FR"/>
        </w:rPr>
        <w:tab/>
        <w:t>Questions relatives aux sociétés de classification</w:t>
      </w:r>
      <w:r w:rsidRPr="00F10460">
        <w:rPr>
          <w:noProof/>
          <w:webHidden/>
          <w:lang w:val="fr-FR"/>
        </w:rPr>
        <w:tab/>
      </w:r>
      <w:r w:rsidRPr="00F10460">
        <w:rPr>
          <w:noProof/>
          <w:webHidden/>
          <w:lang w:val="fr-FR"/>
        </w:rPr>
        <w:tab/>
        <w:t>12</w:t>
      </w:r>
    </w:p>
    <w:p w14:paraId="467188AB" w14:textId="77777777" w:rsidR="00C22589" w:rsidRPr="00F10460" w:rsidRDefault="00C22589" w:rsidP="00275CCD">
      <w:pPr>
        <w:tabs>
          <w:tab w:val="right" w:pos="850"/>
          <w:tab w:val="right" w:leader="dot" w:pos="8787"/>
          <w:tab w:val="right" w:pos="9638"/>
        </w:tabs>
        <w:spacing w:after="120"/>
        <w:ind w:left="1134" w:hanging="1134"/>
        <w:rPr>
          <w:noProof/>
          <w:lang w:val="fr-FR"/>
        </w:rPr>
      </w:pPr>
      <w:r w:rsidRPr="00F10460">
        <w:rPr>
          <w:lang w:val="fr-FR"/>
        </w:rPr>
        <w:tab/>
        <w:t>VI.</w:t>
      </w:r>
      <w:r w:rsidRPr="00F10460">
        <w:rPr>
          <w:lang w:val="fr-FR"/>
        </w:rPr>
        <w:tab/>
        <w:t>Propositions d</w:t>
      </w:r>
      <w:r>
        <w:rPr>
          <w:lang w:val="fr-FR"/>
        </w:rPr>
        <w:t>’</w:t>
      </w:r>
      <w:r w:rsidRPr="00F10460">
        <w:rPr>
          <w:lang w:val="fr-FR"/>
        </w:rPr>
        <w:t>amendements au Règlement annexé à l</w:t>
      </w:r>
      <w:r>
        <w:rPr>
          <w:lang w:val="fr-FR"/>
        </w:rPr>
        <w:t>’</w:t>
      </w:r>
      <w:r w:rsidRPr="00F10460">
        <w:rPr>
          <w:lang w:val="fr-FR"/>
        </w:rPr>
        <w:t>ADN (point 5 de l</w:t>
      </w:r>
      <w:r>
        <w:rPr>
          <w:lang w:val="fr-FR"/>
        </w:rPr>
        <w:t>’</w:t>
      </w:r>
      <w:r w:rsidRPr="00F10460">
        <w:rPr>
          <w:lang w:val="fr-FR"/>
        </w:rPr>
        <w:t>ordre du jour)</w:t>
      </w:r>
      <w:r w:rsidRPr="00F10460">
        <w:rPr>
          <w:noProof/>
          <w:webHidden/>
          <w:lang w:val="fr-FR"/>
        </w:rPr>
        <w:tab/>
      </w:r>
      <w:r w:rsidRPr="00F10460">
        <w:rPr>
          <w:noProof/>
          <w:webHidden/>
          <w:lang w:val="fr-FR"/>
        </w:rPr>
        <w:tab/>
        <w:t>1</w:t>
      </w:r>
      <w:r w:rsidR="00763E2F">
        <w:rPr>
          <w:noProof/>
          <w:webHidden/>
          <w:lang w:val="fr-FR"/>
        </w:rPr>
        <w:t>3</w:t>
      </w:r>
    </w:p>
    <w:p w14:paraId="0C94D9B9" w14:textId="77777777" w:rsidR="00C22589" w:rsidRPr="00F10460" w:rsidRDefault="00C22589" w:rsidP="00275CCD">
      <w:pPr>
        <w:tabs>
          <w:tab w:val="right" w:leader="dot" w:pos="8787"/>
          <w:tab w:val="right" w:pos="9638"/>
        </w:tabs>
        <w:spacing w:after="120"/>
        <w:ind w:left="1559" w:hanging="425"/>
        <w:rPr>
          <w:noProof/>
          <w:lang w:val="fr-FR"/>
        </w:rPr>
      </w:pPr>
      <w:r w:rsidRPr="00F10460">
        <w:rPr>
          <w:lang w:val="fr-FR"/>
        </w:rPr>
        <w:t>A.</w:t>
      </w:r>
      <w:r w:rsidRPr="00F10460">
        <w:rPr>
          <w:lang w:val="fr-FR"/>
        </w:rPr>
        <w:tab/>
        <w:t>Travaux de la Réunion commune RID/ADR/ADN</w:t>
      </w:r>
      <w:r w:rsidRPr="00F10460">
        <w:rPr>
          <w:noProof/>
          <w:webHidden/>
          <w:lang w:val="fr-FR"/>
        </w:rPr>
        <w:tab/>
      </w:r>
      <w:r w:rsidRPr="00F10460">
        <w:rPr>
          <w:noProof/>
          <w:webHidden/>
          <w:lang w:val="fr-FR"/>
        </w:rPr>
        <w:tab/>
        <w:t>1</w:t>
      </w:r>
      <w:r w:rsidR="00763E2F">
        <w:rPr>
          <w:noProof/>
          <w:webHidden/>
          <w:lang w:val="fr-FR"/>
        </w:rPr>
        <w:t>3</w:t>
      </w:r>
    </w:p>
    <w:p w14:paraId="45713A44"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1.</w:t>
      </w:r>
      <w:r w:rsidRPr="00F10460">
        <w:rPr>
          <w:lang w:val="fr-FR"/>
        </w:rPr>
        <w:tab/>
        <w:t>Amendements et corrections concernant l</w:t>
      </w:r>
      <w:r>
        <w:rPr>
          <w:lang w:val="fr-FR"/>
        </w:rPr>
        <w:t>’</w:t>
      </w:r>
      <w:r w:rsidRPr="00F10460">
        <w:rPr>
          <w:lang w:val="fr-FR"/>
        </w:rPr>
        <w:t>ADN</w:t>
      </w:r>
      <w:r w:rsidRPr="00F10460">
        <w:rPr>
          <w:noProof/>
          <w:webHidden/>
          <w:lang w:val="fr-FR"/>
        </w:rPr>
        <w:tab/>
      </w:r>
      <w:r w:rsidRPr="00F10460">
        <w:rPr>
          <w:noProof/>
          <w:webHidden/>
          <w:lang w:val="fr-FR"/>
        </w:rPr>
        <w:tab/>
        <w:t>1</w:t>
      </w:r>
      <w:r w:rsidR="00763E2F">
        <w:rPr>
          <w:noProof/>
          <w:webHidden/>
          <w:lang w:val="fr-FR"/>
        </w:rPr>
        <w:t>3</w:t>
      </w:r>
    </w:p>
    <w:p w14:paraId="23D5150D"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2.</w:t>
      </w:r>
      <w:r w:rsidRPr="00F10460">
        <w:rPr>
          <w:lang w:val="fr-FR"/>
        </w:rPr>
        <w:tab/>
        <w:t>Classification du N</w:t>
      </w:r>
      <w:r w:rsidRPr="004C0A5C">
        <w:rPr>
          <w:vertAlign w:val="superscript"/>
          <w:lang w:val="fr-FR"/>
        </w:rPr>
        <w:t>o</w:t>
      </w:r>
      <w:r w:rsidRPr="00F10460">
        <w:rPr>
          <w:lang w:val="fr-FR"/>
        </w:rPr>
        <w:t> ONU 1872, DIOXYDE DE PLOMB</w:t>
      </w:r>
      <w:r w:rsidRPr="00F10460">
        <w:rPr>
          <w:noProof/>
          <w:webHidden/>
          <w:lang w:val="fr-FR"/>
        </w:rPr>
        <w:tab/>
      </w:r>
      <w:r w:rsidRPr="00F10460">
        <w:rPr>
          <w:noProof/>
          <w:webHidden/>
          <w:lang w:val="fr-FR"/>
        </w:rPr>
        <w:tab/>
        <w:t>1</w:t>
      </w:r>
      <w:r w:rsidR="00763E2F">
        <w:rPr>
          <w:noProof/>
          <w:webHidden/>
          <w:lang w:val="fr-FR"/>
        </w:rPr>
        <w:t>3</w:t>
      </w:r>
    </w:p>
    <w:p w14:paraId="40955F1A" w14:textId="77777777" w:rsidR="00C22589" w:rsidRPr="00F10460" w:rsidRDefault="00C22589" w:rsidP="00275CCD">
      <w:pPr>
        <w:tabs>
          <w:tab w:val="right" w:leader="dot" w:pos="8787"/>
          <w:tab w:val="right" w:pos="9638"/>
        </w:tabs>
        <w:spacing w:after="120"/>
        <w:ind w:left="1559" w:hanging="425"/>
        <w:rPr>
          <w:noProof/>
          <w:lang w:val="fr-FR"/>
        </w:rPr>
      </w:pPr>
      <w:r w:rsidRPr="00F10460">
        <w:rPr>
          <w:lang w:val="fr-FR"/>
        </w:rPr>
        <w:t>B.</w:t>
      </w:r>
      <w:r w:rsidRPr="00F10460">
        <w:rPr>
          <w:lang w:val="fr-FR"/>
        </w:rPr>
        <w:tab/>
        <w:t>Autres propositions</w:t>
      </w:r>
      <w:r w:rsidRPr="00F10460">
        <w:rPr>
          <w:noProof/>
          <w:webHidden/>
          <w:lang w:val="fr-FR"/>
        </w:rPr>
        <w:tab/>
      </w:r>
      <w:r w:rsidRPr="00F10460">
        <w:rPr>
          <w:noProof/>
          <w:webHidden/>
          <w:lang w:val="fr-FR"/>
        </w:rPr>
        <w:tab/>
        <w:t>13</w:t>
      </w:r>
    </w:p>
    <w:p w14:paraId="3D6E37F2"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1.</w:t>
      </w:r>
      <w:r w:rsidRPr="00F10460">
        <w:rPr>
          <w:lang w:val="fr-FR"/>
        </w:rPr>
        <w:tab/>
        <w:t>Installation d</w:t>
      </w:r>
      <w:r>
        <w:rPr>
          <w:lang w:val="fr-FR"/>
        </w:rPr>
        <w:t>’</w:t>
      </w:r>
      <w:r w:rsidRPr="00F10460">
        <w:rPr>
          <w:lang w:val="fr-FR"/>
        </w:rPr>
        <w:t>extinction d</w:t>
      </w:r>
      <w:r>
        <w:rPr>
          <w:lang w:val="fr-FR"/>
        </w:rPr>
        <w:t>’</w:t>
      </w:r>
      <w:r w:rsidRPr="00F10460">
        <w:rPr>
          <w:lang w:val="fr-FR"/>
        </w:rPr>
        <w:t>incendie à bord d</w:t>
      </w:r>
      <w:r>
        <w:rPr>
          <w:lang w:val="fr-FR"/>
        </w:rPr>
        <w:t>’</w:t>
      </w:r>
      <w:r w:rsidRPr="00F10460">
        <w:rPr>
          <w:lang w:val="fr-FR"/>
        </w:rPr>
        <w:t xml:space="preserve">une barge de poussage </w:t>
      </w:r>
      <w:r w:rsidR="00D77BF1">
        <w:rPr>
          <w:lang w:val="fr-FR"/>
        </w:rPr>
        <w:br/>
      </w:r>
      <w:r w:rsidRPr="00F10460">
        <w:rPr>
          <w:lang w:val="fr-FR"/>
        </w:rPr>
        <w:t>seule (non motorisée)</w:t>
      </w:r>
      <w:r w:rsidRPr="00F10460">
        <w:rPr>
          <w:noProof/>
          <w:webHidden/>
          <w:lang w:val="fr-FR"/>
        </w:rPr>
        <w:tab/>
      </w:r>
      <w:r w:rsidR="00763E2F">
        <w:rPr>
          <w:noProof/>
          <w:webHidden/>
          <w:lang w:val="fr-FR"/>
        </w:rPr>
        <w:tab/>
      </w:r>
      <w:r w:rsidRPr="00F10460">
        <w:rPr>
          <w:noProof/>
          <w:webHidden/>
          <w:lang w:val="fr-FR"/>
        </w:rPr>
        <w:t>13</w:t>
      </w:r>
    </w:p>
    <w:p w14:paraId="48650E0A"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2.</w:t>
      </w:r>
      <w:r w:rsidRPr="00F10460">
        <w:rPr>
          <w:lang w:val="fr-FR"/>
        </w:rPr>
        <w:tab/>
        <w:t>3.3.1 Disposition spéciale 386</w:t>
      </w:r>
      <w:r w:rsidR="004C0A5C">
        <w:rPr>
          <w:lang w:val="fr-FR"/>
        </w:rPr>
        <w:t xml:space="preserve"> </w:t>
      </w:r>
      <w:r w:rsidRPr="00F10460">
        <w:rPr>
          <w:lang w:val="fr-FR"/>
        </w:rPr>
        <w:t>− Correction</w:t>
      </w:r>
      <w:r w:rsidRPr="00F10460">
        <w:rPr>
          <w:noProof/>
          <w:webHidden/>
          <w:lang w:val="fr-FR"/>
        </w:rPr>
        <w:tab/>
      </w:r>
      <w:r w:rsidRPr="00F10460">
        <w:rPr>
          <w:noProof/>
          <w:webHidden/>
          <w:lang w:val="fr-FR"/>
        </w:rPr>
        <w:tab/>
        <w:t>13</w:t>
      </w:r>
    </w:p>
    <w:p w14:paraId="67D86847"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3.</w:t>
      </w:r>
      <w:r w:rsidRPr="00F10460">
        <w:rPr>
          <w:lang w:val="fr-FR"/>
        </w:rPr>
        <w:tab/>
        <w:t>Registre des attestations d</w:t>
      </w:r>
      <w:r>
        <w:rPr>
          <w:lang w:val="fr-FR"/>
        </w:rPr>
        <w:t>’</w:t>
      </w:r>
      <w:r w:rsidRPr="00F10460">
        <w:rPr>
          <w:lang w:val="fr-FR"/>
        </w:rPr>
        <w:t>experts, registre des certificats d</w:t>
      </w:r>
      <w:r>
        <w:rPr>
          <w:lang w:val="fr-FR"/>
        </w:rPr>
        <w:t>’</w:t>
      </w:r>
      <w:r w:rsidRPr="00F10460">
        <w:rPr>
          <w:lang w:val="fr-FR"/>
        </w:rPr>
        <w:t xml:space="preserve">agrément, 1.10.1.6 </w:t>
      </w:r>
      <w:r w:rsidR="004C0A5C">
        <w:rPr>
          <w:lang w:val="fr-FR"/>
        </w:rPr>
        <w:br/>
      </w:r>
      <w:r w:rsidRPr="00F10460">
        <w:rPr>
          <w:lang w:val="fr-FR"/>
        </w:rPr>
        <w:t>et 1.16.15.1 de l</w:t>
      </w:r>
      <w:r>
        <w:rPr>
          <w:lang w:val="fr-FR"/>
        </w:rPr>
        <w:t>’</w:t>
      </w:r>
      <w:r w:rsidRPr="00F10460">
        <w:rPr>
          <w:lang w:val="fr-FR"/>
        </w:rPr>
        <w:t>ADN</w:t>
      </w:r>
      <w:r w:rsidRPr="00F10460">
        <w:rPr>
          <w:noProof/>
          <w:webHidden/>
          <w:lang w:val="fr-FR"/>
        </w:rPr>
        <w:tab/>
      </w:r>
      <w:r w:rsidRPr="00F10460">
        <w:rPr>
          <w:noProof/>
          <w:webHidden/>
          <w:lang w:val="fr-FR"/>
        </w:rPr>
        <w:tab/>
        <w:t>1</w:t>
      </w:r>
      <w:r w:rsidR="00763E2F">
        <w:rPr>
          <w:noProof/>
          <w:webHidden/>
          <w:lang w:val="fr-FR"/>
        </w:rPr>
        <w:t>4</w:t>
      </w:r>
    </w:p>
    <w:p w14:paraId="7425530B"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4.</w:t>
      </w:r>
      <w:r w:rsidRPr="00F10460">
        <w:rPr>
          <w:lang w:val="fr-FR"/>
        </w:rPr>
        <w:tab/>
        <w:t>9.3.3.12.8 de l</w:t>
      </w:r>
      <w:r>
        <w:rPr>
          <w:lang w:val="fr-FR"/>
        </w:rPr>
        <w:t>’</w:t>
      </w:r>
      <w:r w:rsidRPr="00F10460">
        <w:rPr>
          <w:lang w:val="fr-FR"/>
        </w:rPr>
        <w:t>ADN</w:t>
      </w:r>
      <w:r w:rsidRPr="00F10460">
        <w:rPr>
          <w:noProof/>
          <w:webHidden/>
          <w:lang w:val="fr-FR"/>
        </w:rPr>
        <w:tab/>
      </w:r>
      <w:r w:rsidRPr="00F10460">
        <w:rPr>
          <w:noProof/>
          <w:webHidden/>
          <w:lang w:val="fr-FR"/>
        </w:rPr>
        <w:tab/>
        <w:t>1</w:t>
      </w:r>
      <w:r w:rsidR="00763E2F">
        <w:rPr>
          <w:noProof/>
          <w:webHidden/>
          <w:lang w:val="fr-FR"/>
        </w:rPr>
        <w:t>4</w:t>
      </w:r>
    </w:p>
    <w:p w14:paraId="56EFB25F"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5.</w:t>
      </w:r>
      <w:r w:rsidRPr="00F10460">
        <w:rPr>
          <w:lang w:val="fr-FR"/>
        </w:rPr>
        <w:tab/>
        <w:t>Propositions d</w:t>
      </w:r>
      <w:r>
        <w:rPr>
          <w:lang w:val="fr-FR"/>
        </w:rPr>
        <w:t>’</w:t>
      </w:r>
      <w:r w:rsidRPr="00F10460">
        <w:rPr>
          <w:lang w:val="fr-FR"/>
        </w:rPr>
        <w:t>amendements</w:t>
      </w:r>
      <w:r w:rsidRPr="00F10460">
        <w:rPr>
          <w:noProof/>
          <w:webHidden/>
          <w:lang w:val="fr-FR"/>
        </w:rPr>
        <w:tab/>
      </w:r>
      <w:r w:rsidRPr="00F10460">
        <w:rPr>
          <w:noProof/>
          <w:webHidden/>
          <w:lang w:val="fr-FR"/>
        </w:rPr>
        <w:tab/>
        <w:t>1</w:t>
      </w:r>
      <w:r w:rsidR="00763E2F">
        <w:rPr>
          <w:noProof/>
          <w:webHidden/>
          <w:lang w:val="fr-FR"/>
        </w:rPr>
        <w:t>4</w:t>
      </w:r>
    </w:p>
    <w:p w14:paraId="449ADD93"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6.</w:t>
      </w:r>
      <w:r w:rsidRPr="00F10460">
        <w:rPr>
          <w:lang w:val="fr-FR"/>
        </w:rPr>
        <w:tab/>
        <w:t>Soupape basse pression à ressort</w:t>
      </w:r>
      <w:r w:rsidRPr="00F10460">
        <w:rPr>
          <w:noProof/>
          <w:webHidden/>
          <w:lang w:val="fr-FR"/>
        </w:rPr>
        <w:tab/>
      </w:r>
      <w:r w:rsidRPr="00F10460">
        <w:rPr>
          <w:noProof/>
          <w:webHidden/>
          <w:lang w:val="fr-FR"/>
        </w:rPr>
        <w:tab/>
        <w:t>1</w:t>
      </w:r>
      <w:r w:rsidR="00763E2F">
        <w:rPr>
          <w:noProof/>
          <w:webHidden/>
          <w:lang w:val="fr-FR"/>
        </w:rPr>
        <w:t>4</w:t>
      </w:r>
    </w:p>
    <w:p w14:paraId="04331BEF"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7.</w:t>
      </w:r>
      <w:r w:rsidRPr="00F10460">
        <w:rPr>
          <w:lang w:val="fr-FR"/>
        </w:rPr>
        <w:tab/>
        <w:t>Instructions de chargement et de déchargement</w:t>
      </w:r>
      <w:r w:rsidRPr="00F10460">
        <w:rPr>
          <w:noProof/>
          <w:webHidden/>
          <w:lang w:val="fr-FR"/>
        </w:rPr>
        <w:tab/>
      </w:r>
      <w:r w:rsidRPr="00F10460">
        <w:rPr>
          <w:noProof/>
          <w:webHidden/>
          <w:lang w:val="fr-FR"/>
        </w:rPr>
        <w:tab/>
        <w:t>14</w:t>
      </w:r>
    </w:p>
    <w:p w14:paraId="37C356E6"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8.</w:t>
      </w:r>
      <w:r w:rsidRPr="00F10460">
        <w:rPr>
          <w:lang w:val="fr-FR"/>
        </w:rPr>
        <w:tab/>
        <w:t>Proposition de correction à la définition de « citerne à membrane »</w:t>
      </w:r>
      <w:r w:rsidRPr="00F10460">
        <w:rPr>
          <w:noProof/>
          <w:webHidden/>
          <w:lang w:val="fr-FR"/>
        </w:rPr>
        <w:tab/>
      </w:r>
      <w:r w:rsidRPr="00F10460">
        <w:rPr>
          <w:noProof/>
          <w:webHidden/>
          <w:lang w:val="fr-FR"/>
        </w:rPr>
        <w:tab/>
        <w:t>1</w:t>
      </w:r>
      <w:r w:rsidR="00763E2F">
        <w:rPr>
          <w:noProof/>
          <w:webHidden/>
          <w:lang w:val="fr-FR"/>
        </w:rPr>
        <w:t>5</w:t>
      </w:r>
    </w:p>
    <w:p w14:paraId="5BE97C6F"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9.</w:t>
      </w:r>
      <w:r w:rsidRPr="00F10460">
        <w:rPr>
          <w:lang w:val="fr-FR"/>
        </w:rPr>
        <w:tab/>
        <w:t>Ajout au 1.16.1.4.2 de la date d</w:t>
      </w:r>
      <w:r>
        <w:rPr>
          <w:lang w:val="fr-FR"/>
        </w:rPr>
        <w:t>’</w:t>
      </w:r>
      <w:r w:rsidRPr="00F10460">
        <w:rPr>
          <w:lang w:val="fr-FR"/>
        </w:rPr>
        <w:t xml:space="preserve">application des dispositions transitoires </w:t>
      </w:r>
      <w:r w:rsidR="004C0A5C">
        <w:rPr>
          <w:lang w:val="fr-FR"/>
        </w:rPr>
        <w:br/>
      </w:r>
      <w:r w:rsidRPr="00F10460">
        <w:rPr>
          <w:lang w:val="fr-FR"/>
        </w:rPr>
        <w:t>et amendements de conséquence</w:t>
      </w:r>
      <w:r w:rsidRPr="00F10460">
        <w:rPr>
          <w:noProof/>
          <w:webHidden/>
          <w:lang w:val="fr-FR"/>
        </w:rPr>
        <w:tab/>
      </w:r>
      <w:r w:rsidRPr="00F10460">
        <w:rPr>
          <w:noProof/>
          <w:webHidden/>
          <w:lang w:val="fr-FR"/>
        </w:rPr>
        <w:tab/>
        <w:t>1</w:t>
      </w:r>
      <w:r w:rsidR="00763E2F">
        <w:rPr>
          <w:noProof/>
          <w:webHidden/>
          <w:lang w:val="fr-FR"/>
        </w:rPr>
        <w:t>5</w:t>
      </w:r>
    </w:p>
    <w:p w14:paraId="2757A816"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10.</w:t>
      </w:r>
      <w:r w:rsidRPr="00F10460">
        <w:rPr>
          <w:lang w:val="fr-FR"/>
        </w:rPr>
        <w:tab/>
        <w:t>Complément aux définitions du 1.2.1</w:t>
      </w:r>
      <w:r w:rsidRPr="00F10460">
        <w:rPr>
          <w:noProof/>
          <w:webHidden/>
          <w:lang w:val="fr-FR"/>
        </w:rPr>
        <w:tab/>
      </w:r>
      <w:r w:rsidRPr="00F10460">
        <w:rPr>
          <w:noProof/>
          <w:webHidden/>
          <w:lang w:val="fr-FR"/>
        </w:rPr>
        <w:tab/>
        <w:t>1</w:t>
      </w:r>
      <w:r w:rsidR="00763E2F">
        <w:rPr>
          <w:noProof/>
          <w:webHidden/>
          <w:lang w:val="fr-FR"/>
        </w:rPr>
        <w:t>5</w:t>
      </w:r>
    </w:p>
    <w:p w14:paraId="68D80DD6"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11.</w:t>
      </w:r>
      <w:r w:rsidRPr="00F10460">
        <w:rPr>
          <w:lang w:val="fr-FR"/>
        </w:rPr>
        <w:tab/>
        <w:t>3.2.1 de l</w:t>
      </w:r>
      <w:r>
        <w:rPr>
          <w:lang w:val="fr-FR"/>
        </w:rPr>
        <w:t>’</w:t>
      </w:r>
      <w:r w:rsidRPr="00F10460">
        <w:rPr>
          <w:lang w:val="fr-FR"/>
        </w:rPr>
        <w:t>ADN</w:t>
      </w:r>
      <w:r w:rsidR="004C0A5C">
        <w:rPr>
          <w:lang w:val="fr-FR"/>
        </w:rPr>
        <w:t xml:space="preserve"> </w:t>
      </w:r>
      <w:r w:rsidRPr="00F10460">
        <w:rPr>
          <w:lang w:val="fr-FR"/>
        </w:rPr>
        <w:t>− Tableau A</w:t>
      </w:r>
      <w:r w:rsidRPr="00F10460">
        <w:rPr>
          <w:noProof/>
          <w:webHidden/>
          <w:lang w:val="fr-FR"/>
        </w:rPr>
        <w:tab/>
      </w:r>
      <w:r w:rsidRPr="00F10460">
        <w:rPr>
          <w:noProof/>
          <w:webHidden/>
          <w:lang w:val="fr-FR"/>
        </w:rPr>
        <w:tab/>
        <w:t>1</w:t>
      </w:r>
      <w:r w:rsidR="00763E2F">
        <w:rPr>
          <w:noProof/>
          <w:webHidden/>
          <w:lang w:val="fr-FR"/>
        </w:rPr>
        <w:t>5</w:t>
      </w:r>
    </w:p>
    <w:p w14:paraId="4397AD46"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12.</w:t>
      </w:r>
      <w:r w:rsidRPr="00F10460">
        <w:rPr>
          <w:lang w:val="fr-FR"/>
        </w:rPr>
        <w:tab/>
        <w:t>7.1.4.4.4 de l</w:t>
      </w:r>
      <w:r>
        <w:rPr>
          <w:lang w:val="fr-FR"/>
        </w:rPr>
        <w:t>’</w:t>
      </w:r>
      <w:r w:rsidRPr="00F10460">
        <w:rPr>
          <w:lang w:val="fr-FR"/>
        </w:rPr>
        <w:t>ADN</w:t>
      </w:r>
      <w:r w:rsidR="004C0A5C">
        <w:rPr>
          <w:lang w:val="fr-FR"/>
        </w:rPr>
        <w:t xml:space="preserve"> </w:t>
      </w:r>
      <w:r w:rsidRPr="00F10460">
        <w:rPr>
          <w:lang w:val="fr-FR"/>
        </w:rPr>
        <w:t xml:space="preserve">− Interdiction de chargement en commun et exemples </w:t>
      </w:r>
      <w:r w:rsidR="004C0A5C">
        <w:rPr>
          <w:lang w:val="fr-FR"/>
        </w:rPr>
        <w:br/>
      </w:r>
      <w:r w:rsidRPr="00F10460">
        <w:rPr>
          <w:lang w:val="fr-FR"/>
        </w:rPr>
        <w:t>d</w:t>
      </w:r>
      <w:r>
        <w:rPr>
          <w:lang w:val="fr-FR"/>
        </w:rPr>
        <w:t>’</w:t>
      </w:r>
      <w:r w:rsidRPr="00F10460">
        <w:rPr>
          <w:lang w:val="fr-FR"/>
        </w:rPr>
        <w:t>entreposage et de séparation des conteneurs</w:t>
      </w:r>
      <w:r w:rsidRPr="00F10460">
        <w:rPr>
          <w:noProof/>
          <w:webHidden/>
          <w:lang w:val="fr-FR"/>
        </w:rPr>
        <w:tab/>
      </w:r>
      <w:r w:rsidRPr="00F10460">
        <w:rPr>
          <w:noProof/>
          <w:webHidden/>
          <w:lang w:val="fr-FR"/>
        </w:rPr>
        <w:tab/>
        <w:t>1</w:t>
      </w:r>
      <w:r w:rsidR="00763E2F">
        <w:rPr>
          <w:noProof/>
          <w:webHidden/>
          <w:lang w:val="fr-FR"/>
        </w:rPr>
        <w:t>5</w:t>
      </w:r>
    </w:p>
    <w:p w14:paraId="2CDF2ACD"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13.</w:t>
      </w:r>
      <w:r w:rsidRPr="00F10460">
        <w:rPr>
          <w:lang w:val="fr-FR"/>
        </w:rPr>
        <w:tab/>
        <w:t>Installations de propulsion électrique et stockage d</w:t>
      </w:r>
      <w:r>
        <w:rPr>
          <w:lang w:val="fr-FR"/>
        </w:rPr>
        <w:t>’</w:t>
      </w:r>
      <w:r w:rsidRPr="00F10460">
        <w:rPr>
          <w:lang w:val="fr-FR"/>
        </w:rPr>
        <w:t xml:space="preserve">énergie : Proposition </w:t>
      </w:r>
      <w:r w:rsidR="004C0A5C">
        <w:rPr>
          <w:lang w:val="fr-FR"/>
        </w:rPr>
        <w:br/>
      </w:r>
      <w:r w:rsidRPr="00F10460">
        <w:rPr>
          <w:lang w:val="fr-FR"/>
        </w:rPr>
        <w:t>d</w:t>
      </w:r>
      <w:r>
        <w:rPr>
          <w:lang w:val="fr-FR"/>
        </w:rPr>
        <w:t>’</w:t>
      </w:r>
      <w:r w:rsidRPr="00F10460">
        <w:rPr>
          <w:lang w:val="fr-FR"/>
        </w:rPr>
        <w:t>évaluation de la nécessité de dispositions supplémentaires de l</w:t>
      </w:r>
      <w:r>
        <w:rPr>
          <w:lang w:val="fr-FR"/>
        </w:rPr>
        <w:t>’</w:t>
      </w:r>
      <w:r w:rsidRPr="00F10460">
        <w:rPr>
          <w:lang w:val="fr-FR"/>
        </w:rPr>
        <w:t xml:space="preserve">ADN </w:t>
      </w:r>
      <w:r w:rsidR="004C0A5C">
        <w:rPr>
          <w:lang w:val="fr-FR"/>
        </w:rPr>
        <w:br/>
      </w:r>
      <w:r w:rsidRPr="00F10460">
        <w:rPr>
          <w:lang w:val="fr-FR"/>
        </w:rPr>
        <w:t xml:space="preserve">pour le transport de marchandises dangereuses en toute sécurité </w:t>
      </w:r>
      <w:r w:rsidR="004C0A5C">
        <w:rPr>
          <w:lang w:val="fr-FR"/>
        </w:rPr>
        <w:br/>
      </w:r>
      <w:r w:rsidRPr="00F10460">
        <w:rPr>
          <w:lang w:val="fr-FR"/>
        </w:rPr>
        <w:t>avec des bateaux utilisant des installations de propulsion électrique</w:t>
      </w:r>
      <w:r w:rsidRPr="00F10460">
        <w:rPr>
          <w:noProof/>
          <w:webHidden/>
          <w:lang w:val="fr-FR"/>
        </w:rPr>
        <w:tab/>
      </w:r>
      <w:r w:rsidRPr="00F10460">
        <w:rPr>
          <w:noProof/>
          <w:webHidden/>
          <w:lang w:val="fr-FR"/>
        </w:rPr>
        <w:tab/>
        <w:t>15</w:t>
      </w:r>
    </w:p>
    <w:p w14:paraId="0879C22F"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14.</w:t>
      </w:r>
      <w:r w:rsidRPr="00F10460">
        <w:rPr>
          <w:lang w:val="fr-FR"/>
        </w:rPr>
        <w:tab/>
        <w:t xml:space="preserve">Harmonisation de la terminologie utilisée dans le 8.1.2.2 f) et le 8.1.2.3 s) </w:t>
      </w:r>
      <w:r w:rsidR="004C0A5C">
        <w:rPr>
          <w:lang w:val="fr-FR"/>
        </w:rPr>
        <w:br/>
      </w:r>
      <w:r w:rsidRPr="00F10460">
        <w:rPr>
          <w:lang w:val="fr-FR"/>
        </w:rPr>
        <w:t>de l</w:t>
      </w:r>
      <w:r>
        <w:rPr>
          <w:lang w:val="fr-FR"/>
        </w:rPr>
        <w:t>’</w:t>
      </w:r>
      <w:r w:rsidRPr="00F10460">
        <w:rPr>
          <w:lang w:val="fr-FR"/>
        </w:rPr>
        <w:t>ADN 2019</w:t>
      </w:r>
      <w:r w:rsidR="004C0A5C">
        <w:rPr>
          <w:lang w:val="fr-FR"/>
        </w:rPr>
        <w:t xml:space="preserve"> </w:t>
      </w:r>
      <w:r w:rsidRPr="00F10460">
        <w:rPr>
          <w:lang w:val="fr-FR"/>
        </w:rPr>
        <w:t xml:space="preserve">− Documents supplémentaires devant être présents </w:t>
      </w:r>
      <w:r w:rsidR="004C0A5C">
        <w:rPr>
          <w:lang w:val="fr-FR"/>
        </w:rPr>
        <w:br/>
      </w:r>
      <w:r w:rsidRPr="00F10460">
        <w:rPr>
          <w:lang w:val="fr-FR"/>
        </w:rPr>
        <w:t>à bord des bateaux à marchandises sèches et des bateaux-citernes</w:t>
      </w:r>
      <w:r w:rsidRPr="00F10460">
        <w:rPr>
          <w:noProof/>
          <w:webHidden/>
          <w:lang w:val="fr-FR"/>
        </w:rPr>
        <w:tab/>
      </w:r>
      <w:r w:rsidRPr="00F10460">
        <w:rPr>
          <w:noProof/>
          <w:webHidden/>
          <w:lang w:val="fr-FR"/>
        </w:rPr>
        <w:tab/>
        <w:t>1</w:t>
      </w:r>
      <w:r w:rsidR="00763E2F">
        <w:rPr>
          <w:noProof/>
          <w:webHidden/>
          <w:lang w:val="fr-FR"/>
        </w:rPr>
        <w:t>6</w:t>
      </w:r>
    </w:p>
    <w:p w14:paraId="421B3208"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15.</w:t>
      </w:r>
      <w:r w:rsidRPr="00F10460">
        <w:rPr>
          <w:lang w:val="fr-FR"/>
        </w:rPr>
        <w:tab/>
        <w:t>Tableaux A et C de l</w:t>
      </w:r>
      <w:r>
        <w:rPr>
          <w:lang w:val="fr-FR"/>
        </w:rPr>
        <w:t>’</w:t>
      </w:r>
      <w:r w:rsidRPr="00F10460">
        <w:rPr>
          <w:lang w:val="fr-FR"/>
        </w:rPr>
        <w:t>ADN</w:t>
      </w:r>
      <w:r w:rsidR="004C0A5C">
        <w:rPr>
          <w:lang w:val="fr-FR"/>
        </w:rPr>
        <w:t xml:space="preserve"> </w:t>
      </w:r>
      <w:r w:rsidRPr="00F10460">
        <w:rPr>
          <w:lang w:val="fr-FR"/>
        </w:rPr>
        <w:t>− Entrées relatives au N</w:t>
      </w:r>
      <w:r w:rsidRPr="004C0A5C">
        <w:rPr>
          <w:vertAlign w:val="superscript"/>
          <w:lang w:val="fr-FR"/>
        </w:rPr>
        <w:t>o</w:t>
      </w:r>
      <w:r w:rsidR="004C0A5C">
        <w:rPr>
          <w:lang w:val="fr-FR"/>
        </w:rPr>
        <w:t> </w:t>
      </w:r>
      <w:r w:rsidRPr="00F10460">
        <w:rPr>
          <w:lang w:val="fr-FR"/>
        </w:rPr>
        <w:t>ONU 1010 BUTADIÈNES</w:t>
      </w:r>
      <w:r w:rsidRPr="00F10460">
        <w:rPr>
          <w:noProof/>
          <w:webHidden/>
          <w:lang w:val="fr-FR"/>
        </w:rPr>
        <w:tab/>
      </w:r>
      <w:r w:rsidRPr="00F10460">
        <w:rPr>
          <w:noProof/>
          <w:webHidden/>
          <w:lang w:val="fr-FR"/>
        </w:rPr>
        <w:tab/>
        <w:t>1</w:t>
      </w:r>
      <w:r w:rsidR="00763E2F">
        <w:rPr>
          <w:noProof/>
          <w:webHidden/>
          <w:lang w:val="fr-FR"/>
        </w:rPr>
        <w:t>6</w:t>
      </w:r>
    </w:p>
    <w:p w14:paraId="285B3626"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16.</w:t>
      </w:r>
      <w:r w:rsidRPr="00F10460">
        <w:rPr>
          <w:lang w:val="fr-FR"/>
        </w:rPr>
        <w:tab/>
        <w:t>Correction à apporter au 8.1.2.9</w:t>
      </w:r>
      <w:r w:rsidRPr="00F10460">
        <w:rPr>
          <w:noProof/>
          <w:webHidden/>
          <w:lang w:val="fr-FR"/>
        </w:rPr>
        <w:tab/>
      </w:r>
      <w:r w:rsidRPr="00F10460">
        <w:rPr>
          <w:noProof/>
          <w:webHidden/>
          <w:lang w:val="fr-FR"/>
        </w:rPr>
        <w:tab/>
        <w:t>1</w:t>
      </w:r>
      <w:r w:rsidR="00763E2F">
        <w:rPr>
          <w:noProof/>
          <w:webHidden/>
          <w:lang w:val="fr-FR"/>
        </w:rPr>
        <w:t>6</w:t>
      </w:r>
    </w:p>
    <w:p w14:paraId="4E391018" w14:textId="77777777" w:rsidR="00C22589" w:rsidRPr="00F10460" w:rsidRDefault="00C22589" w:rsidP="00275CCD">
      <w:pPr>
        <w:tabs>
          <w:tab w:val="right" w:leader="dot" w:pos="8787"/>
          <w:tab w:val="right" w:pos="9638"/>
        </w:tabs>
        <w:spacing w:after="120"/>
        <w:ind w:left="1984" w:hanging="425"/>
        <w:rPr>
          <w:noProof/>
          <w:lang w:val="fr-FR"/>
        </w:rPr>
      </w:pPr>
      <w:r w:rsidRPr="00F10460">
        <w:rPr>
          <w:lang w:val="fr-FR"/>
        </w:rPr>
        <w:t>17.</w:t>
      </w:r>
      <w:r w:rsidRPr="00F10460">
        <w:rPr>
          <w:lang w:val="fr-FR"/>
        </w:rPr>
        <w:tab/>
        <w:t>Corrections</w:t>
      </w:r>
      <w:r w:rsidRPr="00F10460">
        <w:rPr>
          <w:noProof/>
          <w:webHidden/>
          <w:lang w:val="fr-FR"/>
        </w:rPr>
        <w:tab/>
      </w:r>
      <w:r w:rsidRPr="00F10460">
        <w:rPr>
          <w:noProof/>
          <w:webHidden/>
          <w:lang w:val="fr-FR"/>
        </w:rPr>
        <w:tab/>
        <w:t>1</w:t>
      </w:r>
      <w:r w:rsidR="00763E2F">
        <w:rPr>
          <w:noProof/>
          <w:webHidden/>
          <w:lang w:val="fr-FR"/>
        </w:rPr>
        <w:t>6</w:t>
      </w:r>
    </w:p>
    <w:p w14:paraId="7E2B3CB6" w14:textId="77777777" w:rsidR="00C22589" w:rsidRPr="00F10460" w:rsidRDefault="00C22589" w:rsidP="004C0A5C">
      <w:pPr>
        <w:keepNext/>
        <w:tabs>
          <w:tab w:val="right" w:pos="850"/>
          <w:tab w:val="right" w:leader="dot" w:pos="8787"/>
          <w:tab w:val="right" w:pos="9638"/>
        </w:tabs>
        <w:spacing w:after="120"/>
        <w:ind w:left="1134" w:hanging="1134"/>
        <w:rPr>
          <w:noProof/>
          <w:lang w:val="fr-FR"/>
        </w:rPr>
      </w:pPr>
      <w:r w:rsidRPr="00F10460">
        <w:rPr>
          <w:lang w:val="fr-FR"/>
        </w:rPr>
        <w:tab/>
        <w:t>VII.</w:t>
      </w:r>
      <w:r w:rsidRPr="00F10460">
        <w:rPr>
          <w:lang w:val="fr-FR"/>
        </w:rPr>
        <w:tab/>
        <w:t>Rapports des groupes de travail informels (point 6 de l</w:t>
      </w:r>
      <w:r>
        <w:rPr>
          <w:lang w:val="fr-FR"/>
        </w:rPr>
        <w:t>’</w:t>
      </w:r>
      <w:r w:rsidRPr="00F10460">
        <w:rPr>
          <w:lang w:val="fr-FR"/>
        </w:rPr>
        <w:t>ordre du jour)</w:t>
      </w:r>
      <w:r w:rsidRPr="00F10460">
        <w:rPr>
          <w:noProof/>
          <w:webHidden/>
          <w:lang w:val="fr-FR"/>
        </w:rPr>
        <w:tab/>
      </w:r>
      <w:r w:rsidRPr="00F10460">
        <w:rPr>
          <w:noProof/>
          <w:webHidden/>
          <w:lang w:val="fr-FR"/>
        </w:rPr>
        <w:tab/>
        <w:t>1</w:t>
      </w:r>
      <w:r w:rsidR="00763E2F">
        <w:rPr>
          <w:noProof/>
          <w:webHidden/>
          <w:lang w:val="fr-FR"/>
        </w:rPr>
        <w:t>6</w:t>
      </w:r>
    </w:p>
    <w:p w14:paraId="5BC503B5" w14:textId="77777777" w:rsidR="00C22589" w:rsidRPr="00F10460" w:rsidRDefault="00C22589" w:rsidP="00D77BF1">
      <w:pPr>
        <w:tabs>
          <w:tab w:val="right" w:leader="dot" w:pos="8787"/>
          <w:tab w:val="right" w:pos="9638"/>
        </w:tabs>
        <w:spacing w:after="120"/>
        <w:ind w:left="1559"/>
        <w:rPr>
          <w:noProof/>
          <w:lang w:val="fr-FR"/>
        </w:rPr>
      </w:pPr>
      <w:r w:rsidRPr="00F10460">
        <w:rPr>
          <w:lang w:val="fr-FR"/>
        </w:rPr>
        <w:t xml:space="preserve">Rapports des dix-neuvième et vingtième réunions du groupe de travail </w:t>
      </w:r>
      <w:r w:rsidR="004C0A5C">
        <w:rPr>
          <w:lang w:val="fr-FR"/>
        </w:rPr>
        <w:br/>
      </w:r>
      <w:r w:rsidRPr="00F10460">
        <w:rPr>
          <w:lang w:val="fr-FR"/>
        </w:rPr>
        <w:t xml:space="preserve">informel des sociétés de classification ADN recommandées </w:t>
      </w:r>
      <w:r w:rsidR="004C0A5C">
        <w:rPr>
          <w:lang w:val="fr-FR"/>
        </w:rPr>
        <w:br/>
      </w:r>
      <w:r w:rsidRPr="00F10460">
        <w:rPr>
          <w:lang w:val="fr-FR"/>
        </w:rPr>
        <w:t>(13 août et 29 octobre</w:t>
      </w:r>
      <w:r w:rsidR="00D77BF1">
        <w:rPr>
          <w:lang w:val="fr-FR"/>
        </w:rPr>
        <w:t xml:space="preserve"> </w:t>
      </w:r>
      <w:r w:rsidRPr="00F10460">
        <w:rPr>
          <w:lang w:val="fr-FR"/>
        </w:rPr>
        <w:t>2020 respectivement)</w:t>
      </w:r>
      <w:r w:rsidRPr="00F10460">
        <w:rPr>
          <w:noProof/>
          <w:webHidden/>
          <w:lang w:val="fr-FR"/>
        </w:rPr>
        <w:tab/>
      </w:r>
      <w:r w:rsidRPr="00F10460">
        <w:rPr>
          <w:noProof/>
          <w:webHidden/>
          <w:lang w:val="fr-FR"/>
        </w:rPr>
        <w:tab/>
        <w:t>1</w:t>
      </w:r>
      <w:r w:rsidR="00763E2F">
        <w:rPr>
          <w:noProof/>
          <w:webHidden/>
          <w:lang w:val="fr-FR"/>
        </w:rPr>
        <w:t>6</w:t>
      </w:r>
    </w:p>
    <w:p w14:paraId="302C1EAE" w14:textId="77777777" w:rsidR="00C22589" w:rsidRPr="00F10460" w:rsidRDefault="00C22589" w:rsidP="00D77BF1">
      <w:pPr>
        <w:keepNext/>
        <w:tabs>
          <w:tab w:val="right" w:pos="850"/>
          <w:tab w:val="right" w:leader="dot" w:pos="8787"/>
          <w:tab w:val="right" w:pos="9638"/>
        </w:tabs>
        <w:spacing w:after="120"/>
        <w:ind w:left="1134" w:hanging="1134"/>
        <w:rPr>
          <w:noProof/>
          <w:lang w:val="fr-FR"/>
        </w:rPr>
      </w:pPr>
      <w:r w:rsidRPr="00F10460">
        <w:rPr>
          <w:lang w:val="fr-FR"/>
        </w:rPr>
        <w:lastRenderedPageBreak/>
        <w:tab/>
        <w:t>VIII.</w:t>
      </w:r>
      <w:r w:rsidRPr="00F10460">
        <w:rPr>
          <w:lang w:val="fr-FR"/>
        </w:rPr>
        <w:tab/>
        <w:t>Programme de travail et calendrier des réunions (point 7 de l</w:t>
      </w:r>
      <w:r>
        <w:rPr>
          <w:lang w:val="fr-FR"/>
        </w:rPr>
        <w:t>’</w:t>
      </w:r>
      <w:r w:rsidRPr="00F10460">
        <w:rPr>
          <w:lang w:val="fr-FR"/>
        </w:rPr>
        <w:t>ordre de jour)</w:t>
      </w:r>
      <w:r w:rsidRPr="00F10460">
        <w:rPr>
          <w:noProof/>
          <w:webHidden/>
          <w:lang w:val="fr-FR"/>
        </w:rPr>
        <w:tab/>
      </w:r>
      <w:r w:rsidRPr="00F10460">
        <w:rPr>
          <w:noProof/>
          <w:webHidden/>
          <w:lang w:val="fr-FR"/>
        </w:rPr>
        <w:tab/>
        <w:t>1</w:t>
      </w:r>
      <w:r w:rsidR="00763E2F">
        <w:rPr>
          <w:noProof/>
          <w:webHidden/>
          <w:lang w:val="fr-FR"/>
        </w:rPr>
        <w:t>7</w:t>
      </w:r>
    </w:p>
    <w:p w14:paraId="27A1D094" w14:textId="77777777" w:rsidR="00C22589" w:rsidRPr="00F10460" w:rsidRDefault="00C22589" w:rsidP="00275CCD">
      <w:pPr>
        <w:tabs>
          <w:tab w:val="right" w:pos="850"/>
          <w:tab w:val="right" w:leader="dot" w:pos="8787"/>
          <w:tab w:val="right" w:pos="9638"/>
        </w:tabs>
        <w:spacing w:after="120"/>
        <w:ind w:left="1134" w:hanging="1134"/>
        <w:rPr>
          <w:noProof/>
          <w:lang w:val="fr-FR"/>
        </w:rPr>
      </w:pPr>
      <w:r w:rsidRPr="00F10460">
        <w:rPr>
          <w:lang w:val="fr-FR"/>
        </w:rPr>
        <w:tab/>
        <w:t>IX.</w:t>
      </w:r>
      <w:r w:rsidRPr="00F10460">
        <w:rPr>
          <w:lang w:val="fr-FR"/>
        </w:rPr>
        <w:tab/>
        <w:t>Questions diverses (point 8 de l</w:t>
      </w:r>
      <w:r>
        <w:rPr>
          <w:lang w:val="fr-FR"/>
        </w:rPr>
        <w:t>’</w:t>
      </w:r>
      <w:r w:rsidRPr="00F10460">
        <w:rPr>
          <w:lang w:val="fr-FR"/>
        </w:rPr>
        <w:t>ordre du jour)</w:t>
      </w:r>
      <w:r w:rsidRPr="00F10460">
        <w:rPr>
          <w:noProof/>
          <w:webHidden/>
          <w:lang w:val="fr-FR"/>
        </w:rPr>
        <w:tab/>
      </w:r>
      <w:r w:rsidRPr="00F10460">
        <w:rPr>
          <w:noProof/>
          <w:webHidden/>
          <w:lang w:val="fr-FR"/>
        </w:rPr>
        <w:tab/>
        <w:t>1</w:t>
      </w:r>
      <w:r w:rsidR="00763E2F">
        <w:rPr>
          <w:noProof/>
          <w:webHidden/>
          <w:lang w:val="fr-FR"/>
        </w:rPr>
        <w:t>7</w:t>
      </w:r>
    </w:p>
    <w:p w14:paraId="05CB8FAB" w14:textId="77777777" w:rsidR="00C22589" w:rsidRPr="00F10460" w:rsidRDefault="00C22589" w:rsidP="00275CCD">
      <w:pPr>
        <w:tabs>
          <w:tab w:val="right" w:leader="dot" w:pos="8787"/>
          <w:tab w:val="right" w:pos="9638"/>
        </w:tabs>
        <w:spacing w:after="120"/>
        <w:ind w:left="1559" w:hanging="425"/>
        <w:rPr>
          <w:noProof/>
          <w:lang w:val="fr-FR"/>
        </w:rPr>
      </w:pPr>
      <w:r w:rsidRPr="00F10460">
        <w:rPr>
          <w:lang w:val="fr-FR"/>
        </w:rPr>
        <w:t>A.</w:t>
      </w:r>
      <w:r w:rsidRPr="00F10460">
        <w:rPr>
          <w:lang w:val="fr-FR"/>
        </w:rPr>
        <w:tab/>
        <w:t>Règlement intérieur du Comité de sécurité</w:t>
      </w:r>
      <w:r w:rsidRPr="00F10460">
        <w:rPr>
          <w:noProof/>
          <w:webHidden/>
          <w:lang w:val="fr-FR"/>
        </w:rPr>
        <w:tab/>
      </w:r>
      <w:r w:rsidRPr="00F10460">
        <w:rPr>
          <w:noProof/>
          <w:webHidden/>
          <w:lang w:val="fr-FR"/>
        </w:rPr>
        <w:tab/>
        <w:t>1</w:t>
      </w:r>
      <w:r w:rsidR="00763E2F">
        <w:rPr>
          <w:noProof/>
          <w:webHidden/>
          <w:lang w:val="fr-FR"/>
        </w:rPr>
        <w:t>7</w:t>
      </w:r>
    </w:p>
    <w:p w14:paraId="6D5334B0" w14:textId="77777777" w:rsidR="00C22589" w:rsidRPr="00F10460" w:rsidRDefault="00C22589" w:rsidP="00275CCD">
      <w:pPr>
        <w:tabs>
          <w:tab w:val="right" w:leader="dot" w:pos="8787"/>
          <w:tab w:val="right" w:pos="9638"/>
        </w:tabs>
        <w:spacing w:after="120"/>
        <w:ind w:left="1559" w:hanging="425"/>
        <w:rPr>
          <w:noProof/>
          <w:lang w:val="fr-FR"/>
        </w:rPr>
      </w:pPr>
      <w:r w:rsidRPr="00F10460">
        <w:rPr>
          <w:lang w:val="fr-FR"/>
        </w:rPr>
        <w:t>B.</w:t>
      </w:r>
      <w:r w:rsidRPr="00F10460">
        <w:rPr>
          <w:lang w:val="fr-FR"/>
        </w:rPr>
        <w:tab/>
        <w:t>Groupe de travail informel du mélange de cargaisons à bord des barges</w:t>
      </w:r>
      <w:r w:rsidRPr="00F10460">
        <w:rPr>
          <w:noProof/>
          <w:webHidden/>
          <w:lang w:val="fr-FR"/>
        </w:rPr>
        <w:tab/>
      </w:r>
      <w:r w:rsidRPr="00F10460">
        <w:rPr>
          <w:noProof/>
          <w:webHidden/>
          <w:lang w:val="fr-FR"/>
        </w:rPr>
        <w:tab/>
        <w:t>1</w:t>
      </w:r>
      <w:r w:rsidR="00763E2F">
        <w:rPr>
          <w:noProof/>
          <w:webHidden/>
          <w:lang w:val="fr-FR"/>
        </w:rPr>
        <w:t>7</w:t>
      </w:r>
    </w:p>
    <w:p w14:paraId="2C192C2A" w14:textId="77777777" w:rsidR="00C22589" w:rsidRPr="00F10460" w:rsidRDefault="00C22589" w:rsidP="00275CCD">
      <w:pPr>
        <w:tabs>
          <w:tab w:val="right" w:pos="850"/>
          <w:tab w:val="right" w:leader="dot" w:pos="8787"/>
          <w:tab w:val="right" w:pos="9638"/>
        </w:tabs>
        <w:spacing w:after="120"/>
        <w:ind w:left="1134" w:hanging="1134"/>
        <w:rPr>
          <w:noProof/>
          <w:lang w:val="fr-FR"/>
        </w:rPr>
      </w:pPr>
      <w:r w:rsidRPr="00F10460">
        <w:rPr>
          <w:lang w:val="fr-FR"/>
        </w:rPr>
        <w:tab/>
        <w:t>X.</w:t>
      </w:r>
      <w:r w:rsidRPr="00F10460">
        <w:rPr>
          <w:lang w:val="fr-FR"/>
        </w:rPr>
        <w:tab/>
        <w:t>Adoption du rapport (point 9 de l</w:t>
      </w:r>
      <w:r>
        <w:rPr>
          <w:lang w:val="fr-FR"/>
        </w:rPr>
        <w:t>’</w:t>
      </w:r>
      <w:r w:rsidRPr="00F10460">
        <w:rPr>
          <w:lang w:val="fr-FR"/>
        </w:rPr>
        <w:t>ordre du jour)</w:t>
      </w:r>
      <w:r w:rsidRPr="00F10460">
        <w:rPr>
          <w:noProof/>
          <w:webHidden/>
          <w:lang w:val="fr-FR"/>
        </w:rPr>
        <w:tab/>
      </w:r>
      <w:r w:rsidRPr="00F10460">
        <w:rPr>
          <w:noProof/>
          <w:webHidden/>
          <w:lang w:val="fr-FR"/>
        </w:rPr>
        <w:tab/>
        <w:t>1</w:t>
      </w:r>
      <w:r w:rsidR="00763E2F">
        <w:rPr>
          <w:noProof/>
          <w:webHidden/>
          <w:lang w:val="fr-FR"/>
        </w:rPr>
        <w:t>7</w:t>
      </w:r>
    </w:p>
    <w:p w14:paraId="5CC01435" w14:textId="77777777" w:rsidR="00C22589" w:rsidRPr="00F10460" w:rsidRDefault="00275CCD" w:rsidP="00275CCD">
      <w:pPr>
        <w:tabs>
          <w:tab w:val="right" w:pos="850"/>
        </w:tabs>
        <w:spacing w:after="120"/>
        <w:rPr>
          <w:noProof/>
          <w:lang w:val="fr-FR"/>
        </w:rPr>
      </w:pPr>
      <w:r>
        <w:rPr>
          <w:lang w:val="fr-FR"/>
        </w:rPr>
        <w:tab/>
      </w:r>
      <w:r w:rsidR="00C22589" w:rsidRPr="00F10460">
        <w:rPr>
          <w:lang w:val="fr-FR"/>
        </w:rPr>
        <w:t>Annexes</w:t>
      </w:r>
    </w:p>
    <w:p w14:paraId="4FD423FF" w14:textId="77777777" w:rsidR="00C22589" w:rsidRPr="00F10460" w:rsidRDefault="00C22589" w:rsidP="00275CCD">
      <w:pPr>
        <w:tabs>
          <w:tab w:val="right" w:pos="850"/>
          <w:tab w:val="right" w:leader="dot" w:pos="8787"/>
          <w:tab w:val="right" w:pos="9638"/>
        </w:tabs>
        <w:spacing w:after="120"/>
        <w:ind w:left="1134" w:hanging="1134"/>
        <w:rPr>
          <w:noProof/>
          <w:lang w:val="fr-FR"/>
        </w:rPr>
      </w:pPr>
      <w:r w:rsidRPr="00F10460">
        <w:rPr>
          <w:lang w:val="fr-FR"/>
        </w:rPr>
        <w:tab/>
        <w:t>I.</w:t>
      </w:r>
      <w:r w:rsidRPr="00F10460">
        <w:rPr>
          <w:lang w:val="fr-FR"/>
        </w:rPr>
        <w:tab/>
        <w:t>Propositions d</w:t>
      </w:r>
      <w:r>
        <w:rPr>
          <w:lang w:val="fr-FR"/>
        </w:rPr>
        <w:t>’</w:t>
      </w:r>
      <w:r w:rsidRPr="00F10460">
        <w:rPr>
          <w:lang w:val="fr-FR"/>
        </w:rPr>
        <w:t>amendements au Règlement annexé à l</w:t>
      </w:r>
      <w:r>
        <w:rPr>
          <w:lang w:val="fr-FR"/>
        </w:rPr>
        <w:t>’</w:t>
      </w:r>
      <w:r w:rsidRPr="00F10460">
        <w:rPr>
          <w:lang w:val="fr-FR"/>
        </w:rPr>
        <w:t xml:space="preserve">ADN pour entrée en vigueur </w:t>
      </w:r>
      <w:r w:rsidR="00D77BF1">
        <w:rPr>
          <w:lang w:val="fr-FR"/>
        </w:rPr>
        <w:br/>
      </w:r>
      <w:r w:rsidRPr="00F10460">
        <w:rPr>
          <w:lang w:val="fr-FR"/>
        </w:rPr>
        <w:t>le 1</w:t>
      </w:r>
      <w:r w:rsidRPr="00F10460">
        <w:rPr>
          <w:vertAlign w:val="superscript"/>
          <w:lang w:val="fr-FR"/>
        </w:rPr>
        <w:t>er</w:t>
      </w:r>
      <w:r w:rsidRPr="00F10460">
        <w:rPr>
          <w:lang w:val="fr-FR"/>
        </w:rPr>
        <w:t> janvier</w:t>
      </w:r>
      <w:r w:rsidR="00D77BF1">
        <w:rPr>
          <w:lang w:val="fr-FR"/>
        </w:rPr>
        <w:t xml:space="preserve"> </w:t>
      </w:r>
      <w:r w:rsidRPr="00F10460">
        <w:rPr>
          <w:lang w:val="fr-FR"/>
        </w:rPr>
        <w:t>2023</w:t>
      </w:r>
      <w:r w:rsidRPr="00F10460">
        <w:rPr>
          <w:noProof/>
          <w:webHidden/>
          <w:spacing w:val="-2"/>
          <w:lang w:val="fr-FR"/>
        </w:rPr>
        <w:tab/>
      </w:r>
      <w:r w:rsidR="00D77BF1">
        <w:rPr>
          <w:noProof/>
          <w:webHidden/>
          <w:spacing w:val="-2"/>
          <w:lang w:val="fr-FR"/>
        </w:rPr>
        <w:tab/>
      </w:r>
      <w:r w:rsidRPr="00F10460">
        <w:rPr>
          <w:noProof/>
          <w:webHidden/>
          <w:spacing w:val="-2"/>
          <w:lang w:val="fr-FR"/>
        </w:rPr>
        <w:t>1</w:t>
      </w:r>
      <w:r w:rsidR="00763E2F">
        <w:rPr>
          <w:noProof/>
          <w:webHidden/>
          <w:spacing w:val="-2"/>
          <w:lang w:val="fr-FR"/>
        </w:rPr>
        <w:t>8</w:t>
      </w:r>
    </w:p>
    <w:p w14:paraId="1875D950" w14:textId="77777777" w:rsidR="00C22589" w:rsidRPr="00F10460" w:rsidRDefault="00C22589" w:rsidP="00275CCD">
      <w:pPr>
        <w:tabs>
          <w:tab w:val="right" w:pos="850"/>
          <w:tab w:val="right" w:leader="dot" w:pos="8787"/>
          <w:tab w:val="right" w:pos="9638"/>
        </w:tabs>
        <w:spacing w:after="120"/>
        <w:ind w:left="1134" w:hanging="1134"/>
        <w:rPr>
          <w:noProof/>
          <w:lang w:val="fr-FR"/>
        </w:rPr>
      </w:pPr>
      <w:r w:rsidRPr="00F10460">
        <w:rPr>
          <w:lang w:val="fr-FR"/>
        </w:rPr>
        <w:tab/>
        <w:t>II.</w:t>
      </w:r>
      <w:r w:rsidRPr="00F10460">
        <w:rPr>
          <w:lang w:val="fr-FR"/>
        </w:rPr>
        <w:tab/>
        <w:t>Propositions de corrections au Règlement annexé à l</w:t>
      </w:r>
      <w:r>
        <w:rPr>
          <w:lang w:val="fr-FR"/>
        </w:rPr>
        <w:t>’</w:t>
      </w:r>
      <w:r w:rsidRPr="00F10460">
        <w:rPr>
          <w:lang w:val="fr-FR"/>
        </w:rPr>
        <w:t>ADN (nécessitant l</w:t>
      </w:r>
      <w:r>
        <w:rPr>
          <w:lang w:val="fr-FR"/>
        </w:rPr>
        <w:t>’</w:t>
      </w:r>
      <w:r w:rsidRPr="00F10460">
        <w:rPr>
          <w:lang w:val="fr-FR"/>
        </w:rPr>
        <w:t xml:space="preserve">acceptation </w:t>
      </w:r>
      <w:r w:rsidR="00D77BF1">
        <w:rPr>
          <w:lang w:val="fr-FR"/>
        </w:rPr>
        <w:br/>
      </w:r>
      <w:r w:rsidRPr="00F10460">
        <w:rPr>
          <w:lang w:val="fr-FR"/>
        </w:rPr>
        <w:t>par les Parties contractantes)</w:t>
      </w:r>
      <w:r w:rsidRPr="00F10460">
        <w:rPr>
          <w:noProof/>
          <w:webHidden/>
          <w:lang w:val="fr-FR"/>
        </w:rPr>
        <w:tab/>
      </w:r>
      <w:r w:rsidRPr="00F10460">
        <w:rPr>
          <w:noProof/>
          <w:webHidden/>
          <w:lang w:val="fr-FR"/>
        </w:rPr>
        <w:tab/>
        <w:t>2</w:t>
      </w:r>
      <w:r w:rsidR="00763E2F">
        <w:rPr>
          <w:noProof/>
          <w:webHidden/>
          <w:lang w:val="fr-FR"/>
        </w:rPr>
        <w:t>1</w:t>
      </w:r>
    </w:p>
    <w:p w14:paraId="7C1E8636" w14:textId="77777777" w:rsidR="00C22589" w:rsidRPr="00F10460" w:rsidRDefault="00C22589" w:rsidP="00275CCD">
      <w:pPr>
        <w:tabs>
          <w:tab w:val="right" w:pos="850"/>
          <w:tab w:val="right" w:leader="dot" w:pos="8787"/>
          <w:tab w:val="right" w:pos="9638"/>
        </w:tabs>
        <w:spacing w:after="120"/>
        <w:ind w:left="1134" w:hanging="1134"/>
        <w:rPr>
          <w:noProof/>
          <w:lang w:val="fr-FR"/>
        </w:rPr>
      </w:pPr>
      <w:r w:rsidRPr="00F10460">
        <w:rPr>
          <w:lang w:val="fr-FR"/>
        </w:rPr>
        <w:tab/>
        <w:t>III.</w:t>
      </w:r>
      <w:r w:rsidRPr="00F10460">
        <w:rPr>
          <w:lang w:val="fr-FR"/>
        </w:rPr>
        <w:tab/>
        <w:t>Corrections à apporter au document ECE/TRANS/301 (publication de l</w:t>
      </w:r>
      <w:r>
        <w:rPr>
          <w:lang w:val="fr-FR"/>
        </w:rPr>
        <w:t>’</w:t>
      </w:r>
      <w:r w:rsidRPr="00F10460">
        <w:rPr>
          <w:lang w:val="fr-FR"/>
        </w:rPr>
        <w:t xml:space="preserve">ADN 2021) </w:t>
      </w:r>
      <w:r w:rsidR="00D77BF1">
        <w:rPr>
          <w:lang w:val="fr-FR"/>
        </w:rPr>
        <w:br/>
      </w:r>
      <w:r w:rsidRPr="00F10460">
        <w:rPr>
          <w:lang w:val="fr-FR"/>
        </w:rPr>
        <w:t>(corrections ne nécessitant aucune acceptation par les Parties contractantes)</w:t>
      </w:r>
      <w:r w:rsidRPr="00F10460">
        <w:rPr>
          <w:noProof/>
          <w:webHidden/>
          <w:lang w:val="fr-FR"/>
        </w:rPr>
        <w:tab/>
      </w:r>
      <w:r w:rsidRPr="00F10460">
        <w:rPr>
          <w:noProof/>
          <w:webHidden/>
          <w:lang w:val="fr-FR"/>
        </w:rPr>
        <w:tab/>
        <w:t>2</w:t>
      </w:r>
      <w:r w:rsidR="00763E2F">
        <w:rPr>
          <w:noProof/>
          <w:webHidden/>
          <w:lang w:val="fr-FR"/>
        </w:rPr>
        <w:t>2</w:t>
      </w:r>
    </w:p>
    <w:p w14:paraId="3A0FAFA4" w14:textId="77777777" w:rsidR="00C22589" w:rsidRPr="00F10460" w:rsidRDefault="00C22589" w:rsidP="00C22589">
      <w:pPr>
        <w:tabs>
          <w:tab w:val="right" w:pos="850"/>
          <w:tab w:val="left" w:pos="1134"/>
          <w:tab w:val="left" w:pos="1559"/>
          <w:tab w:val="left" w:pos="1984"/>
          <w:tab w:val="left" w:leader="dot" w:pos="8929"/>
          <w:tab w:val="right" w:pos="9638"/>
        </w:tabs>
        <w:spacing w:after="120"/>
        <w:rPr>
          <w:lang w:val="fr-FR"/>
        </w:rPr>
      </w:pPr>
      <w:r w:rsidRPr="00F10460">
        <w:rPr>
          <w:lang w:val="fr-FR"/>
        </w:rPr>
        <w:br w:type="page"/>
      </w:r>
    </w:p>
    <w:p w14:paraId="06D20152" w14:textId="77777777" w:rsidR="00C22589" w:rsidRPr="00F10460" w:rsidRDefault="00C22589" w:rsidP="004C0A5C">
      <w:pPr>
        <w:pStyle w:val="HChG"/>
        <w:rPr>
          <w:lang w:val="fr-FR"/>
        </w:rPr>
      </w:pPr>
      <w:r w:rsidRPr="00F10460">
        <w:rPr>
          <w:lang w:val="fr-FR"/>
        </w:rPr>
        <w:lastRenderedPageBreak/>
        <w:tab/>
        <w:t>I.</w:t>
      </w:r>
      <w:r w:rsidRPr="00F10460">
        <w:rPr>
          <w:lang w:val="fr-FR"/>
        </w:rPr>
        <w:tab/>
        <w:t>Participation et questions d</w:t>
      </w:r>
      <w:r>
        <w:rPr>
          <w:lang w:val="fr-FR"/>
        </w:rPr>
        <w:t>’</w:t>
      </w:r>
      <w:r w:rsidRPr="00F10460">
        <w:rPr>
          <w:lang w:val="fr-FR"/>
        </w:rPr>
        <w:t>organisation</w:t>
      </w:r>
      <w:bookmarkStart w:id="7" w:name="_Toc63762781"/>
      <w:bookmarkStart w:id="8" w:name="_Toc64472431"/>
      <w:bookmarkStart w:id="9" w:name="_Hlk536607859"/>
      <w:bookmarkEnd w:id="7"/>
      <w:bookmarkEnd w:id="8"/>
    </w:p>
    <w:p w14:paraId="418958FE" w14:textId="77777777" w:rsidR="00C22589" w:rsidRPr="00F10460" w:rsidRDefault="00C22589" w:rsidP="004C0A5C">
      <w:pPr>
        <w:pStyle w:val="SingleTxtG"/>
        <w:rPr>
          <w:rFonts w:eastAsia="SimSun"/>
          <w:lang w:val="fr-FR"/>
        </w:rPr>
      </w:pPr>
      <w:r w:rsidRPr="00F10460">
        <w:rPr>
          <w:lang w:val="fr-FR"/>
        </w:rPr>
        <w:t>1.</w:t>
      </w:r>
      <w:r w:rsidRPr="00F10460">
        <w:rPr>
          <w:lang w:val="fr-FR"/>
        </w:rPr>
        <w:tab/>
        <w:t>En raison de la pandémie de coronavirus et des mesures appliquées par la Commission économique pour l</w:t>
      </w:r>
      <w:r>
        <w:rPr>
          <w:lang w:val="fr-FR"/>
        </w:rPr>
        <w:t>’</w:t>
      </w:r>
      <w:r w:rsidRPr="00F10460">
        <w:rPr>
          <w:lang w:val="fr-FR"/>
        </w:rPr>
        <w:t>Europe (CEE) et par les Parties contractantes à l</w:t>
      </w:r>
      <w:r>
        <w:rPr>
          <w:lang w:val="fr-FR"/>
        </w:rPr>
        <w:t>’</w:t>
      </w:r>
      <w:r w:rsidRPr="00F10460">
        <w:rPr>
          <w:lang w:val="fr-FR"/>
        </w:rPr>
        <w:t>ADN pour protéger la santé publique, telles que les restrictions des déplacements, il a été décidé de reporter la trente-septième session de la Réunion commune d</w:t>
      </w:r>
      <w:r>
        <w:rPr>
          <w:lang w:val="fr-FR"/>
        </w:rPr>
        <w:t>’</w:t>
      </w:r>
      <w:r w:rsidRPr="00F10460">
        <w:rPr>
          <w:lang w:val="fr-FR"/>
        </w:rPr>
        <w:t>experts du Règlement annexé à l</w:t>
      </w:r>
      <w:r>
        <w:rPr>
          <w:lang w:val="fr-FR"/>
        </w:rPr>
        <w:t>’</w:t>
      </w:r>
      <w:r w:rsidRPr="00F10460">
        <w:rPr>
          <w:lang w:val="fr-FR"/>
        </w:rPr>
        <w:t>Accord européen relatif au transport international des marchandises dangereuses par voies de navigation intérieures (ADN) (Comité de sécurité de l</w:t>
      </w:r>
      <w:r>
        <w:rPr>
          <w:lang w:val="fr-FR"/>
        </w:rPr>
        <w:t>’</w:t>
      </w:r>
      <w:r w:rsidRPr="00F10460">
        <w:rPr>
          <w:lang w:val="fr-FR"/>
        </w:rPr>
        <w:t>ADN). Cette session, initialement prévue du 24 au 28 août</w:t>
      </w:r>
      <w:r w:rsidR="004C0A5C">
        <w:rPr>
          <w:lang w:val="fr-FR"/>
        </w:rPr>
        <w:t xml:space="preserve"> </w:t>
      </w:r>
      <w:r w:rsidRPr="00F10460">
        <w:rPr>
          <w:lang w:val="fr-FR"/>
        </w:rPr>
        <w:t>2020, s</w:t>
      </w:r>
      <w:r>
        <w:rPr>
          <w:lang w:val="fr-FR"/>
        </w:rPr>
        <w:t>’</w:t>
      </w:r>
      <w:r w:rsidRPr="00F10460">
        <w:rPr>
          <w:lang w:val="fr-FR"/>
        </w:rPr>
        <w:t>est ainsi tenue du 25 au 29 janvier</w:t>
      </w:r>
      <w:r w:rsidR="004C0A5C">
        <w:rPr>
          <w:lang w:val="fr-FR"/>
        </w:rPr>
        <w:t xml:space="preserve"> </w:t>
      </w:r>
      <w:r w:rsidRPr="00F10460">
        <w:rPr>
          <w:lang w:val="fr-FR"/>
        </w:rPr>
        <w:t>2021, aux dates fixées pour la trente-huitième session. Les documents officiels soumis en vue de la session d</w:t>
      </w:r>
      <w:r>
        <w:rPr>
          <w:lang w:val="fr-FR"/>
        </w:rPr>
        <w:t>’</w:t>
      </w:r>
      <w:r w:rsidRPr="00F10460">
        <w:rPr>
          <w:lang w:val="fr-FR"/>
        </w:rPr>
        <w:t>août</w:t>
      </w:r>
      <w:r w:rsidR="004C0A5C">
        <w:rPr>
          <w:lang w:val="fr-FR"/>
        </w:rPr>
        <w:t xml:space="preserve"> </w:t>
      </w:r>
      <w:r w:rsidRPr="00F10460">
        <w:rPr>
          <w:lang w:val="fr-FR"/>
        </w:rPr>
        <w:t>2020 ont été maintenus à l</w:t>
      </w:r>
      <w:r>
        <w:rPr>
          <w:lang w:val="fr-FR"/>
        </w:rPr>
        <w:t>’</w:t>
      </w:r>
      <w:r w:rsidRPr="00F10460">
        <w:rPr>
          <w:lang w:val="fr-FR"/>
        </w:rPr>
        <w:t>ordre du jour.</w:t>
      </w:r>
    </w:p>
    <w:p w14:paraId="4D27D693" w14:textId="77777777" w:rsidR="00C22589" w:rsidRPr="00F10460" w:rsidRDefault="00C22589" w:rsidP="004C0A5C">
      <w:pPr>
        <w:pStyle w:val="SingleTxtG"/>
        <w:rPr>
          <w:rFonts w:eastAsia="SimSun"/>
          <w:lang w:val="fr-FR"/>
        </w:rPr>
      </w:pPr>
      <w:r w:rsidRPr="00F10460">
        <w:rPr>
          <w:lang w:val="fr-FR"/>
        </w:rPr>
        <w:t>2.</w:t>
      </w:r>
      <w:r w:rsidRPr="00F10460">
        <w:rPr>
          <w:lang w:val="fr-FR"/>
        </w:rPr>
        <w:tab/>
        <w:t>De plus, en raison d</w:t>
      </w:r>
      <w:r>
        <w:rPr>
          <w:lang w:val="fr-FR"/>
        </w:rPr>
        <w:t>’</w:t>
      </w:r>
      <w:r w:rsidRPr="00F10460">
        <w:rPr>
          <w:lang w:val="fr-FR"/>
        </w:rPr>
        <w:t>un ensemble de mesures d</w:t>
      </w:r>
      <w:r>
        <w:rPr>
          <w:lang w:val="fr-FR"/>
        </w:rPr>
        <w:t>’</w:t>
      </w:r>
      <w:r w:rsidRPr="00F10460">
        <w:rPr>
          <w:lang w:val="fr-FR"/>
        </w:rPr>
        <w:t>intervention dans le contexte de la COVID-19, de contraintes financières découlant de la crise de liquidités à laquelle l</w:t>
      </w:r>
      <w:r>
        <w:rPr>
          <w:lang w:val="fr-FR"/>
        </w:rPr>
        <w:t>’</w:t>
      </w:r>
      <w:r w:rsidRPr="00F10460">
        <w:rPr>
          <w:lang w:val="fr-FR"/>
        </w:rPr>
        <w:t xml:space="preserve">Organisation des Nations Unies (ONU) est confrontée, des travaux de rénovation en cours au Palais des Nations dans le cadre du Plan stratégique patrimonial et de contraintes techniques liées au nombre limité de salles de réunion disponibles pour les réunions hybrides, le nombre de réunions avec interprétation alloué à la CEE a été réduit à une seule par jour pour le dernier trimestre de 2020 et le premier de 2021. </w:t>
      </w:r>
    </w:p>
    <w:p w14:paraId="0C5F9820" w14:textId="77777777" w:rsidR="00C22589" w:rsidRPr="00F10460" w:rsidRDefault="00C22589" w:rsidP="004C0A5C">
      <w:pPr>
        <w:pStyle w:val="SingleTxtG"/>
        <w:rPr>
          <w:rFonts w:eastAsia="SimSun"/>
          <w:lang w:val="fr-FR"/>
        </w:rPr>
      </w:pPr>
      <w:r w:rsidRPr="00F10460">
        <w:rPr>
          <w:lang w:val="fr-FR"/>
        </w:rPr>
        <w:t>3.</w:t>
      </w:r>
      <w:r w:rsidRPr="00F10460">
        <w:rPr>
          <w:lang w:val="fr-FR"/>
        </w:rPr>
        <w:tab/>
        <w:t>Compte tenu de ces facteurs, ainsi que de la quarantaine et des restrictions des déplacements en vigueur, et après consultation du secrétariat et des services de conférence de l</w:t>
      </w:r>
      <w:r>
        <w:rPr>
          <w:lang w:val="fr-FR"/>
        </w:rPr>
        <w:t>’</w:t>
      </w:r>
      <w:r w:rsidRPr="00F10460">
        <w:rPr>
          <w:lang w:val="fr-FR"/>
        </w:rPr>
        <w:t>Office des Nations Unies à Genève, il a été décidé d</w:t>
      </w:r>
      <w:r>
        <w:rPr>
          <w:lang w:val="fr-FR"/>
        </w:rPr>
        <w:t>’</w:t>
      </w:r>
      <w:r w:rsidRPr="00F10460">
        <w:rPr>
          <w:lang w:val="fr-FR"/>
        </w:rPr>
        <w:t>adapter les modalités d</w:t>
      </w:r>
      <w:r>
        <w:rPr>
          <w:lang w:val="fr-FR"/>
        </w:rPr>
        <w:t>’</w:t>
      </w:r>
      <w:r w:rsidRPr="00F10460">
        <w:rPr>
          <w:lang w:val="fr-FR"/>
        </w:rPr>
        <w:t>organisation de la trente-septième session.</w:t>
      </w:r>
    </w:p>
    <w:p w14:paraId="4A5BCB7B" w14:textId="77777777" w:rsidR="00C22589" w:rsidRPr="00F10460" w:rsidRDefault="00C22589" w:rsidP="004C0A5C">
      <w:pPr>
        <w:pStyle w:val="SingleTxtG"/>
        <w:rPr>
          <w:rFonts w:eastAsia="SimSun"/>
          <w:lang w:val="fr-FR"/>
        </w:rPr>
      </w:pPr>
      <w:r w:rsidRPr="00F10460">
        <w:rPr>
          <w:lang w:val="fr-FR"/>
        </w:rPr>
        <w:t>4.</w:t>
      </w:r>
      <w:r w:rsidRPr="00F10460">
        <w:rPr>
          <w:lang w:val="fr-FR"/>
        </w:rPr>
        <w:tab/>
        <w:t>Le Comité de sécurité a salué les efforts entrepris par le secrétariat pour mettre en place une nouvelle fois un espace de travail virtuel (</w:t>
      </w:r>
      <w:hyperlink r:id="rId8" w:history="1">
        <w:r w:rsidRPr="00F10460">
          <w:rPr>
            <w:rStyle w:val="Lienhypertexte"/>
            <w:lang w:val="fr-FR"/>
          </w:rPr>
          <w:t>https://wiki.unece.org/display/adnsc/</w:t>
        </w:r>
      </w:hyperlink>
      <w:r w:rsidRPr="00F10460">
        <w:rPr>
          <w:lang w:val="fr-FR"/>
        </w:rPr>
        <w:t>) permettant d</w:t>
      </w:r>
      <w:r>
        <w:rPr>
          <w:lang w:val="fr-FR"/>
        </w:rPr>
        <w:t>’</w:t>
      </w:r>
      <w:r w:rsidRPr="00F10460">
        <w:rPr>
          <w:lang w:val="fr-FR"/>
        </w:rPr>
        <w:t>échanger par écrit des observations sur tous les documents inscrits à l</w:t>
      </w:r>
      <w:r>
        <w:rPr>
          <w:lang w:val="fr-FR"/>
        </w:rPr>
        <w:t>’</w:t>
      </w:r>
      <w:r w:rsidRPr="00F10460">
        <w:rPr>
          <w:lang w:val="fr-FR"/>
        </w:rPr>
        <w:t>ordre du jour de la session.</w:t>
      </w:r>
    </w:p>
    <w:p w14:paraId="3E9A0EF1" w14:textId="77777777" w:rsidR="00C22589" w:rsidRPr="00F10460" w:rsidRDefault="00C22589" w:rsidP="00275CCD">
      <w:pPr>
        <w:pStyle w:val="H1G"/>
        <w:rPr>
          <w:lang w:val="fr-FR"/>
        </w:rPr>
      </w:pPr>
      <w:r w:rsidRPr="00F10460">
        <w:rPr>
          <w:lang w:val="fr-FR"/>
        </w:rPr>
        <w:tab/>
      </w:r>
      <w:r w:rsidRPr="00F10460">
        <w:rPr>
          <w:lang w:val="fr-FR"/>
        </w:rPr>
        <w:tab/>
      </w:r>
      <w:r w:rsidRPr="00275CCD">
        <w:t>Participation</w:t>
      </w:r>
      <w:bookmarkStart w:id="10" w:name="_Toc63762782"/>
      <w:bookmarkStart w:id="11" w:name="_Toc64472432"/>
      <w:bookmarkEnd w:id="10"/>
      <w:bookmarkEnd w:id="11"/>
    </w:p>
    <w:p w14:paraId="373C048D" w14:textId="77777777" w:rsidR="00C22589" w:rsidRPr="00F10460" w:rsidRDefault="00C22589" w:rsidP="004C0A5C">
      <w:pPr>
        <w:pStyle w:val="SingleTxtG"/>
        <w:rPr>
          <w:rFonts w:eastAsia="SimSun"/>
          <w:lang w:val="fr-FR"/>
        </w:rPr>
      </w:pPr>
      <w:r w:rsidRPr="00F10460">
        <w:rPr>
          <w:lang w:val="fr-FR"/>
        </w:rPr>
        <w:t>5.</w:t>
      </w:r>
      <w:r w:rsidRPr="00F10460">
        <w:rPr>
          <w:lang w:val="fr-FR"/>
        </w:rPr>
        <w:tab/>
        <w:t>Des représentants des pays suivants ont pris part aux travaux de la session : Allemagne, Autriche, Belgique, Bulgarie, Fédération de Russie, France, Luxembourg, Pays</w:t>
      </w:r>
      <w:r w:rsidR="004C0A5C">
        <w:rPr>
          <w:lang w:val="fr-FR"/>
        </w:rPr>
        <w:noBreakHyphen/>
      </w:r>
      <w:r w:rsidRPr="00F10460">
        <w:rPr>
          <w:lang w:val="fr-FR"/>
        </w:rPr>
        <w:t xml:space="preserve">Bas, Pologne, Roumanie, Slovaquie et Suisse. </w:t>
      </w:r>
    </w:p>
    <w:p w14:paraId="14875643" w14:textId="77777777" w:rsidR="00C22589" w:rsidRPr="00F10460" w:rsidRDefault="00C22589" w:rsidP="004C0A5C">
      <w:pPr>
        <w:pStyle w:val="SingleTxtG"/>
        <w:rPr>
          <w:rFonts w:eastAsia="SimSun"/>
          <w:lang w:val="fr-FR"/>
        </w:rPr>
      </w:pPr>
      <w:r w:rsidRPr="00F10460">
        <w:rPr>
          <w:lang w:val="fr-FR"/>
        </w:rPr>
        <w:t>6.</w:t>
      </w:r>
      <w:r w:rsidRPr="00F10460">
        <w:rPr>
          <w:lang w:val="fr-FR"/>
        </w:rPr>
        <w:tab/>
        <w:t>Les organisations intergouvernementales suivantes étaient représentées : la Commission centrale pour la navigation du Rhin (CCNR), la Commission du Danube et l</w:t>
      </w:r>
      <w:r>
        <w:rPr>
          <w:lang w:val="fr-FR"/>
        </w:rPr>
        <w:t>’</w:t>
      </w:r>
      <w:r w:rsidRPr="00F10460">
        <w:rPr>
          <w:lang w:val="fr-FR"/>
        </w:rPr>
        <w:t xml:space="preserve">Union européenne (UE). </w:t>
      </w:r>
    </w:p>
    <w:p w14:paraId="2705154B" w14:textId="77777777" w:rsidR="00C22589" w:rsidRPr="00F10460" w:rsidRDefault="00C22589" w:rsidP="004C0A5C">
      <w:pPr>
        <w:pStyle w:val="SingleTxtG"/>
        <w:rPr>
          <w:rFonts w:eastAsia="SimSun"/>
          <w:lang w:val="fr-FR"/>
        </w:rPr>
      </w:pPr>
      <w:r w:rsidRPr="00F10460">
        <w:rPr>
          <w:lang w:val="fr-FR"/>
        </w:rPr>
        <w:t>7.</w:t>
      </w:r>
      <w:r w:rsidRPr="00F10460">
        <w:rPr>
          <w:lang w:val="fr-FR"/>
        </w:rPr>
        <w:tab/>
        <w:t>Les organisations non gouvernementales ci-après étaient aussi représentées : Comité international de prévention des accidents du travail de la navigation intérieure (CIPA), Conseil européen de l</w:t>
      </w:r>
      <w:r>
        <w:rPr>
          <w:lang w:val="fr-FR"/>
        </w:rPr>
        <w:t>’</w:t>
      </w:r>
      <w:r w:rsidRPr="00F10460">
        <w:rPr>
          <w:lang w:val="fr-FR"/>
        </w:rPr>
        <w:t>industrie chimique (CEFIC), Federation of European Tank Storage Associations (FETSA), FuelsEurope, Organisation européenne des bateliers (OEB), sociétés de classification ADN recommandées et Union européenne de la navigation fluviale (UENF).</w:t>
      </w:r>
    </w:p>
    <w:bookmarkEnd w:id="9"/>
    <w:p w14:paraId="090EA6A1" w14:textId="77777777" w:rsidR="00C22589" w:rsidRPr="00F10460" w:rsidRDefault="00C22589" w:rsidP="00C22589">
      <w:pPr>
        <w:pStyle w:val="HChG"/>
        <w:rPr>
          <w:lang w:val="fr-FR"/>
        </w:rPr>
      </w:pPr>
      <w:r w:rsidRPr="00F10460">
        <w:rPr>
          <w:lang w:val="fr-FR"/>
        </w:rPr>
        <w:tab/>
        <w:t>II.</w:t>
      </w:r>
      <w:r w:rsidRPr="00F10460">
        <w:rPr>
          <w:lang w:val="fr-FR"/>
        </w:rPr>
        <w:tab/>
      </w:r>
      <w:r w:rsidRPr="00F10460">
        <w:rPr>
          <w:bCs/>
          <w:lang w:val="fr-FR"/>
        </w:rPr>
        <w:t>Adoption de l</w:t>
      </w:r>
      <w:r>
        <w:rPr>
          <w:bCs/>
          <w:lang w:val="fr-FR"/>
        </w:rPr>
        <w:t>’</w:t>
      </w:r>
      <w:r w:rsidRPr="00F10460">
        <w:rPr>
          <w:bCs/>
          <w:lang w:val="fr-FR"/>
        </w:rPr>
        <w:t>ordre du jour (point 1 de l</w:t>
      </w:r>
      <w:r>
        <w:rPr>
          <w:bCs/>
          <w:lang w:val="fr-FR"/>
        </w:rPr>
        <w:t>’</w:t>
      </w:r>
      <w:r w:rsidRPr="00F10460">
        <w:rPr>
          <w:bCs/>
          <w:lang w:val="fr-FR"/>
        </w:rPr>
        <w:t>ordre du jour)</w:t>
      </w:r>
      <w:bookmarkStart w:id="12" w:name="_Toc63762783"/>
      <w:bookmarkStart w:id="13" w:name="_Toc64472433"/>
      <w:bookmarkStart w:id="14" w:name="_Hlk536607922"/>
      <w:bookmarkEnd w:id="12"/>
      <w:bookmarkEnd w:id="13"/>
    </w:p>
    <w:p w14:paraId="121B33CD" w14:textId="77777777" w:rsidR="00C22589" w:rsidRPr="00F10460" w:rsidRDefault="00C22589" w:rsidP="004C0A5C">
      <w:pPr>
        <w:pStyle w:val="SingleTxtG"/>
        <w:tabs>
          <w:tab w:val="left" w:pos="3136"/>
        </w:tabs>
        <w:ind w:left="3136" w:hanging="2002"/>
        <w:jc w:val="left"/>
        <w:rPr>
          <w:lang w:val="fr-FR"/>
        </w:rPr>
      </w:pPr>
      <w:r w:rsidRPr="00F10460">
        <w:rPr>
          <w:i/>
          <w:iCs/>
          <w:lang w:val="fr-FR"/>
        </w:rPr>
        <w:t>Documents </w:t>
      </w:r>
      <w:r w:rsidRPr="004C0A5C">
        <w:rPr>
          <w:lang w:val="fr-FR"/>
        </w:rPr>
        <w:t>:</w:t>
      </w:r>
      <w:r w:rsidRPr="00F10460">
        <w:rPr>
          <w:lang w:val="fr-FR"/>
        </w:rPr>
        <w:tab/>
        <w:t>ECE/TRANS/WP.15/AC.2/75/Rev.1 (secrétariat) ECE/TRANS/WP.15/AC.2/75/Add.1/Rev.1 (secrétariat)</w:t>
      </w:r>
      <w:r>
        <w:rPr>
          <w:lang w:val="fr-FR"/>
        </w:rPr>
        <w:t>.</w:t>
      </w:r>
    </w:p>
    <w:p w14:paraId="389EF3A0" w14:textId="77777777" w:rsidR="00C22589" w:rsidRPr="00F10460" w:rsidRDefault="00C22589" w:rsidP="004C0A5C">
      <w:pPr>
        <w:pStyle w:val="SingleTxtG"/>
        <w:tabs>
          <w:tab w:val="left" w:pos="3136"/>
        </w:tabs>
        <w:ind w:left="3136" w:hanging="2002"/>
        <w:jc w:val="left"/>
        <w:rPr>
          <w:rFonts w:eastAsia="SimSun"/>
          <w:lang w:val="fr-FR"/>
        </w:rPr>
      </w:pPr>
      <w:r w:rsidRPr="00F10460">
        <w:rPr>
          <w:i/>
          <w:iCs/>
          <w:lang w:val="fr-FR"/>
        </w:rPr>
        <w:t>Document informel </w:t>
      </w:r>
      <w:r w:rsidRPr="004C0A5C">
        <w:rPr>
          <w:lang w:val="fr-FR"/>
        </w:rPr>
        <w:t>:</w:t>
      </w:r>
      <w:r w:rsidRPr="00F10460">
        <w:rPr>
          <w:lang w:val="fr-FR"/>
        </w:rPr>
        <w:tab/>
        <w:t>INF.1 (secrétariat)</w:t>
      </w:r>
      <w:r>
        <w:rPr>
          <w:lang w:val="fr-FR"/>
        </w:rPr>
        <w:t>.</w:t>
      </w:r>
    </w:p>
    <w:p w14:paraId="44F504C9" w14:textId="77777777" w:rsidR="00C22589" w:rsidRPr="00F10460" w:rsidRDefault="00C22589" w:rsidP="004C0A5C">
      <w:pPr>
        <w:pStyle w:val="SingleTxtG"/>
        <w:rPr>
          <w:rFonts w:eastAsia="SimSun"/>
          <w:lang w:val="fr-FR"/>
        </w:rPr>
      </w:pPr>
      <w:r w:rsidRPr="00F10460">
        <w:rPr>
          <w:lang w:val="fr-FR"/>
        </w:rPr>
        <w:t>8.</w:t>
      </w:r>
      <w:r w:rsidRPr="00F10460">
        <w:rPr>
          <w:lang w:val="fr-FR"/>
        </w:rPr>
        <w:tab/>
        <w:t>Le Comité de sécurité a adopté l</w:t>
      </w:r>
      <w:r>
        <w:rPr>
          <w:lang w:val="fr-FR"/>
        </w:rPr>
        <w:t>’</w:t>
      </w:r>
      <w:r w:rsidRPr="00F10460">
        <w:rPr>
          <w:lang w:val="fr-FR"/>
        </w:rPr>
        <w:t>ordre du jour établi par le secrétariat, tel que modifié par le document informel INF.1 pour tenir compte des documents informels INF.1 à INF.28.</w:t>
      </w:r>
    </w:p>
    <w:bookmarkEnd w:id="14"/>
    <w:p w14:paraId="06C56DB0" w14:textId="77777777" w:rsidR="00C22589" w:rsidRPr="00F10460" w:rsidRDefault="00C22589" w:rsidP="004C0A5C">
      <w:pPr>
        <w:pStyle w:val="HChG"/>
        <w:rPr>
          <w:lang w:val="fr-FR"/>
        </w:rPr>
      </w:pPr>
      <w:r w:rsidRPr="00F10460">
        <w:rPr>
          <w:lang w:val="fr-FR"/>
        </w:rPr>
        <w:lastRenderedPageBreak/>
        <w:tab/>
        <w:t>III.</w:t>
      </w:r>
      <w:r w:rsidRPr="00F10460">
        <w:rPr>
          <w:lang w:val="fr-FR"/>
        </w:rPr>
        <w:tab/>
      </w:r>
      <w:r w:rsidRPr="00275CCD">
        <w:t>Élection</w:t>
      </w:r>
      <w:r w:rsidRPr="00F10460">
        <w:rPr>
          <w:lang w:val="fr-FR"/>
        </w:rPr>
        <w:t xml:space="preserve"> du Bureau pour 2021 (point 2 de l</w:t>
      </w:r>
      <w:r>
        <w:rPr>
          <w:lang w:val="fr-FR"/>
        </w:rPr>
        <w:t>’</w:t>
      </w:r>
      <w:r w:rsidRPr="00F10460">
        <w:rPr>
          <w:lang w:val="fr-FR"/>
        </w:rPr>
        <w:t>ordre du jour)</w:t>
      </w:r>
      <w:bookmarkStart w:id="15" w:name="_Toc63762784"/>
      <w:bookmarkStart w:id="16" w:name="_Toc64472434"/>
      <w:bookmarkStart w:id="17" w:name="_Hlk536607958"/>
      <w:bookmarkEnd w:id="15"/>
      <w:bookmarkEnd w:id="16"/>
    </w:p>
    <w:p w14:paraId="5F0DA42B" w14:textId="77777777" w:rsidR="00C22589" w:rsidRPr="00F10460" w:rsidRDefault="00C22589" w:rsidP="004C0A5C">
      <w:pPr>
        <w:pStyle w:val="SingleTxtG"/>
        <w:rPr>
          <w:rFonts w:eastAsia="SimSun"/>
          <w:lang w:val="fr-FR"/>
        </w:rPr>
      </w:pPr>
      <w:r w:rsidRPr="00F10460">
        <w:rPr>
          <w:lang w:val="fr-FR"/>
        </w:rPr>
        <w:t>9.</w:t>
      </w:r>
      <w:r w:rsidRPr="00F10460">
        <w:rPr>
          <w:lang w:val="fr-FR"/>
        </w:rPr>
        <w:tab/>
        <w:t>Sur proposition du représentant de la France, le Comité de sécurité a réélu M. H. Langenberg (Pays-Bas) Président et M. B. Birklhuber (Autriche) Vice-Président pour ses sessions en 2021.</w:t>
      </w:r>
    </w:p>
    <w:bookmarkEnd w:id="17"/>
    <w:p w14:paraId="295FFE68" w14:textId="77777777" w:rsidR="00C22589" w:rsidRPr="00F10460" w:rsidRDefault="00C22589" w:rsidP="004C0A5C">
      <w:pPr>
        <w:pStyle w:val="HChG"/>
        <w:rPr>
          <w:lang w:val="fr-FR"/>
        </w:rPr>
      </w:pPr>
      <w:r w:rsidRPr="00F10460">
        <w:rPr>
          <w:lang w:val="fr-FR"/>
        </w:rPr>
        <w:tab/>
        <w:t>IV.</w:t>
      </w:r>
      <w:r w:rsidRPr="00F10460">
        <w:rPr>
          <w:lang w:val="fr-FR"/>
        </w:rPr>
        <w:tab/>
        <w:t>Questions découlant des travaux d</w:t>
      </w:r>
      <w:r>
        <w:rPr>
          <w:lang w:val="fr-FR"/>
        </w:rPr>
        <w:t>’</w:t>
      </w:r>
      <w:r w:rsidRPr="00F10460">
        <w:rPr>
          <w:lang w:val="fr-FR"/>
        </w:rPr>
        <w:t>organes des Nations</w:t>
      </w:r>
      <w:r w:rsidR="004C0A5C">
        <w:rPr>
          <w:lang w:val="fr-FR"/>
        </w:rPr>
        <w:t> </w:t>
      </w:r>
      <w:r w:rsidRPr="00F10460">
        <w:rPr>
          <w:lang w:val="fr-FR"/>
        </w:rPr>
        <w:t>Unies ou d</w:t>
      </w:r>
      <w:r>
        <w:rPr>
          <w:lang w:val="fr-FR"/>
        </w:rPr>
        <w:t>’</w:t>
      </w:r>
      <w:r w:rsidRPr="00F10460">
        <w:rPr>
          <w:lang w:val="fr-FR"/>
        </w:rPr>
        <w:t>autres organisations (point 3 de l</w:t>
      </w:r>
      <w:r>
        <w:rPr>
          <w:lang w:val="fr-FR"/>
        </w:rPr>
        <w:t>’</w:t>
      </w:r>
      <w:r w:rsidRPr="00F10460">
        <w:rPr>
          <w:lang w:val="fr-FR"/>
        </w:rPr>
        <w:t>ordre du jour)</w:t>
      </w:r>
      <w:bookmarkStart w:id="18" w:name="_Hlk536608040"/>
      <w:bookmarkStart w:id="19" w:name="_Toc63762785"/>
      <w:bookmarkStart w:id="20" w:name="_Toc64472435"/>
      <w:bookmarkEnd w:id="18"/>
      <w:bookmarkEnd w:id="19"/>
      <w:bookmarkEnd w:id="20"/>
    </w:p>
    <w:p w14:paraId="62AFAE20" w14:textId="77777777" w:rsidR="00C22589" w:rsidRPr="00F10460" w:rsidRDefault="00C22589" w:rsidP="004C0A5C">
      <w:pPr>
        <w:pStyle w:val="H1G"/>
        <w:rPr>
          <w:lang w:val="fr-FR"/>
        </w:rPr>
      </w:pPr>
      <w:r w:rsidRPr="00F10460">
        <w:rPr>
          <w:lang w:val="fr-FR"/>
        </w:rPr>
        <w:tab/>
        <w:t>A.</w:t>
      </w:r>
      <w:r w:rsidRPr="00F10460">
        <w:rPr>
          <w:lang w:val="fr-FR"/>
        </w:rPr>
        <w:tab/>
        <w:t>Travaux du Comité des transports intérieurs</w:t>
      </w:r>
      <w:bookmarkStart w:id="21" w:name="_Toc63762786"/>
      <w:bookmarkStart w:id="22" w:name="_Toc64472436"/>
      <w:bookmarkEnd w:id="21"/>
      <w:bookmarkEnd w:id="22"/>
    </w:p>
    <w:p w14:paraId="08B7F35F" w14:textId="77777777" w:rsidR="00C22589" w:rsidRPr="00F10460" w:rsidRDefault="00C22589" w:rsidP="004C0A5C">
      <w:pPr>
        <w:pStyle w:val="SingleTxtG"/>
        <w:rPr>
          <w:rFonts w:eastAsia="SimSun"/>
          <w:lang w:val="fr-FR"/>
        </w:rPr>
      </w:pPr>
      <w:bookmarkStart w:id="23" w:name="_Hlk535760431"/>
      <w:r w:rsidRPr="00F10460">
        <w:rPr>
          <w:lang w:val="fr-FR"/>
        </w:rPr>
        <w:t>10.</w:t>
      </w:r>
      <w:r w:rsidRPr="00F10460">
        <w:rPr>
          <w:lang w:val="fr-FR"/>
        </w:rPr>
        <w:tab/>
        <w:t>Le Comité de sécurité a été informé que la quatre-vingt-troisième session du Comité des transports intérieurs (CTI) se tiendrait à Genève du 23 au 26 février</w:t>
      </w:r>
      <w:r w:rsidR="004C0A5C">
        <w:rPr>
          <w:lang w:val="fr-FR"/>
        </w:rPr>
        <w:t xml:space="preserve"> </w:t>
      </w:r>
      <w:r w:rsidRPr="00F10460">
        <w:rPr>
          <w:lang w:val="fr-FR"/>
        </w:rPr>
        <w:t>2021. Il a été noté qu</w:t>
      </w:r>
      <w:r>
        <w:rPr>
          <w:lang w:val="fr-FR"/>
        </w:rPr>
        <w:t>’</w:t>
      </w:r>
      <w:r w:rsidRPr="00F10460">
        <w:rPr>
          <w:lang w:val="fr-FR"/>
        </w:rPr>
        <w:t>en plus des questions relatives à ses travaux et à ceux de ses organes subsidiaires, le CTI aurait l</w:t>
      </w:r>
      <w:r>
        <w:rPr>
          <w:lang w:val="fr-FR"/>
        </w:rPr>
        <w:t>’</w:t>
      </w:r>
      <w:r w:rsidRPr="00F10460">
        <w:rPr>
          <w:lang w:val="fr-FR"/>
        </w:rPr>
        <w:t>occasion de reprendre l</w:t>
      </w:r>
      <w:r>
        <w:rPr>
          <w:lang w:val="fr-FR"/>
        </w:rPr>
        <w:t>’</w:t>
      </w:r>
      <w:r w:rsidRPr="00F10460">
        <w:rPr>
          <w:lang w:val="fr-FR"/>
        </w:rPr>
        <w:t>examen de la version révisée du mandat (voir le point 8 de l</w:t>
      </w:r>
      <w:r>
        <w:rPr>
          <w:lang w:val="fr-FR"/>
        </w:rPr>
        <w:t>’</w:t>
      </w:r>
      <w:r w:rsidRPr="00F10460">
        <w:rPr>
          <w:lang w:val="fr-FR"/>
        </w:rPr>
        <w:t>ordre du jour au paragraphe 89 ci-après) et d</w:t>
      </w:r>
      <w:r>
        <w:rPr>
          <w:lang w:val="fr-FR"/>
        </w:rPr>
        <w:t>’</w:t>
      </w:r>
      <w:r w:rsidRPr="00F10460">
        <w:rPr>
          <w:lang w:val="fr-FR"/>
        </w:rPr>
        <w:t>examiner la mise en œuvre de sa stratégie jusqu</w:t>
      </w:r>
      <w:r>
        <w:rPr>
          <w:lang w:val="fr-FR"/>
        </w:rPr>
        <w:t>’</w:t>
      </w:r>
      <w:r w:rsidRPr="00F10460">
        <w:rPr>
          <w:lang w:val="fr-FR"/>
        </w:rPr>
        <w:t>en 2030, telle qu</w:t>
      </w:r>
      <w:r>
        <w:rPr>
          <w:lang w:val="fr-FR"/>
        </w:rPr>
        <w:t>’</w:t>
      </w:r>
      <w:r w:rsidRPr="00F10460">
        <w:rPr>
          <w:lang w:val="fr-FR"/>
        </w:rPr>
        <w:t>elle a été présentée dans le document informel INF.19 à la session de novembre</w:t>
      </w:r>
      <w:r w:rsidR="004C0A5C">
        <w:rPr>
          <w:lang w:val="fr-FR"/>
        </w:rPr>
        <w:t xml:space="preserve"> </w:t>
      </w:r>
      <w:r w:rsidRPr="00F10460">
        <w:rPr>
          <w:lang w:val="fr-FR"/>
        </w:rPr>
        <w:t>2020 du Groupe de travail des transports de marchandises dangereuses (WP.15). L</w:t>
      </w:r>
      <w:r>
        <w:rPr>
          <w:lang w:val="fr-FR"/>
        </w:rPr>
        <w:t>’</w:t>
      </w:r>
      <w:r w:rsidRPr="00F10460">
        <w:rPr>
          <w:lang w:val="fr-FR"/>
        </w:rPr>
        <w:t>ordre du jour provisoire annoté (ECE/TRANS/303/Add.1) et les documents de la session du CTI peuvent être consultés sur le site Web du secrétariat de la CEE</w:t>
      </w:r>
      <w:r w:rsidRPr="004C0A5C">
        <w:rPr>
          <w:rStyle w:val="Appelnotedebasdep"/>
        </w:rPr>
        <w:footnoteReference w:id="3"/>
      </w:r>
      <w:r w:rsidRPr="00F10460">
        <w:rPr>
          <w:lang w:val="fr-FR"/>
        </w:rPr>
        <w:t>.</w:t>
      </w:r>
    </w:p>
    <w:p w14:paraId="14002CA6" w14:textId="77777777" w:rsidR="00C22589" w:rsidRPr="00F10460" w:rsidRDefault="00C22589" w:rsidP="004C0A5C">
      <w:pPr>
        <w:pStyle w:val="H1G"/>
        <w:rPr>
          <w:lang w:val="fr-FR"/>
        </w:rPr>
      </w:pPr>
      <w:r w:rsidRPr="00F10460">
        <w:rPr>
          <w:lang w:val="fr-FR"/>
        </w:rPr>
        <w:tab/>
        <w:t>B.</w:t>
      </w:r>
      <w:r w:rsidRPr="00F10460">
        <w:rPr>
          <w:lang w:val="fr-FR"/>
        </w:rPr>
        <w:tab/>
      </w:r>
      <w:r w:rsidRPr="004C0A5C">
        <w:t>Intervention</w:t>
      </w:r>
      <w:r w:rsidRPr="00F10460">
        <w:rPr>
          <w:lang w:val="fr-FR"/>
        </w:rPr>
        <w:t xml:space="preserve"> de la Commission du Danube</w:t>
      </w:r>
      <w:bookmarkStart w:id="24" w:name="_Toc63762787"/>
      <w:bookmarkStart w:id="25" w:name="_Toc64472437"/>
      <w:bookmarkEnd w:id="24"/>
      <w:bookmarkEnd w:id="25"/>
    </w:p>
    <w:p w14:paraId="65BDAB6D" w14:textId="77777777" w:rsidR="00C22589" w:rsidRPr="00F10460" w:rsidRDefault="00C22589" w:rsidP="004C0A5C">
      <w:pPr>
        <w:pStyle w:val="SingleTxtG"/>
        <w:tabs>
          <w:tab w:val="left" w:pos="3136"/>
        </w:tabs>
        <w:ind w:left="3136" w:hanging="2002"/>
        <w:jc w:val="left"/>
        <w:rPr>
          <w:rFonts w:eastAsia="SimSun"/>
          <w:lang w:val="fr-FR"/>
        </w:rPr>
      </w:pPr>
      <w:r w:rsidRPr="00F10460">
        <w:rPr>
          <w:i/>
          <w:iCs/>
          <w:lang w:val="fr-FR"/>
        </w:rPr>
        <w:t>Document informel </w:t>
      </w:r>
      <w:r w:rsidRPr="004C0A5C">
        <w:rPr>
          <w:lang w:val="fr-FR"/>
        </w:rPr>
        <w:t>:</w:t>
      </w:r>
      <w:r w:rsidRPr="00F10460">
        <w:rPr>
          <w:lang w:val="fr-FR"/>
        </w:rPr>
        <w:tab/>
        <w:t>INF.26 (Commission du Danube)</w:t>
      </w:r>
      <w:r>
        <w:rPr>
          <w:lang w:val="fr-FR"/>
        </w:rPr>
        <w:t>.</w:t>
      </w:r>
    </w:p>
    <w:p w14:paraId="38666D9C" w14:textId="77777777" w:rsidR="00C22589" w:rsidRPr="00F10460" w:rsidRDefault="00C22589" w:rsidP="004C0A5C">
      <w:pPr>
        <w:pStyle w:val="SingleTxtG"/>
        <w:rPr>
          <w:rFonts w:eastAsia="SimSun"/>
          <w:lang w:val="fr-FR"/>
        </w:rPr>
      </w:pPr>
      <w:r w:rsidRPr="00F10460">
        <w:rPr>
          <w:lang w:val="fr-FR"/>
        </w:rPr>
        <w:t>11.</w:t>
      </w:r>
      <w:r w:rsidRPr="00F10460">
        <w:rPr>
          <w:lang w:val="fr-FR"/>
        </w:rPr>
        <w:tab/>
        <w:t>Le Comité de sécurité a salué les efforts faits par la Commission du Danube pour faciliter autant que possible la navigation sur le Danube dans le contexte des restrictions découlant des mesures prises pour lutter contre la pandémie de COVID-19, en particulier sa recommandation aux États membres de la Commission de signer les accords multilatéraux sur la prolongation de la validité des certificats d</w:t>
      </w:r>
      <w:r>
        <w:rPr>
          <w:lang w:val="fr-FR"/>
        </w:rPr>
        <w:t>’</w:t>
      </w:r>
      <w:r w:rsidRPr="00F10460">
        <w:rPr>
          <w:lang w:val="fr-FR"/>
        </w:rPr>
        <w:t>agrément et des attestations d</w:t>
      </w:r>
      <w:r>
        <w:rPr>
          <w:lang w:val="fr-FR"/>
        </w:rPr>
        <w:t>’</w:t>
      </w:r>
      <w:r w:rsidRPr="00F10460">
        <w:rPr>
          <w:lang w:val="fr-FR"/>
        </w:rPr>
        <w:t>expert.</w:t>
      </w:r>
    </w:p>
    <w:p w14:paraId="4C87BA8F" w14:textId="77777777" w:rsidR="00C22589" w:rsidRPr="00F10460" w:rsidRDefault="00C22589" w:rsidP="004C0A5C">
      <w:pPr>
        <w:pStyle w:val="SingleTxtG"/>
        <w:rPr>
          <w:rFonts w:eastAsia="SimSun"/>
          <w:lang w:val="fr-FR"/>
        </w:rPr>
      </w:pPr>
      <w:r w:rsidRPr="00F10460">
        <w:rPr>
          <w:lang w:val="fr-FR"/>
        </w:rPr>
        <w:t>12.</w:t>
      </w:r>
      <w:r w:rsidRPr="00F10460">
        <w:rPr>
          <w:lang w:val="fr-FR"/>
        </w:rPr>
        <w:tab/>
        <w:t>Le représentant de l</w:t>
      </w:r>
      <w:r>
        <w:rPr>
          <w:lang w:val="fr-FR"/>
        </w:rPr>
        <w:t>’</w:t>
      </w:r>
      <w:r w:rsidRPr="00F10460">
        <w:rPr>
          <w:lang w:val="fr-FR"/>
        </w:rPr>
        <w:t>Allemagne a souligné la nécessité de proroger les accords multilatéraux en vigueur dans le cadre de l</w:t>
      </w:r>
      <w:r>
        <w:rPr>
          <w:lang w:val="fr-FR"/>
        </w:rPr>
        <w:t>’</w:t>
      </w:r>
      <w:r w:rsidRPr="00F10460">
        <w:rPr>
          <w:lang w:val="fr-FR"/>
        </w:rPr>
        <w:t>ADN (les accords M026 et M027, par exemple), ou d</w:t>
      </w:r>
      <w:r>
        <w:rPr>
          <w:lang w:val="fr-FR"/>
        </w:rPr>
        <w:t>’</w:t>
      </w:r>
      <w:r w:rsidRPr="00F10460">
        <w:rPr>
          <w:lang w:val="fr-FR"/>
        </w:rPr>
        <w:t>en établir de nouveaux, sachant qu</w:t>
      </w:r>
      <w:r>
        <w:rPr>
          <w:lang w:val="fr-FR"/>
        </w:rPr>
        <w:t>’</w:t>
      </w:r>
      <w:r w:rsidRPr="00F10460">
        <w:rPr>
          <w:lang w:val="fr-FR"/>
        </w:rPr>
        <w:t>on ne pouvait pas s</w:t>
      </w:r>
      <w:r>
        <w:rPr>
          <w:lang w:val="fr-FR"/>
        </w:rPr>
        <w:t>’</w:t>
      </w:r>
      <w:r w:rsidRPr="00F10460">
        <w:rPr>
          <w:lang w:val="fr-FR"/>
        </w:rPr>
        <w:t>attendre à court terme à ce que les activités reprennent comme avant. Le Comité de sécurité s</w:t>
      </w:r>
      <w:r>
        <w:rPr>
          <w:lang w:val="fr-FR"/>
        </w:rPr>
        <w:t>’</w:t>
      </w:r>
      <w:r w:rsidRPr="00F10460">
        <w:rPr>
          <w:lang w:val="fr-FR"/>
        </w:rPr>
        <w:t>est rallié à cette position.</w:t>
      </w:r>
    </w:p>
    <w:p w14:paraId="0E0CE555" w14:textId="77777777" w:rsidR="00C22589" w:rsidRPr="00F10460" w:rsidRDefault="00C22589" w:rsidP="004C0A5C">
      <w:pPr>
        <w:pStyle w:val="SingleTxtG"/>
        <w:rPr>
          <w:rFonts w:eastAsia="SimSun"/>
          <w:lang w:val="fr-FR"/>
        </w:rPr>
      </w:pPr>
      <w:r w:rsidRPr="00F10460">
        <w:rPr>
          <w:lang w:val="fr-FR"/>
        </w:rPr>
        <w:t>13.</w:t>
      </w:r>
      <w:r w:rsidRPr="00F10460">
        <w:rPr>
          <w:lang w:val="fr-FR"/>
        </w:rPr>
        <w:tab/>
        <w:t>Le représentant de l</w:t>
      </w:r>
      <w:r>
        <w:rPr>
          <w:lang w:val="fr-FR"/>
        </w:rPr>
        <w:t>’</w:t>
      </w:r>
      <w:r w:rsidRPr="00F10460">
        <w:rPr>
          <w:lang w:val="fr-FR"/>
        </w:rPr>
        <w:t>Union européenne a annoncé qu</w:t>
      </w:r>
      <w:r>
        <w:rPr>
          <w:lang w:val="fr-FR"/>
        </w:rPr>
        <w:t>’</w:t>
      </w:r>
      <w:r w:rsidRPr="00F10460">
        <w:rPr>
          <w:lang w:val="fr-FR"/>
        </w:rPr>
        <w:t>un nouveau règlement (Omnibus II) était en cours d</w:t>
      </w:r>
      <w:r>
        <w:rPr>
          <w:lang w:val="fr-FR"/>
        </w:rPr>
        <w:t>’</w:t>
      </w:r>
      <w:r w:rsidRPr="00F10460">
        <w:rPr>
          <w:lang w:val="fr-FR"/>
        </w:rPr>
        <w:t>élaboration. Il portait sur la prolongation de la validité des permis de conduire, le contrôle technique des véhicules routiers et la validité des certificats pour le transport de marchandises autres que des marchandises dangereuses. Des discussions avaient lieu en vue de déterminer s</w:t>
      </w:r>
      <w:r>
        <w:rPr>
          <w:lang w:val="fr-FR"/>
        </w:rPr>
        <w:t>’</w:t>
      </w:r>
      <w:r w:rsidRPr="00F10460">
        <w:rPr>
          <w:lang w:val="fr-FR"/>
        </w:rPr>
        <w:t>il convenait d</w:t>
      </w:r>
      <w:r>
        <w:rPr>
          <w:lang w:val="fr-FR"/>
        </w:rPr>
        <w:t>’</w:t>
      </w:r>
      <w:r w:rsidRPr="00F10460">
        <w:rPr>
          <w:lang w:val="fr-FR"/>
        </w:rPr>
        <w:t>inclure les marchandises dangereuses dans le champ d</w:t>
      </w:r>
      <w:r>
        <w:rPr>
          <w:lang w:val="fr-FR"/>
        </w:rPr>
        <w:t>’</w:t>
      </w:r>
      <w:r w:rsidRPr="00F10460">
        <w:rPr>
          <w:lang w:val="fr-FR"/>
        </w:rPr>
        <w:t>application d</w:t>
      </w:r>
      <w:r>
        <w:rPr>
          <w:lang w:val="fr-FR"/>
        </w:rPr>
        <w:t>’</w:t>
      </w:r>
      <w:r w:rsidRPr="00F10460">
        <w:rPr>
          <w:lang w:val="fr-FR"/>
        </w:rPr>
        <w:t>Omnibus II, mais il avait été souligné que celles-ci étaient réglementées par l</w:t>
      </w:r>
      <w:r>
        <w:rPr>
          <w:lang w:val="fr-FR"/>
        </w:rPr>
        <w:t>’</w:t>
      </w:r>
      <w:r w:rsidRPr="00F10460">
        <w:rPr>
          <w:lang w:val="fr-FR"/>
        </w:rPr>
        <w:t>ONU sur la base d</w:t>
      </w:r>
      <w:r>
        <w:rPr>
          <w:lang w:val="fr-FR"/>
        </w:rPr>
        <w:t>’</w:t>
      </w:r>
      <w:r w:rsidRPr="00F10460">
        <w:rPr>
          <w:lang w:val="fr-FR"/>
        </w:rPr>
        <w:t>accords multilatéraux et que des pays non membres de l</w:t>
      </w:r>
      <w:r>
        <w:rPr>
          <w:lang w:val="fr-FR"/>
        </w:rPr>
        <w:t>’</w:t>
      </w:r>
      <w:r w:rsidRPr="00F10460">
        <w:rPr>
          <w:lang w:val="fr-FR"/>
        </w:rPr>
        <w:t>Union européenne étaient également concernés.</w:t>
      </w:r>
    </w:p>
    <w:bookmarkEnd w:id="23"/>
    <w:p w14:paraId="1FC69824" w14:textId="77777777" w:rsidR="00C22589" w:rsidRPr="00F10460" w:rsidRDefault="00C22589" w:rsidP="00F3729A">
      <w:pPr>
        <w:pStyle w:val="HChG"/>
        <w:rPr>
          <w:lang w:val="fr-FR"/>
        </w:rPr>
      </w:pPr>
      <w:r w:rsidRPr="00F10460">
        <w:rPr>
          <w:lang w:val="fr-FR"/>
        </w:rPr>
        <w:tab/>
        <w:t>V.</w:t>
      </w:r>
      <w:r w:rsidRPr="00F10460">
        <w:rPr>
          <w:lang w:val="fr-FR"/>
        </w:rPr>
        <w:tab/>
        <w:t>Mise en œuvre de l</w:t>
      </w:r>
      <w:r>
        <w:rPr>
          <w:lang w:val="fr-FR"/>
        </w:rPr>
        <w:t>’</w:t>
      </w:r>
      <w:r w:rsidRPr="00F10460">
        <w:rPr>
          <w:lang w:val="fr-FR"/>
        </w:rPr>
        <w:t>Accord européen relatif au transport international des marchandises dangereuses par voies de navigation intérieures (ADN) (point 4 de l</w:t>
      </w:r>
      <w:r>
        <w:rPr>
          <w:lang w:val="fr-FR"/>
        </w:rPr>
        <w:t>’</w:t>
      </w:r>
      <w:r w:rsidRPr="00F10460">
        <w:rPr>
          <w:lang w:val="fr-FR"/>
        </w:rPr>
        <w:t>ordre du jour)</w:t>
      </w:r>
      <w:bookmarkStart w:id="26" w:name="_Toc63762788"/>
      <w:bookmarkStart w:id="27" w:name="_Toc64472438"/>
      <w:bookmarkEnd w:id="26"/>
      <w:bookmarkEnd w:id="27"/>
    </w:p>
    <w:p w14:paraId="20C761A4" w14:textId="77777777" w:rsidR="00C22589" w:rsidRPr="00F3729A" w:rsidRDefault="00C22589" w:rsidP="00F3729A">
      <w:pPr>
        <w:pStyle w:val="H1G"/>
      </w:pPr>
      <w:r w:rsidRPr="00F10460">
        <w:rPr>
          <w:lang w:val="fr-FR"/>
        </w:rPr>
        <w:tab/>
        <w:t>A.</w:t>
      </w:r>
      <w:r w:rsidRPr="00F10460">
        <w:rPr>
          <w:lang w:val="fr-FR"/>
        </w:rPr>
        <w:tab/>
        <w:t>État de l</w:t>
      </w:r>
      <w:r>
        <w:rPr>
          <w:lang w:val="fr-FR"/>
        </w:rPr>
        <w:t>’</w:t>
      </w:r>
      <w:r w:rsidRPr="00F10460">
        <w:rPr>
          <w:lang w:val="fr-FR"/>
        </w:rPr>
        <w:t>ADN</w:t>
      </w:r>
      <w:bookmarkStart w:id="28" w:name="_Toc63762789"/>
      <w:bookmarkStart w:id="29" w:name="_Toc64472439"/>
      <w:bookmarkEnd w:id="28"/>
      <w:bookmarkEnd w:id="29"/>
    </w:p>
    <w:p w14:paraId="1BF98BC6" w14:textId="77777777" w:rsidR="00C22589" w:rsidRPr="00F10460" w:rsidRDefault="00C22589" w:rsidP="004C0A5C">
      <w:pPr>
        <w:pStyle w:val="SingleTxtG"/>
        <w:rPr>
          <w:rFonts w:eastAsia="SimSun"/>
          <w:lang w:val="fr-FR"/>
        </w:rPr>
      </w:pPr>
      <w:r w:rsidRPr="004D23E0">
        <w:rPr>
          <w:lang w:val="fr-FR"/>
        </w:rPr>
        <w:t>14</w:t>
      </w:r>
      <w:r w:rsidRPr="00F10460">
        <w:rPr>
          <w:lang w:val="fr-FR"/>
        </w:rPr>
        <w:t>.</w:t>
      </w:r>
      <w:r w:rsidRPr="00F10460">
        <w:rPr>
          <w:lang w:val="fr-FR"/>
        </w:rPr>
        <w:tab/>
        <w:t xml:space="preserve">Le Comité de sécurité a pris note du fait que le nombre de </w:t>
      </w:r>
      <w:r>
        <w:rPr>
          <w:lang w:val="fr-FR"/>
        </w:rPr>
        <w:t>P</w:t>
      </w:r>
      <w:r w:rsidRPr="00F10460">
        <w:rPr>
          <w:lang w:val="fr-FR"/>
        </w:rPr>
        <w:t>arties contractantes demeurait inchangé.</w:t>
      </w:r>
    </w:p>
    <w:p w14:paraId="4F73F170" w14:textId="77777777" w:rsidR="00C22589" w:rsidRPr="00F10460" w:rsidRDefault="00C22589" w:rsidP="00C22589">
      <w:pPr>
        <w:pStyle w:val="SingleTxtG"/>
        <w:rPr>
          <w:lang w:val="fr-FR"/>
        </w:rPr>
      </w:pPr>
      <w:r w:rsidRPr="00F10460">
        <w:rPr>
          <w:lang w:val="fr-FR"/>
        </w:rPr>
        <w:lastRenderedPageBreak/>
        <w:t>15.</w:t>
      </w:r>
      <w:r w:rsidRPr="00F10460">
        <w:rPr>
          <w:lang w:val="fr-FR"/>
        </w:rPr>
        <w:tab/>
        <w:t>Les propositions d</w:t>
      </w:r>
      <w:r>
        <w:rPr>
          <w:lang w:val="fr-FR"/>
        </w:rPr>
        <w:t>’</w:t>
      </w:r>
      <w:r w:rsidRPr="00F10460">
        <w:rPr>
          <w:lang w:val="fr-FR"/>
        </w:rPr>
        <w:t>amendements contenues dans le document ECE/ADN/54 ont été communiquées aux Parties contractantes le 1</w:t>
      </w:r>
      <w:r w:rsidRPr="00F10460">
        <w:rPr>
          <w:vertAlign w:val="superscript"/>
          <w:lang w:val="fr-FR"/>
        </w:rPr>
        <w:t>er</w:t>
      </w:r>
      <w:r w:rsidRPr="00F10460">
        <w:rPr>
          <w:lang w:val="fr-FR"/>
        </w:rPr>
        <w:t> juillet</w:t>
      </w:r>
      <w:r w:rsidR="00F3729A">
        <w:rPr>
          <w:lang w:val="fr-FR"/>
        </w:rPr>
        <w:t xml:space="preserve"> </w:t>
      </w:r>
      <w:r w:rsidRPr="00F10460">
        <w:rPr>
          <w:lang w:val="fr-FR"/>
        </w:rPr>
        <w:t>2020 pour acceptation (notification dépositaire C.N.273.2020.TREATIES-XI-D-6) et ont été réputées acceptées le 1</w:t>
      </w:r>
      <w:r w:rsidRPr="00F10460">
        <w:rPr>
          <w:vertAlign w:val="superscript"/>
          <w:lang w:val="fr-FR"/>
        </w:rPr>
        <w:t>er</w:t>
      </w:r>
      <w:r w:rsidRPr="00F10460">
        <w:rPr>
          <w:lang w:val="fr-FR"/>
        </w:rPr>
        <w:t> octobre</w:t>
      </w:r>
      <w:r w:rsidR="00F3729A">
        <w:rPr>
          <w:lang w:val="fr-FR"/>
        </w:rPr>
        <w:t xml:space="preserve"> </w:t>
      </w:r>
      <w:r w:rsidRPr="00F10460">
        <w:rPr>
          <w:lang w:val="fr-FR"/>
        </w:rPr>
        <w:t>2020 pour entrée en vigueur le 1</w:t>
      </w:r>
      <w:r w:rsidRPr="00F10460">
        <w:rPr>
          <w:vertAlign w:val="superscript"/>
          <w:lang w:val="fr-FR"/>
        </w:rPr>
        <w:t>er</w:t>
      </w:r>
      <w:r w:rsidRPr="00F10460">
        <w:rPr>
          <w:lang w:val="fr-FR"/>
        </w:rPr>
        <w:t> janvier</w:t>
      </w:r>
      <w:r w:rsidR="00F3729A">
        <w:rPr>
          <w:lang w:val="fr-FR"/>
        </w:rPr>
        <w:t xml:space="preserve"> </w:t>
      </w:r>
      <w:r w:rsidRPr="00F10460">
        <w:rPr>
          <w:lang w:val="fr-FR"/>
        </w:rPr>
        <w:t>2021 (notification dépositaire C.N.461.2020.TREATIES-XI-D-6).</w:t>
      </w:r>
    </w:p>
    <w:p w14:paraId="2E022C9B" w14:textId="77777777" w:rsidR="00C22589" w:rsidRPr="00F10460" w:rsidRDefault="00C22589" w:rsidP="00C22589">
      <w:pPr>
        <w:pStyle w:val="SingleTxtG"/>
        <w:rPr>
          <w:lang w:val="fr-FR"/>
        </w:rPr>
      </w:pPr>
      <w:r w:rsidRPr="00F10460">
        <w:rPr>
          <w:lang w:val="fr-FR"/>
        </w:rPr>
        <w:t>16.</w:t>
      </w:r>
      <w:r w:rsidRPr="00F10460">
        <w:rPr>
          <w:lang w:val="fr-FR"/>
        </w:rPr>
        <w:tab/>
        <w:t>Les propositions d</w:t>
      </w:r>
      <w:r>
        <w:rPr>
          <w:lang w:val="fr-FR"/>
        </w:rPr>
        <w:t>’</w:t>
      </w:r>
      <w:r w:rsidRPr="00F10460">
        <w:rPr>
          <w:lang w:val="fr-FR"/>
        </w:rPr>
        <w:t>amendements contenues dans le document ECE/ADN/54/Add.1 ont été communiquées aux Parties contractantes le 1</w:t>
      </w:r>
      <w:r w:rsidRPr="00F10460">
        <w:rPr>
          <w:vertAlign w:val="superscript"/>
          <w:lang w:val="fr-FR"/>
        </w:rPr>
        <w:t>er</w:t>
      </w:r>
      <w:r w:rsidRPr="00F10460">
        <w:rPr>
          <w:lang w:val="fr-FR"/>
        </w:rPr>
        <w:t> septembre</w:t>
      </w:r>
      <w:r w:rsidR="00F3729A">
        <w:rPr>
          <w:lang w:val="fr-FR"/>
        </w:rPr>
        <w:t xml:space="preserve"> </w:t>
      </w:r>
      <w:r w:rsidRPr="00F10460">
        <w:rPr>
          <w:lang w:val="fr-FR"/>
        </w:rPr>
        <w:t>2020 pour acceptation (notification dépositaire C.N.367.2020.TREATIES-XI-D-6) et ont été réputées acceptées le 1</w:t>
      </w:r>
      <w:r w:rsidRPr="00F10460">
        <w:rPr>
          <w:vertAlign w:val="superscript"/>
          <w:lang w:val="fr-FR"/>
        </w:rPr>
        <w:t>er</w:t>
      </w:r>
      <w:r w:rsidRPr="00F10460">
        <w:rPr>
          <w:lang w:val="fr-FR"/>
        </w:rPr>
        <w:t> décembre</w:t>
      </w:r>
      <w:r w:rsidR="00F3729A">
        <w:rPr>
          <w:lang w:val="fr-FR"/>
        </w:rPr>
        <w:t xml:space="preserve"> </w:t>
      </w:r>
      <w:r w:rsidRPr="00F10460">
        <w:rPr>
          <w:lang w:val="fr-FR"/>
        </w:rPr>
        <w:t>2020 pour entrée en vigueur le 1</w:t>
      </w:r>
      <w:r w:rsidRPr="00F10460">
        <w:rPr>
          <w:vertAlign w:val="superscript"/>
          <w:lang w:val="fr-FR"/>
        </w:rPr>
        <w:t>er</w:t>
      </w:r>
      <w:r w:rsidRPr="00F10460">
        <w:rPr>
          <w:lang w:val="fr-FR"/>
        </w:rPr>
        <w:t> janvier</w:t>
      </w:r>
      <w:r w:rsidR="00F3729A">
        <w:rPr>
          <w:lang w:val="fr-FR"/>
        </w:rPr>
        <w:t xml:space="preserve"> </w:t>
      </w:r>
      <w:r w:rsidRPr="00F10460">
        <w:rPr>
          <w:lang w:val="fr-FR"/>
        </w:rPr>
        <w:t>2021.</w:t>
      </w:r>
    </w:p>
    <w:p w14:paraId="247604C3" w14:textId="77777777" w:rsidR="00C22589" w:rsidRPr="00F10460" w:rsidRDefault="00C22589" w:rsidP="00C22589">
      <w:pPr>
        <w:pStyle w:val="SingleTxtG"/>
        <w:rPr>
          <w:lang w:val="fr-FR"/>
        </w:rPr>
      </w:pPr>
      <w:r w:rsidRPr="00F10460">
        <w:rPr>
          <w:lang w:val="fr-FR"/>
        </w:rPr>
        <w:t>17.</w:t>
      </w:r>
      <w:r w:rsidRPr="00F10460">
        <w:rPr>
          <w:lang w:val="fr-FR"/>
        </w:rPr>
        <w:tab/>
        <w:t>La proposition de correction contenue dans le document ECE/TRANS/WP.15/AC.2/25 a été communiquée aux Parties contractantes le 16 juillet</w:t>
      </w:r>
      <w:r w:rsidR="00F3729A">
        <w:rPr>
          <w:lang w:val="fr-FR"/>
        </w:rPr>
        <w:t xml:space="preserve"> </w:t>
      </w:r>
      <w:r w:rsidRPr="00F10460">
        <w:rPr>
          <w:lang w:val="fr-FR"/>
        </w:rPr>
        <w:t>2020 pour acceptation (C.N.309.2020.TREATIES-XI-D-6). La correction a été réputée acceptée le 14 octobre</w:t>
      </w:r>
      <w:r w:rsidR="00F3729A">
        <w:rPr>
          <w:lang w:val="fr-FR"/>
        </w:rPr>
        <w:t xml:space="preserve"> </w:t>
      </w:r>
      <w:r w:rsidRPr="00F10460">
        <w:rPr>
          <w:lang w:val="fr-FR"/>
        </w:rPr>
        <w:t>2020 (C.N.504.2020.TREATIES-XI-D-6).</w:t>
      </w:r>
    </w:p>
    <w:p w14:paraId="5EA16722" w14:textId="77777777" w:rsidR="00C22589" w:rsidRPr="00F10460" w:rsidRDefault="00C22589" w:rsidP="00C22589">
      <w:pPr>
        <w:pStyle w:val="SingleTxtG"/>
        <w:rPr>
          <w:rFonts w:eastAsia="SimSun"/>
          <w:lang w:val="fr-FR"/>
        </w:rPr>
      </w:pPr>
      <w:r w:rsidRPr="00F10460">
        <w:rPr>
          <w:lang w:val="fr-FR"/>
        </w:rPr>
        <w:t>18.</w:t>
      </w:r>
      <w:r w:rsidRPr="00F10460">
        <w:rPr>
          <w:lang w:val="fr-FR"/>
        </w:rPr>
        <w:tab/>
        <w:t>Les propositions de corrections contenues dans le document ECE/ADN/54/Corr.1 ont été communiquées aux Parties contractantes le 1</w:t>
      </w:r>
      <w:r w:rsidRPr="00F10460">
        <w:rPr>
          <w:vertAlign w:val="superscript"/>
          <w:lang w:val="fr-FR"/>
        </w:rPr>
        <w:t>er</w:t>
      </w:r>
      <w:r w:rsidRPr="00F10460">
        <w:rPr>
          <w:lang w:val="fr-FR"/>
        </w:rPr>
        <w:t> octobre</w:t>
      </w:r>
      <w:r w:rsidR="00F3729A">
        <w:rPr>
          <w:lang w:val="fr-FR"/>
        </w:rPr>
        <w:t xml:space="preserve"> </w:t>
      </w:r>
      <w:r w:rsidRPr="00F10460">
        <w:rPr>
          <w:lang w:val="fr-FR"/>
        </w:rPr>
        <w:t>2020 pour acceptation (C.N.420.2020.TREATIES-XI-D-6). Aucune objection n</w:t>
      </w:r>
      <w:r>
        <w:rPr>
          <w:lang w:val="fr-FR"/>
        </w:rPr>
        <w:t>’</w:t>
      </w:r>
      <w:r w:rsidRPr="00F10460">
        <w:rPr>
          <w:lang w:val="fr-FR"/>
        </w:rPr>
        <w:t>ayant été soumise au 30 décembre</w:t>
      </w:r>
      <w:r w:rsidR="00F3729A">
        <w:rPr>
          <w:lang w:val="fr-FR"/>
        </w:rPr>
        <w:t xml:space="preserve"> </w:t>
      </w:r>
      <w:r w:rsidRPr="00F10460">
        <w:rPr>
          <w:lang w:val="fr-FR"/>
        </w:rPr>
        <w:t>2020, les corrections ont été réputées acceptées le 1</w:t>
      </w:r>
      <w:r w:rsidRPr="00F10460">
        <w:rPr>
          <w:vertAlign w:val="superscript"/>
          <w:lang w:val="fr-FR"/>
        </w:rPr>
        <w:t>er</w:t>
      </w:r>
      <w:r w:rsidRPr="00F10460">
        <w:rPr>
          <w:lang w:val="fr-FR"/>
        </w:rPr>
        <w:t> janvier</w:t>
      </w:r>
      <w:r w:rsidR="00F3729A">
        <w:rPr>
          <w:lang w:val="fr-FR"/>
        </w:rPr>
        <w:t xml:space="preserve"> </w:t>
      </w:r>
      <w:r w:rsidRPr="00F10460">
        <w:rPr>
          <w:lang w:val="fr-FR"/>
        </w:rPr>
        <w:t>2021.</w:t>
      </w:r>
    </w:p>
    <w:p w14:paraId="70FE6954" w14:textId="77777777" w:rsidR="00C22589" w:rsidRPr="00F10460" w:rsidRDefault="00C22589" w:rsidP="00F3729A">
      <w:pPr>
        <w:pStyle w:val="H1G"/>
        <w:rPr>
          <w:lang w:val="fr-FR"/>
        </w:rPr>
      </w:pPr>
      <w:r w:rsidRPr="00F10460">
        <w:rPr>
          <w:lang w:val="fr-FR"/>
        </w:rPr>
        <w:tab/>
        <w:t>B.</w:t>
      </w:r>
      <w:r w:rsidRPr="00F10460">
        <w:rPr>
          <w:lang w:val="fr-FR"/>
        </w:rPr>
        <w:tab/>
      </w:r>
      <w:r w:rsidRPr="00F3729A">
        <w:t>Autorisations</w:t>
      </w:r>
      <w:r w:rsidRPr="00F10460">
        <w:rPr>
          <w:lang w:val="fr-FR"/>
        </w:rPr>
        <w:t xml:space="preserve"> spéciales, dérogations et équivalences</w:t>
      </w:r>
      <w:bookmarkStart w:id="30" w:name="_Toc63762790"/>
      <w:bookmarkStart w:id="31" w:name="_Toc64472440"/>
      <w:bookmarkEnd w:id="30"/>
      <w:bookmarkEnd w:id="31"/>
    </w:p>
    <w:p w14:paraId="6B1B9D85" w14:textId="77777777" w:rsidR="00C22589" w:rsidRPr="00F10460" w:rsidRDefault="00C22589" w:rsidP="00F3729A">
      <w:pPr>
        <w:pStyle w:val="H23G"/>
        <w:rPr>
          <w:lang w:val="fr-FR"/>
        </w:rPr>
      </w:pPr>
      <w:r w:rsidRPr="00F10460">
        <w:rPr>
          <w:lang w:val="fr-FR"/>
        </w:rPr>
        <w:tab/>
      </w:r>
      <w:r w:rsidRPr="00F10460">
        <w:rPr>
          <w:lang w:val="fr-FR"/>
        </w:rPr>
        <w:tab/>
      </w:r>
      <w:r w:rsidRPr="00F3729A">
        <w:t>Annonce</w:t>
      </w:r>
      <w:r w:rsidRPr="00F10460">
        <w:rPr>
          <w:lang w:val="fr-FR"/>
        </w:rPr>
        <w:t xml:space="preserve"> d</w:t>
      </w:r>
      <w:r>
        <w:rPr>
          <w:lang w:val="fr-FR"/>
        </w:rPr>
        <w:t>’</w:t>
      </w:r>
      <w:r w:rsidRPr="00F10460">
        <w:rPr>
          <w:lang w:val="fr-FR"/>
        </w:rPr>
        <w:t>une demande de dérogation pour la construction d</w:t>
      </w:r>
      <w:r>
        <w:rPr>
          <w:lang w:val="fr-FR"/>
        </w:rPr>
        <w:t>’</w:t>
      </w:r>
      <w:r w:rsidRPr="00F10460">
        <w:rPr>
          <w:lang w:val="fr-FR"/>
        </w:rPr>
        <w:t xml:space="preserve">un bateau </w:t>
      </w:r>
      <w:r w:rsidR="00F3729A">
        <w:rPr>
          <w:lang w:val="fr-FR"/>
        </w:rPr>
        <w:br/>
      </w:r>
      <w:r w:rsidRPr="00F10460">
        <w:rPr>
          <w:lang w:val="fr-FR"/>
        </w:rPr>
        <w:t>avitailleur en GNL avec des citernes de plus de 1 000 m³</w:t>
      </w:r>
      <w:bookmarkStart w:id="32" w:name="_Toc63762791"/>
      <w:bookmarkStart w:id="33" w:name="_Toc64472441"/>
      <w:bookmarkEnd w:id="32"/>
      <w:bookmarkEnd w:id="33"/>
    </w:p>
    <w:p w14:paraId="1D76E7A3" w14:textId="77777777" w:rsidR="00C22589" w:rsidRPr="00F10460" w:rsidRDefault="00C22589" w:rsidP="00F3729A">
      <w:pPr>
        <w:pStyle w:val="SingleTxtG"/>
        <w:tabs>
          <w:tab w:val="left" w:pos="3136"/>
        </w:tabs>
        <w:ind w:left="3136" w:hanging="2002"/>
        <w:jc w:val="left"/>
        <w:rPr>
          <w:rFonts w:eastAsia="SimSun"/>
          <w:lang w:val="fr-FR"/>
        </w:rPr>
      </w:pPr>
      <w:r w:rsidRPr="00F10460">
        <w:rPr>
          <w:i/>
          <w:iCs/>
          <w:lang w:val="fr-FR"/>
        </w:rPr>
        <w:t>Documents informels </w:t>
      </w:r>
      <w:r w:rsidRPr="00F3729A">
        <w:rPr>
          <w:lang w:val="fr-FR"/>
        </w:rPr>
        <w:t>:</w:t>
      </w:r>
      <w:r w:rsidRPr="00F10460">
        <w:rPr>
          <w:lang w:val="fr-FR"/>
        </w:rPr>
        <w:tab/>
        <w:t>INF.17 et Add.1 (Belgique)</w:t>
      </w:r>
      <w:r>
        <w:rPr>
          <w:lang w:val="fr-FR"/>
        </w:rPr>
        <w:t>.</w:t>
      </w:r>
    </w:p>
    <w:p w14:paraId="75A1167A" w14:textId="77777777" w:rsidR="00C22589" w:rsidRPr="00F10460" w:rsidRDefault="00C22589" w:rsidP="004C0A5C">
      <w:pPr>
        <w:pStyle w:val="SingleTxtG"/>
        <w:rPr>
          <w:rFonts w:eastAsia="SimSun"/>
          <w:lang w:val="fr-FR"/>
        </w:rPr>
      </w:pPr>
      <w:r w:rsidRPr="00F10460">
        <w:rPr>
          <w:lang w:val="fr-FR"/>
        </w:rPr>
        <w:t>19.</w:t>
      </w:r>
      <w:r w:rsidRPr="00F10460">
        <w:rPr>
          <w:lang w:val="fr-FR"/>
        </w:rPr>
        <w:tab/>
        <w:t>Le représentant de la Belgique a fait part de l</w:t>
      </w:r>
      <w:r>
        <w:rPr>
          <w:lang w:val="fr-FR"/>
        </w:rPr>
        <w:t>’</w:t>
      </w:r>
      <w:r w:rsidRPr="00F10460">
        <w:rPr>
          <w:lang w:val="fr-FR"/>
        </w:rPr>
        <w:t>intention de sa délégation de soumettre une demande de dérogation pour la construction d</w:t>
      </w:r>
      <w:r>
        <w:rPr>
          <w:lang w:val="fr-FR"/>
        </w:rPr>
        <w:t>’</w:t>
      </w:r>
      <w:r w:rsidRPr="00F10460">
        <w:rPr>
          <w:lang w:val="fr-FR"/>
        </w:rPr>
        <w:t xml:space="preserve">un bateau avitailleur en GNL équipé de citernes à cargaison de plus grande taille. </w:t>
      </w:r>
      <w:r>
        <w:rPr>
          <w:lang w:val="fr-FR"/>
        </w:rPr>
        <w:t xml:space="preserve">Certaines </w:t>
      </w:r>
      <w:r w:rsidRPr="00F10460">
        <w:rPr>
          <w:lang w:val="fr-FR"/>
        </w:rPr>
        <w:t>délégations ont suggéré de construire le bateau conformément aux exigences pour la navigation maritime</w:t>
      </w:r>
      <w:r>
        <w:rPr>
          <w:lang w:val="fr-FR"/>
        </w:rPr>
        <w:t>,</w:t>
      </w:r>
      <w:r w:rsidRPr="00F10460">
        <w:rPr>
          <w:lang w:val="fr-FR"/>
        </w:rPr>
        <w:t xml:space="preserve"> ou de demander une dérogation pour cause d</w:t>
      </w:r>
      <w:r>
        <w:rPr>
          <w:lang w:val="fr-FR"/>
        </w:rPr>
        <w:t>’</w:t>
      </w:r>
      <w:r w:rsidRPr="00F10460">
        <w:rPr>
          <w:lang w:val="fr-FR"/>
        </w:rPr>
        <w:t>innovation technique, conformément au 1.5.3.2. Il a également été recommandé de procéder à une évaluation des risques, les enjeux en matière de sécurité étant plus importants en navigation intérieure en raison du passage des bateaux dans des zones densément peuplées. Bien que les bateaux transportant des citernes à cargaison de plus grande taille réduisent la probabilité d</w:t>
      </w:r>
      <w:r>
        <w:rPr>
          <w:lang w:val="fr-FR"/>
        </w:rPr>
        <w:t>’</w:t>
      </w:r>
      <w:r w:rsidRPr="00F10460">
        <w:rPr>
          <w:lang w:val="fr-FR"/>
        </w:rPr>
        <w:t>un accident du fait qu</w:t>
      </w:r>
      <w:r>
        <w:rPr>
          <w:lang w:val="fr-FR"/>
        </w:rPr>
        <w:t>’</w:t>
      </w:r>
      <w:r w:rsidRPr="00F10460">
        <w:rPr>
          <w:lang w:val="fr-FR"/>
        </w:rPr>
        <w:t>il y a moins de navires en circulation au même moment, les conséquences sur les bateaux, les installations, la population et l</w:t>
      </w:r>
      <w:r>
        <w:rPr>
          <w:lang w:val="fr-FR"/>
        </w:rPr>
        <w:t>’</w:t>
      </w:r>
      <w:r w:rsidRPr="00F10460">
        <w:rPr>
          <w:lang w:val="fr-FR"/>
        </w:rPr>
        <w:t>environnement à proximité d</w:t>
      </w:r>
      <w:r>
        <w:rPr>
          <w:lang w:val="fr-FR"/>
        </w:rPr>
        <w:t>’</w:t>
      </w:r>
      <w:r w:rsidRPr="00F10460">
        <w:rPr>
          <w:lang w:val="fr-FR"/>
        </w:rPr>
        <w:t>un accident seraient considérables.</w:t>
      </w:r>
    </w:p>
    <w:p w14:paraId="3FE8445A" w14:textId="77777777" w:rsidR="00C22589" w:rsidRPr="00F10460" w:rsidRDefault="00C22589" w:rsidP="004C0A5C">
      <w:pPr>
        <w:pStyle w:val="SingleTxtG"/>
        <w:rPr>
          <w:rFonts w:eastAsia="SimSun"/>
          <w:lang w:val="fr-FR"/>
        </w:rPr>
      </w:pPr>
      <w:r w:rsidRPr="00F10460">
        <w:rPr>
          <w:lang w:val="fr-FR"/>
        </w:rPr>
        <w:t>20.</w:t>
      </w:r>
      <w:r w:rsidRPr="00F10460">
        <w:rPr>
          <w:lang w:val="fr-FR"/>
        </w:rPr>
        <w:tab/>
        <w:t>Concernant la demande de création d</w:t>
      </w:r>
      <w:r>
        <w:rPr>
          <w:lang w:val="fr-FR"/>
        </w:rPr>
        <w:t>’</w:t>
      </w:r>
      <w:r w:rsidRPr="00F10460">
        <w:rPr>
          <w:lang w:val="fr-FR"/>
        </w:rPr>
        <w:t>un groupe de travail informel, le Comité de sécurité a estimé que cela était prématuré. Il a suggéré de demander aux sociétés de classification ADN recommandées d</w:t>
      </w:r>
      <w:r>
        <w:rPr>
          <w:lang w:val="fr-FR"/>
        </w:rPr>
        <w:t>’</w:t>
      </w:r>
      <w:r w:rsidRPr="00F10460">
        <w:rPr>
          <w:lang w:val="fr-FR"/>
        </w:rPr>
        <w:t>étudier les aspects techniques de ces bateaux équipés de citernes de plus grande taille en tenant compte également des exigences de l</w:t>
      </w:r>
      <w:r>
        <w:rPr>
          <w:lang w:val="fr-FR"/>
        </w:rPr>
        <w:t>’</w:t>
      </w:r>
      <w:r w:rsidRPr="00F10460">
        <w:rPr>
          <w:lang w:val="fr-FR"/>
        </w:rPr>
        <w:t>ES-TRIN</w:t>
      </w:r>
      <w:r w:rsidRPr="00F3729A">
        <w:rPr>
          <w:rStyle w:val="Appelnotedebasdep"/>
        </w:rPr>
        <w:footnoteReference w:id="4"/>
      </w:r>
      <w:r w:rsidRPr="00F10460">
        <w:rPr>
          <w:lang w:val="fr-FR"/>
        </w:rPr>
        <w:t xml:space="preserve"> et du CESNI</w:t>
      </w:r>
      <w:r w:rsidRPr="00F3729A">
        <w:rPr>
          <w:rStyle w:val="Appelnotedebasdep"/>
        </w:rPr>
        <w:footnoteReference w:id="5"/>
      </w:r>
      <w:r w:rsidRPr="00F10460">
        <w:rPr>
          <w:lang w:val="fr-FR"/>
        </w:rPr>
        <w:t>.</w:t>
      </w:r>
    </w:p>
    <w:p w14:paraId="4C92F840" w14:textId="77777777" w:rsidR="00C22589" w:rsidRPr="00F10460" w:rsidRDefault="00C22589" w:rsidP="00F3729A">
      <w:pPr>
        <w:pStyle w:val="H1G"/>
        <w:rPr>
          <w:lang w:val="fr-FR"/>
        </w:rPr>
      </w:pPr>
      <w:r w:rsidRPr="00F10460">
        <w:rPr>
          <w:lang w:val="fr-FR"/>
        </w:rPr>
        <w:tab/>
        <w:t>C.</w:t>
      </w:r>
      <w:r w:rsidRPr="00F10460">
        <w:rPr>
          <w:lang w:val="fr-FR"/>
        </w:rPr>
        <w:tab/>
        <w:t>Interprétation du Règlement annexé à l</w:t>
      </w:r>
      <w:r>
        <w:rPr>
          <w:lang w:val="fr-FR"/>
        </w:rPr>
        <w:t>’</w:t>
      </w:r>
      <w:r w:rsidRPr="00F10460">
        <w:rPr>
          <w:lang w:val="fr-FR"/>
        </w:rPr>
        <w:t>ADN</w:t>
      </w:r>
      <w:bookmarkStart w:id="34" w:name="_Toc63762792"/>
      <w:bookmarkStart w:id="35" w:name="_Toc64472442"/>
      <w:bookmarkEnd w:id="34"/>
      <w:bookmarkEnd w:id="35"/>
    </w:p>
    <w:p w14:paraId="3D4A9AFF" w14:textId="77777777" w:rsidR="00C22589" w:rsidRPr="00F10460" w:rsidRDefault="00C22589" w:rsidP="00F3729A">
      <w:pPr>
        <w:pStyle w:val="H23G"/>
        <w:rPr>
          <w:lang w:val="fr-FR"/>
        </w:rPr>
      </w:pPr>
      <w:r w:rsidRPr="00F10460">
        <w:rPr>
          <w:lang w:val="fr-FR"/>
        </w:rPr>
        <w:tab/>
        <w:t>1.</w:t>
      </w:r>
      <w:r w:rsidRPr="00F10460">
        <w:rPr>
          <w:lang w:val="fr-FR"/>
        </w:rPr>
        <w:tab/>
        <w:t>1.6.7.2.2.1 en comparaison avec le 1.6.7.2.2.2 et le 9.3.3.8.1 de l</w:t>
      </w:r>
      <w:r>
        <w:rPr>
          <w:lang w:val="fr-FR"/>
        </w:rPr>
        <w:t>’</w:t>
      </w:r>
      <w:r w:rsidRPr="00F10460">
        <w:rPr>
          <w:lang w:val="fr-FR"/>
        </w:rPr>
        <w:t>ADN</w:t>
      </w:r>
      <w:r w:rsidR="00F3729A">
        <w:rPr>
          <w:lang w:val="fr-FR"/>
        </w:rPr>
        <w:br/>
        <w:t>− </w:t>
      </w:r>
      <w:r w:rsidRPr="00F10460">
        <w:rPr>
          <w:lang w:val="fr-FR"/>
        </w:rPr>
        <w:t>Maintien de la classe</w:t>
      </w:r>
      <w:bookmarkStart w:id="36" w:name="_Toc63762793"/>
      <w:bookmarkStart w:id="37" w:name="_Toc64472443"/>
      <w:bookmarkEnd w:id="36"/>
      <w:bookmarkEnd w:id="37"/>
    </w:p>
    <w:p w14:paraId="72290A1E" w14:textId="77777777" w:rsidR="00C22589" w:rsidRPr="00F10460" w:rsidRDefault="00C22589" w:rsidP="00F3729A">
      <w:pPr>
        <w:pStyle w:val="SingleTxtG"/>
        <w:tabs>
          <w:tab w:val="left" w:pos="3136"/>
        </w:tabs>
        <w:ind w:left="3136" w:hanging="2002"/>
        <w:jc w:val="left"/>
        <w:rPr>
          <w:lang w:val="fr-FR"/>
        </w:rPr>
      </w:pPr>
      <w:r w:rsidRPr="00F10460">
        <w:rPr>
          <w:i/>
          <w:iCs/>
          <w:lang w:val="fr-FR"/>
        </w:rPr>
        <w:t>Document </w:t>
      </w:r>
      <w:r w:rsidRPr="00F3729A">
        <w:rPr>
          <w:lang w:val="fr-FR"/>
        </w:rPr>
        <w:t>:</w:t>
      </w:r>
      <w:r w:rsidRPr="00F10460">
        <w:rPr>
          <w:lang w:val="fr-FR"/>
        </w:rPr>
        <w:tab/>
        <w:t>ECE/TRANS/WP.15/AC.2/2020/9 (Allemagne)</w:t>
      </w:r>
      <w:r>
        <w:rPr>
          <w:lang w:val="fr-FR"/>
        </w:rPr>
        <w:t>.</w:t>
      </w:r>
    </w:p>
    <w:p w14:paraId="2B7606CD" w14:textId="77777777" w:rsidR="00C22589" w:rsidRPr="00F10460" w:rsidRDefault="00C22589" w:rsidP="004C0A5C">
      <w:pPr>
        <w:pStyle w:val="SingleTxtG"/>
        <w:rPr>
          <w:rFonts w:eastAsia="SimSun"/>
          <w:lang w:val="fr-FR"/>
        </w:rPr>
      </w:pPr>
      <w:r w:rsidRPr="00F10460">
        <w:rPr>
          <w:lang w:val="fr-FR"/>
        </w:rPr>
        <w:t>21.</w:t>
      </w:r>
      <w:r w:rsidRPr="00F10460">
        <w:rPr>
          <w:lang w:val="fr-FR"/>
        </w:rPr>
        <w:tab/>
        <w:t>Le représentant de l</w:t>
      </w:r>
      <w:r>
        <w:rPr>
          <w:lang w:val="fr-FR"/>
        </w:rPr>
        <w:t>’</w:t>
      </w:r>
      <w:r w:rsidRPr="00F10460">
        <w:rPr>
          <w:lang w:val="fr-FR"/>
        </w:rPr>
        <w:t>Allemagne a suggéré de reporter l</w:t>
      </w:r>
      <w:r>
        <w:rPr>
          <w:lang w:val="fr-FR"/>
        </w:rPr>
        <w:t>’</w:t>
      </w:r>
      <w:r w:rsidRPr="00F10460">
        <w:rPr>
          <w:lang w:val="fr-FR"/>
        </w:rPr>
        <w:t>examen du document à la prochaine session du Comité de sécurité.</w:t>
      </w:r>
    </w:p>
    <w:p w14:paraId="69EFC182" w14:textId="77777777" w:rsidR="00C22589" w:rsidRPr="00F10460" w:rsidRDefault="00C22589" w:rsidP="00C22589">
      <w:pPr>
        <w:pStyle w:val="H23G"/>
        <w:rPr>
          <w:lang w:val="fr-FR"/>
        </w:rPr>
      </w:pPr>
      <w:r w:rsidRPr="00F10460">
        <w:rPr>
          <w:lang w:val="fr-FR"/>
        </w:rPr>
        <w:lastRenderedPageBreak/>
        <w:tab/>
        <w:t>2.</w:t>
      </w:r>
      <w:r w:rsidRPr="00F10460">
        <w:rPr>
          <w:lang w:val="fr-FR"/>
        </w:rPr>
        <w:tab/>
      </w:r>
      <w:r w:rsidRPr="00F10460">
        <w:rPr>
          <w:bCs/>
          <w:lang w:val="fr-FR"/>
        </w:rPr>
        <w:t>Paragraphes 9.3.x.13.3 de l</w:t>
      </w:r>
      <w:r>
        <w:rPr>
          <w:bCs/>
          <w:lang w:val="fr-FR"/>
        </w:rPr>
        <w:t>’</w:t>
      </w:r>
      <w:r w:rsidRPr="00F10460">
        <w:rPr>
          <w:bCs/>
          <w:lang w:val="fr-FR"/>
        </w:rPr>
        <w:t>ADN − Manuel de stabilité</w:t>
      </w:r>
      <w:bookmarkStart w:id="38" w:name="_Toc63762794"/>
      <w:bookmarkStart w:id="39" w:name="_Toc64472444"/>
      <w:bookmarkEnd w:id="38"/>
      <w:bookmarkEnd w:id="39"/>
    </w:p>
    <w:p w14:paraId="2DDF8CAB" w14:textId="77777777" w:rsidR="00C22589" w:rsidRPr="00F10460" w:rsidRDefault="00C22589" w:rsidP="00F3729A">
      <w:pPr>
        <w:pStyle w:val="SingleTxtG"/>
        <w:tabs>
          <w:tab w:val="left" w:pos="3136"/>
        </w:tabs>
        <w:ind w:left="3136" w:hanging="2002"/>
        <w:jc w:val="left"/>
        <w:rPr>
          <w:lang w:val="fr-FR"/>
        </w:rPr>
      </w:pPr>
      <w:r w:rsidRPr="00F10460">
        <w:rPr>
          <w:i/>
          <w:iCs/>
          <w:lang w:val="fr-FR"/>
        </w:rPr>
        <w:t>Document </w:t>
      </w:r>
      <w:r w:rsidRPr="00F3729A">
        <w:rPr>
          <w:lang w:val="fr-FR"/>
        </w:rPr>
        <w:t>:</w:t>
      </w:r>
      <w:r w:rsidRPr="00F10460">
        <w:rPr>
          <w:lang w:val="fr-FR"/>
        </w:rPr>
        <w:tab/>
        <w:t>ECE/TRANS/WP.15/AC.2/2020/15 (Allemagne)</w:t>
      </w:r>
      <w:r>
        <w:rPr>
          <w:lang w:val="fr-FR"/>
        </w:rPr>
        <w:t>.</w:t>
      </w:r>
    </w:p>
    <w:p w14:paraId="742439EF" w14:textId="77777777" w:rsidR="00C22589" w:rsidRPr="00F10460" w:rsidRDefault="00C22589" w:rsidP="004C0A5C">
      <w:pPr>
        <w:pStyle w:val="SingleTxtG"/>
        <w:rPr>
          <w:rFonts w:eastAsia="SimSun"/>
          <w:lang w:val="fr-FR"/>
        </w:rPr>
      </w:pPr>
      <w:r w:rsidRPr="00F10460">
        <w:rPr>
          <w:lang w:val="fr-FR"/>
        </w:rPr>
        <w:t>22.</w:t>
      </w:r>
      <w:r w:rsidRPr="00F10460">
        <w:rPr>
          <w:lang w:val="fr-FR"/>
        </w:rPr>
        <w:tab/>
        <w:t>Le représentant de l</w:t>
      </w:r>
      <w:r>
        <w:rPr>
          <w:lang w:val="fr-FR"/>
        </w:rPr>
        <w:t>’</w:t>
      </w:r>
      <w:r w:rsidRPr="00F10460">
        <w:rPr>
          <w:lang w:val="fr-FR"/>
        </w:rPr>
        <w:t>Allemagne a attiré l</w:t>
      </w:r>
      <w:r>
        <w:rPr>
          <w:lang w:val="fr-FR"/>
        </w:rPr>
        <w:t>’</w:t>
      </w:r>
      <w:r w:rsidRPr="00F10460">
        <w:rPr>
          <w:lang w:val="fr-FR"/>
        </w:rPr>
        <w:t>attention sur un certain nombre de différences entre les textes anglais, français et allemand de l</w:t>
      </w:r>
      <w:r>
        <w:rPr>
          <w:lang w:val="fr-FR"/>
        </w:rPr>
        <w:t>’</w:t>
      </w:r>
      <w:r w:rsidRPr="00F10460">
        <w:rPr>
          <w:lang w:val="fr-FR"/>
        </w:rPr>
        <w:t>ADN. Le Comité de sécurité a convenu de la nécessité d</w:t>
      </w:r>
      <w:r>
        <w:rPr>
          <w:lang w:val="fr-FR"/>
        </w:rPr>
        <w:t>’</w:t>
      </w:r>
      <w:r w:rsidRPr="00F10460">
        <w:rPr>
          <w:lang w:val="fr-FR"/>
        </w:rPr>
        <w:t>harmoniser le libellé du 9.3.x.13.3 dans toutes les langues afin d</w:t>
      </w:r>
      <w:r>
        <w:rPr>
          <w:lang w:val="fr-FR"/>
        </w:rPr>
        <w:t>’</w:t>
      </w:r>
      <w:r w:rsidRPr="00F10460">
        <w:rPr>
          <w:lang w:val="fr-FR"/>
        </w:rPr>
        <w:t>éviter les interprétations divergentes. Le représentant de l</w:t>
      </w:r>
      <w:r>
        <w:rPr>
          <w:lang w:val="fr-FR"/>
        </w:rPr>
        <w:t>’</w:t>
      </w:r>
      <w:r w:rsidRPr="00F10460">
        <w:rPr>
          <w:lang w:val="fr-FR"/>
        </w:rPr>
        <w:t>Allemagne s</w:t>
      </w:r>
      <w:r>
        <w:rPr>
          <w:lang w:val="fr-FR"/>
        </w:rPr>
        <w:t>’</w:t>
      </w:r>
      <w:r w:rsidRPr="00F10460">
        <w:rPr>
          <w:lang w:val="fr-FR"/>
        </w:rPr>
        <w:t>est proposé de faire des recherches sur les motivations de la proposition initiale et de soumettre un document explicatif pour examen à la prochaine session. Le représentant des Pays-Bas a rappelé que les prescriptions relatives à la stabilité n</w:t>
      </w:r>
      <w:r>
        <w:rPr>
          <w:lang w:val="fr-FR"/>
        </w:rPr>
        <w:t>’</w:t>
      </w:r>
      <w:r w:rsidRPr="00F10460">
        <w:rPr>
          <w:lang w:val="fr-FR"/>
        </w:rPr>
        <w:t>avaient été ajoutées à l</w:t>
      </w:r>
      <w:r>
        <w:rPr>
          <w:lang w:val="fr-FR"/>
        </w:rPr>
        <w:t>’</w:t>
      </w:r>
      <w:r w:rsidRPr="00F10460">
        <w:rPr>
          <w:lang w:val="fr-FR"/>
        </w:rPr>
        <w:t>ADN qu</w:t>
      </w:r>
      <w:r>
        <w:rPr>
          <w:lang w:val="fr-FR"/>
        </w:rPr>
        <w:t>’</w:t>
      </w:r>
      <w:r w:rsidRPr="00F10460">
        <w:rPr>
          <w:lang w:val="fr-FR"/>
        </w:rPr>
        <w:t>à titre temporaire, jusqu</w:t>
      </w:r>
      <w:r>
        <w:rPr>
          <w:lang w:val="fr-FR"/>
        </w:rPr>
        <w:t>’</w:t>
      </w:r>
      <w:r w:rsidRPr="00F10460">
        <w:rPr>
          <w:lang w:val="fr-FR"/>
        </w:rPr>
        <w:t>à ce que des prescriptions à cet égard soient élaborées dans un cadre plus général pour la navigation intérieure, et s</w:t>
      </w:r>
      <w:r>
        <w:rPr>
          <w:lang w:val="fr-FR"/>
        </w:rPr>
        <w:t>’</w:t>
      </w:r>
      <w:r w:rsidRPr="00F10460">
        <w:rPr>
          <w:lang w:val="fr-FR"/>
        </w:rPr>
        <w:t>est demandé si les prescriptions élaborées pour tous les bateaux de navigation intérieure étaient, à ce stade, d</w:t>
      </w:r>
      <w:r>
        <w:rPr>
          <w:lang w:val="fr-FR"/>
        </w:rPr>
        <w:t>’</w:t>
      </w:r>
      <w:r w:rsidRPr="00F10460">
        <w:rPr>
          <w:lang w:val="fr-FR"/>
        </w:rPr>
        <w:t>un niveau de sécurité suffisant pour que les dispositions spéciales puissent être retirées de l</w:t>
      </w:r>
      <w:r>
        <w:rPr>
          <w:lang w:val="fr-FR"/>
        </w:rPr>
        <w:t>’</w:t>
      </w:r>
      <w:r w:rsidRPr="00F10460">
        <w:rPr>
          <w:lang w:val="fr-FR"/>
        </w:rPr>
        <w:t>ADN.</w:t>
      </w:r>
    </w:p>
    <w:p w14:paraId="2CCF8069" w14:textId="77777777" w:rsidR="00C22589" w:rsidRPr="00FD1BF9" w:rsidRDefault="00C22589" w:rsidP="00C22589">
      <w:pPr>
        <w:pStyle w:val="H23G"/>
        <w:rPr>
          <w:lang w:val="es-ES"/>
        </w:rPr>
      </w:pPr>
      <w:r w:rsidRPr="00F10460">
        <w:rPr>
          <w:lang w:val="fr-FR"/>
        </w:rPr>
        <w:tab/>
      </w:r>
      <w:r w:rsidRPr="00FD1BF9">
        <w:rPr>
          <w:lang w:val="es-ES"/>
        </w:rPr>
        <w:t>3.</w:t>
      </w:r>
      <w:r w:rsidRPr="00FD1BF9">
        <w:rPr>
          <w:lang w:val="es-ES"/>
        </w:rPr>
        <w:tab/>
      </w:r>
      <w:r w:rsidRPr="00FD1BF9">
        <w:rPr>
          <w:bCs/>
          <w:lang w:val="es-ES"/>
        </w:rPr>
        <w:t>3.2.3.2 Tableau C de l</w:t>
      </w:r>
      <w:r>
        <w:rPr>
          <w:bCs/>
          <w:lang w:val="es-ES"/>
        </w:rPr>
        <w:t>’</w:t>
      </w:r>
      <w:r w:rsidRPr="00FD1BF9">
        <w:rPr>
          <w:bCs/>
          <w:lang w:val="es-ES"/>
        </w:rPr>
        <w:t>ADN, N</w:t>
      </w:r>
      <w:r w:rsidRPr="00F3729A">
        <w:rPr>
          <w:bCs/>
          <w:vertAlign w:val="superscript"/>
          <w:lang w:val="es-ES"/>
        </w:rPr>
        <w:t>o</w:t>
      </w:r>
      <w:r w:rsidR="00F3729A">
        <w:rPr>
          <w:bCs/>
          <w:lang w:val="es-ES"/>
        </w:rPr>
        <w:t> </w:t>
      </w:r>
      <w:r w:rsidRPr="00FD1BF9">
        <w:rPr>
          <w:bCs/>
          <w:lang w:val="es-ES"/>
        </w:rPr>
        <w:t>ONU 1999</w:t>
      </w:r>
      <w:bookmarkStart w:id="40" w:name="_Toc63762795"/>
      <w:bookmarkStart w:id="41" w:name="_Toc64472445"/>
      <w:bookmarkEnd w:id="40"/>
      <w:bookmarkEnd w:id="41"/>
    </w:p>
    <w:p w14:paraId="2F7DF5EA" w14:textId="77777777" w:rsidR="00C22589" w:rsidRPr="00F10460" w:rsidRDefault="00C22589" w:rsidP="00F3729A">
      <w:pPr>
        <w:pStyle w:val="SingleTxtG"/>
        <w:tabs>
          <w:tab w:val="left" w:pos="3136"/>
        </w:tabs>
        <w:ind w:left="3136" w:hanging="2002"/>
        <w:jc w:val="left"/>
        <w:rPr>
          <w:lang w:val="fr-FR"/>
        </w:rPr>
      </w:pPr>
      <w:r w:rsidRPr="00F10460">
        <w:rPr>
          <w:i/>
          <w:iCs/>
          <w:lang w:val="fr-FR"/>
        </w:rPr>
        <w:t>Document </w:t>
      </w:r>
      <w:r w:rsidRPr="00F3729A">
        <w:rPr>
          <w:lang w:val="fr-FR"/>
        </w:rPr>
        <w:t>:</w:t>
      </w:r>
      <w:r w:rsidRPr="00F10460">
        <w:rPr>
          <w:lang w:val="fr-FR"/>
        </w:rPr>
        <w:tab/>
        <w:t>ECE/TRANS/WP.15/AC.2/2020/26 (Allemagne)</w:t>
      </w:r>
      <w:r>
        <w:rPr>
          <w:lang w:val="fr-FR"/>
        </w:rPr>
        <w:t>.</w:t>
      </w:r>
    </w:p>
    <w:p w14:paraId="0E4FED93" w14:textId="77777777" w:rsidR="00C22589" w:rsidRPr="00F10460" w:rsidRDefault="00C22589" w:rsidP="004C0A5C">
      <w:pPr>
        <w:pStyle w:val="SingleTxtG"/>
        <w:rPr>
          <w:rFonts w:eastAsia="SimSun"/>
          <w:lang w:val="fr-FR"/>
        </w:rPr>
      </w:pPr>
      <w:r w:rsidRPr="00F10460">
        <w:rPr>
          <w:lang w:val="fr-FR"/>
        </w:rPr>
        <w:t>23.</w:t>
      </w:r>
      <w:r w:rsidRPr="00F10460">
        <w:rPr>
          <w:lang w:val="fr-FR"/>
        </w:rPr>
        <w:tab/>
        <w:t>Le Comité de sécurité a pris note de l</w:t>
      </w:r>
      <w:r>
        <w:rPr>
          <w:lang w:val="fr-FR"/>
        </w:rPr>
        <w:t>’</w:t>
      </w:r>
      <w:r w:rsidRPr="00F10460">
        <w:rPr>
          <w:lang w:val="fr-FR"/>
        </w:rPr>
        <w:t>incohérence constatée dans l</w:t>
      </w:r>
      <w:r>
        <w:rPr>
          <w:lang w:val="fr-FR"/>
        </w:rPr>
        <w:t>’</w:t>
      </w:r>
      <w:r w:rsidRPr="00F10460">
        <w:rPr>
          <w:lang w:val="fr-FR"/>
        </w:rPr>
        <w:t>ADN concernant le No ONU 1999 et a invité le groupe de travail informel des matières à se pencher sur la mention figurant dans la colonne (17) du tableau C et à lui soumettre une proposition d</w:t>
      </w:r>
      <w:r>
        <w:rPr>
          <w:lang w:val="fr-FR"/>
        </w:rPr>
        <w:t>’</w:t>
      </w:r>
      <w:r w:rsidRPr="00F10460">
        <w:rPr>
          <w:lang w:val="fr-FR"/>
        </w:rPr>
        <w:t>amendements, le cas échéant.</w:t>
      </w:r>
    </w:p>
    <w:p w14:paraId="2B59D288" w14:textId="77777777" w:rsidR="00C22589" w:rsidRPr="00F10460" w:rsidRDefault="00C22589" w:rsidP="00C22589">
      <w:pPr>
        <w:pStyle w:val="H23G"/>
        <w:rPr>
          <w:lang w:val="fr-FR"/>
        </w:rPr>
      </w:pPr>
      <w:r w:rsidRPr="00F10460">
        <w:rPr>
          <w:lang w:val="fr-FR"/>
        </w:rPr>
        <w:tab/>
        <w:t>4.</w:t>
      </w:r>
      <w:r w:rsidRPr="00F10460">
        <w:rPr>
          <w:lang w:val="fr-FR"/>
        </w:rPr>
        <w:tab/>
      </w:r>
      <w:r w:rsidRPr="00F10460">
        <w:rPr>
          <w:bCs/>
          <w:lang w:val="fr-FR"/>
        </w:rPr>
        <w:t>1.2.1 de l</w:t>
      </w:r>
      <w:r>
        <w:rPr>
          <w:bCs/>
          <w:lang w:val="fr-FR"/>
        </w:rPr>
        <w:t>’</w:t>
      </w:r>
      <w:r w:rsidRPr="00F10460">
        <w:rPr>
          <w:bCs/>
          <w:lang w:val="fr-FR"/>
        </w:rPr>
        <w:t>ADN</w:t>
      </w:r>
      <w:r w:rsidR="00F3729A">
        <w:rPr>
          <w:bCs/>
          <w:lang w:val="fr-FR"/>
        </w:rPr>
        <w:t xml:space="preserve"> </w:t>
      </w:r>
      <w:r w:rsidRPr="00F10460">
        <w:rPr>
          <w:bCs/>
          <w:lang w:val="fr-FR"/>
        </w:rPr>
        <w:t>− Classement en zones</w:t>
      </w:r>
      <w:bookmarkStart w:id="42" w:name="_Toc63762796"/>
      <w:bookmarkStart w:id="43" w:name="_Toc64472446"/>
      <w:bookmarkEnd w:id="42"/>
      <w:bookmarkEnd w:id="43"/>
    </w:p>
    <w:p w14:paraId="2FEE72BD" w14:textId="77777777" w:rsidR="00C22589" w:rsidRPr="00F10460" w:rsidRDefault="00C22589" w:rsidP="00F3729A">
      <w:pPr>
        <w:pStyle w:val="SingleTxtG"/>
        <w:tabs>
          <w:tab w:val="left" w:pos="3136"/>
        </w:tabs>
        <w:ind w:left="3136" w:hanging="2002"/>
        <w:jc w:val="left"/>
        <w:rPr>
          <w:lang w:val="fr-FR"/>
        </w:rPr>
      </w:pPr>
      <w:r w:rsidRPr="00F10460">
        <w:rPr>
          <w:i/>
          <w:iCs/>
          <w:lang w:val="fr-FR"/>
        </w:rPr>
        <w:t>Document </w:t>
      </w:r>
      <w:r w:rsidRPr="00F3729A">
        <w:rPr>
          <w:lang w:val="fr-FR"/>
        </w:rPr>
        <w:t>:</w:t>
      </w:r>
      <w:r w:rsidRPr="00F10460">
        <w:rPr>
          <w:lang w:val="fr-FR"/>
        </w:rPr>
        <w:tab/>
        <w:t>ECE/TRANS/WP.15/AC.2/2020/29 (Allemagne)</w:t>
      </w:r>
      <w:r>
        <w:rPr>
          <w:lang w:val="fr-FR"/>
        </w:rPr>
        <w:t>.</w:t>
      </w:r>
    </w:p>
    <w:p w14:paraId="69B49380" w14:textId="77777777" w:rsidR="00C22589" w:rsidRPr="00F10460" w:rsidRDefault="00C22589" w:rsidP="004C0A5C">
      <w:pPr>
        <w:pStyle w:val="SingleTxtG"/>
        <w:rPr>
          <w:rFonts w:eastAsia="SimSun"/>
          <w:lang w:val="fr-FR"/>
        </w:rPr>
      </w:pPr>
      <w:r w:rsidRPr="00F10460">
        <w:rPr>
          <w:lang w:val="fr-FR"/>
        </w:rPr>
        <w:t>24.</w:t>
      </w:r>
      <w:r w:rsidRPr="00F10460">
        <w:rPr>
          <w:lang w:val="fr-FR"/>
        </w:rPr>
        <w:tab/>
        <w:t>Le représentant de l</w:t>
      </w:r>
      <w:r>
        <w:rPr>
          <w:lang w:val="fr-FR"/>
        </w:rPr>
        <w:t>’</w:t>
      </w:r>
      <w:r w:rsidRPr="00F10460">
        <w:rPr>
          <w:lang w:val="fr-FR"/>
        </w:rPr>
        <w:t>Allemagne a attiré l</w:t>
      </w:r>
      <w:r>
        <w:rPr>
          <w:lang w:val="fr-FR"/>
        </w:rPr>
        <w:t>’</w:t>
      </w:r>
      <w:r w:rsidRPr="00F10460">
        <w:rPr>
          <w:lang w:val="fr-FR"/>
        </w:rPr>
        <w:t>attention sur un problème d</w:t>
      </w:r>
      <w:r>
        <w:rPr>
          <w:lang w:val="fr-FR"/>
        </w:rPr>
        <w:t>’</w:t>
      </w:r>
      <w:r w:rsidRPr="00F10460">
        <w:rPr>
          <w:lang w:val="fr-FR"/>
        </w:rPr>
        <w:t>interprétation des règles relatives à la construction des bateaux-citernes de type G destinés au transport de GPL, non équipés, dans la zone 0, de pompes homologuées ATEX. Le représentant des sociétés de classification ADN recommandées a précisé que, pour les bateaux entrés en service après 2019, l</w:t>
      </w:r>
      <w:r>
        <w:rPr>
          <w:lang w:val="fr-FR"/>
        </w:rPr>
        <w:t>’</w:t>
      </w:r>
      <w:r w:rsidRPr="00F10460">
        <w:rPr>
          <w:lang w:val="fr-FR"/>
        </w:rPr>
        <w:t>homologation était accordée conformément à la version de l</w:t>
      </w:r>
      <w:r>
        <w:rPr>
          <w:lang w:val="fr-FR"/>
        </w:rPr>
        <w:t>’</w:t>
      </w:r>
      <w:r w:rsidRPr="00F10460">
        <w:rPr>
          <w:lang w:val="fr-FR"/>
        </w:rPr>
        <w:t>ADN en vigueur au moment considéré. Il a ajouté que, pour les bateaux en service, des dispositions transitoires avaient été ajoutées concernant les composants non électriques et mécaniques, ce qui signifiait que ces bateaux pourraient rester en service jusqu</w:t>
      </w:r>
      <w:r>
        <w:rPr>
          <w:lang w:val="fr-FR"/>
        </w:rPr>
        <w:t>’</w:t>
      </w:r>
      <w:r w:rsidRPr="00F10460">
        <w:rPr>
          <w:lang w:val="fr-FR"/>
        </w:rPr>
        <w:t>en</w:t>
      </w:r>
      <w:r w:rsidR="00F3729A">
        <w:rPr>
          <w:lang w:val="fr-FR"/>
        </w:rPr>
        <w:t xml:space="preserve"> </w:t>
      </w:r>
      <w:r w:rsidRPr="00F10460">
        <w:rPr>
          <w:lang w:val="fr-FR"/>
        </w:rPr>
        <w:t>2034. Il a indiqué que les pompes immergées étaient autorisées pour la zone 1 sur les navires maritimes, et que cette divergence avec les dispositions de l</w:t>
      </w:r>
      <w:r>
        <w:rPr>
          <w:lang w:val="fr-FR"/>
        </w:rPr>
        <w:t>’</w:t>
      </w:r>
      <w:r w:rsidRPr="00F10460">
        <w:rPr>
          <w:lang w:val="fr-FR"/>
        </w:rPr>
        <w:t>ADN avait déjà fait l</w:t>
      </w:r>
      <w:r>
        <w:rPr>
          <w:lang w:val="fr-FR"/>
        </w:rPr>
        <w:t>’</w:t>
      </w:r>
      <w:r w:rsidRPr="00F10460">
        <w:rPr>
          <w:lang w:val="fr-FR"/>
        </w:rPr>
        <w:t>objet de discussions lors des réunions du groupe de travail informel des sociétés de classification ADN recommandées et qu</w:t>
      </w:r>
      <w:r>
        <w:rPr>
          <w:lang w:val="fr-FR"/>
        </w:rPr>
        <w:t>’</w:t>
      </w:r>
      <w:r w:rsidRPr="00F10460">
        <w:rPr>
          <w:lang w:val="fr-FR"/>
        </w:rPr>
        <w:t>elle serait examinée plus avant à sa prochaine réunion le 17 mars</w:t>
      </w:r>
      <w:r w:rsidR="00F3729A">
        <w:rPr>
          <w:lang w:val="fr-FR"/>
        </w:rPr>
        <w:t xml:space="preserve"> </w:t>
      </w:r>
      <w:r w:rsidRPr="00F10460">
        <w:rPr>
          <w:lang w:val="fr-FR"/>
        </w:rPr>
        <w:t>2021.</w:t>
      </w:r>
    </w:p>
    <w:p w14:paraId="4F8B8358" w14:textId="77777777" w:rsidR="00C22589" w:rsidRPr="00F10460" w:rsidRDefault="00C22589" w:rsidP="004C0A5C">
      <w:pPr>
        <w:pStyle w:val="SingleTxtG"/>
        <w:rPr>
          <w:rFonts w:eastAsia="SimSun"/>
          <w:lang w:val="fr-FR"/>
        </w:rPr>
      </w:pPr>
      <w:r w:rsidRPr="00F10460">
        <w:rPr>
          <w:lang w:val="fr-FR"/>
        </w:rPr>
        <w:t>25.</w:t>
      </w:r>
      <w:r w:rsidRPr="00F10460">
        <w:rPr>
          <w:lang w:val="fr-FR"/>
        </w:rPr>
        <w:tab/>
        <w:t>Le Comité de sécurité a décidé de poursuivre le débat sur ce sujet à sa prochaine session, sur la base des informations communiquées par le groupe informel.</w:t>
      </w:r>
    </w:p>
    <w:p w14:paraId="363AABC0" w14:textId="77777777" w:rsidR="00C22589" w:rsidRPr="00F10460" w:rsidRDefault="00C22589" w:rsidP="00C22589">
      <w:pPr>
        <w:pStyle w:val="H23G"/>
        <w:rPr>
          <w:lang w:val="fr-FR"/>
        </w:rPr>
      </w:pPr>
      <w:r w:rsidRPr="00F10460">
        <w:rPr>
          <w:lang w:val="fr-FR"/>
        </w:rPr>
        <w:tab/>
        <w:t>5.</w:t>
      </w:r>
      <w:r w:rsidRPr="00F10460">
        <w:rPr>
          <w:lang w:val="fr-FR"/>
        </w:rPr>
        <w:tab/>
      </w:r>
      <w:r w:rsidRPr="00F10460">
        <w:rPr>
          <w:bCs/>
          <w:lang w:val="fr-FR"/>
        </w:rPr>
        <w:t>Matières non détectables pour lesquelles un toximètre est exigé</w:t>
      </w:r>
      <w:bookmarkStart w:id="44" w:name="_Toc63762797"/>
      <w:bookmarkStart w:id="45" w:name="_Toc64472447"/>
      <w:bookmarkEnd w:id="44"/>
      <w:bookmarkEnd w:id="45"/>
    </w:p>
    <w:p w14:paraId="03DBA3FE" w14:textId="77777777" w:rsidR="00C22589" w:rsidRPr="00F10460" w:rsidRDefault="00C22589" w:rsidP="00F3729A">
      <w:pPr>
        <w:pStyle w:val="SingleTxtG"/>
        <w:tabs>
          <w:tab w:val="left" w:pos="3136"/>
        </w:tabs>
        <w:ind w:left="3136" w:hanging="2002"/>
        <w:jc w:val="left"/>
        <w:rPr>
          <w:lang w:val="fr-FR"/>
        </w:rPr>
      </w:pPr>
      <w:r w:rsidRPr="00F10460">
        <w:rPr>
          <w:i/>
          <w:iCs/>
          <w:lang w:val="fr-FR"/>
        </w:rPr>
        <w:t>Document </w:t>
      </w:r>
      <w:r w:rsidRPr="00F3729A">
        <w:rPr>
          <w:lang w:val="fr-FR"/>
        </w:rPr>
        <w:t>:</w:t>
      </w:r>
      <w:r w:rsidRPr="00F10460">
        <w:rPr>
          <w:lang w:val="fr-FR"/>
        </w:rPr>
        <w:tab/>
        <w:t>ECE/TRANS/WP.15/AC.2/2020/31 (UENF et OEB)</w:t>
      </w:r>
      <w:r>
        <w:rPr>
          <w:lang w:val="fr-FR"/>
        </w:rPr>
        <w:t>.</w:t>
      </w:r>
    </w:p>
    <w:p w14:paraId="1C2F0671" w14:textId="77777777" w:rsidR="00C22589" w:rsidRPr="00F10460" w:rsidRDefault="00C22589" w:rsidP="00C22589">
      <w:pPr>
        <w:pStyle w:val="SingleTxtG"/>
        <w:rPr>
          <w:lang w:val="fr-FR"/>
        </w:rPr>
      </w:pPr>
      <w:r w:rsidRPr="00F10460">
        <w:rPr>
          <w:lang w:val="fr-FR"/>
        </w:rPr>
        <w:t>26.</w:t>
      </w:r>
      <w:r w:rsidRPr="00F10460">
        <w:rPr>
          <w:lang w:val="fr-FR"/>
        </w:rPr>
        <w:tab/>
        <w:t>Le Comité de sécurité a pris note du dilemme de l</w:t>
      </w:r>
      <w:r>
        <w:rPr>
          <w:lang w:val="fr-FR"/>
        </w:rPr>
        <w:t>’</w:t>
      </w:r>
      <w:r w:rsidRPr="00F10460">
        <w:rPr>
          <w:lang w:val="fr-FR"/>
        </w:rPr>
        <w:t>UENF et l</w:t>
      </w:r>
      <w:r>
        <w:rPr>
          <w:lang w:val="fr-FR"/>
        </w:rPr>
        <w:t>’</w:t>
      </w:r>
      <w:r w:rsidRPr="00F10460">
        <w:rPr>
          <w:lang w:val="fr-FR"/>
        </w:rPr>
        <w:t>OEB concernant l</w:t>
      </w:r>
      <w:r>
        <w:rPr>
          <w:lang w:val="fr-FR"/>
        </w:rPr>
        <w:t>’</w:t>
      </w:r>
      <w:r w:rsidRPr="00F10460">
        <w:rPr>
          <w:lang w:val="fr-FR"/>
        </w:rPr>
        <w:t>absence de méthode de mesure ou d</w:t>
      </w:r>
      <w:r>
        <w:rPr>
          <w:lang w:val="fr-FR"/>
        </w:rPr>
        <w:t>’</w:t>
      </w:r>
      <w:r w:rsidRPr="00F10460">
        <w:rPr>
          <w:lang w:val="fr-FR"/>
        </w:rPr>
        <w:t>équipement de mesure approprié pour la détection d</w:t>
      </w:r>
      <w:r>
        <w:rPr>
          <w:lang w:val="fr-FR"/>
        </w:rPr>
        <w:t>’</w:t>
      </w:r>
      <w:r w:rsidRPr="00F10460">
        <w:rPr>
          <w:lang w:val="fr-FR"/>
        </w:rPr>
        <w:t>un certain nombre de vapeurs ou gaz toxiques. Le groupe de travail informel des matières ayant l</w:t>
      </w:r>
      <w:r>
        <w:rPr>
          <w:lang w:val="fr-FR"/>
        </w:rPr>
        <w:t>’</w:t>
      </w:r>
      <w:r w:rsidRPr="00F10460">
        <w:rPr>
          <w:lang w:val="fr-FR"/>
        </w:rPr>
        <w:t>expertise nécessaire pour traiter ce sujet, le Comité de sécurité a demandé au groupe d</w:t>
      </w:r>
      <w:r>
        <w:rPr>
          <w:lang w:val="fr-FR"/>
        </w:rPr>
        <w:t>’</w:t>
      </w:r>
      <w:r w:rsidRPr="00F10460">
        <w:rPr>
          <w:lang w:val="fr-FR"/>
        </w:rPr>
        <w:t>examiner, dans la mesure du possible, la liste des matières concernées, en réfléchissant notamment aux autres méthodes qui permettraient d</w:t>
      </w:r>
      <w:r>
        <w:rPr>
          <w:lang w:val="fr-FR"/>
        </w:rPr>
        <w:t>’</w:t>
      </w:r>
      <w:r w:rsidRPr="00F10460">
        <w:rPr>
          <w:lang w:val="fr-FR"/>
        </w:rPr>
        <w:t>assurer le même niveau de sécurité.</w:t>
      </w:r>
    </w:p>
    <w:p w14:paraId="5316D53F" w14:textId="77777777" w:rsidR="00C22589" w:rsidRPr="00F10460" w:rsidRDefault="00C22589" w:rsidP="00C22589">
      <w:pPr>
        <w:pStyle w:val="H23G"/>
        <w:rPr>
          <w:lang w:val="fr-FR"/>
        </w:rPr>
      </w:pPr>
      <w:r w:rsidRPr="00F10460">
        <w:rPr>
          <w:lang w:val="fr-FR"/>
        </w:rPr>
        <w:tab/>
        <w:t>6.</w:t>
      </w:r>
      <w:r w:rsidRPr="00F10460">
        <w:rPr>
          <w:lang w:val="fr-FR"/>
        </w:rPr>
        <w:tab/>
      </w:r>
      <w:r w:rsidRPr="00F10460">
        <w:rPr>
          <w:bCs/>
          <w:lang w:val="fr-FR"/>
        </w:rPr>
        <w:t>Agrément des sociétés de classification − Interprétation du 1.15.1 et du 1.15.3.8</w:t>
      </w:r>
      <w:bookmarkStart w:id="46" w:name="_Toc63762798"/>
      <w:bookmarkStart w:id="47" w:name="_Toc64472448"/>
      <w:bookmarkEnd w:id="46"/>
      <w:bookmarkEnd w:id="47"/>
    </w:p>
    <w:p w14:paraId="2DFFB492" w14:textId="77777777" w:rsidR="00C22589" w:rsidRPr="00F10460" w:rsidRDefault="00C22589" w:rsidP="00F3729A">
      <w:pPr>
        <w:pStyle w:val="SingleTxtG"/>
        <w:tabs>
          <w:tab w:val="left" w:pos="3136"/>
        </w:tabs>
        <w:ind w:left="3136" w:hanging="2002"/>
        <w:jc w:val="left"/>
        <w:rPr>
          <w:lang w:val="fr-FR"/>
        </w:rPr>
      </w:pPr>
      <w:r w:rsidRPr="00F10460">
        <w:rPr>
          <w:i/>
          <w:iCs/>
          <w:lang w:val="fr-FR"/>
        </w:rPr>
        <w:t>Document </w:t>
      </w:r>
      <w:r w:rsidRPr="00F3729A">
        <w:rPr>
          <w:lang w:val="fr-FR"/>
        </w:rPr>
        <w:t>:</w:t>
      </w:r>
      <w:r w:rsidRPr="00F10460">
        <w:rPr>
          <w:lang w:val="fr-FR"/>
        </w:rPr>
        <w:tab/>
        <w:t>ECE/TRANS/WP.15/AC.2/2020/32 (France)</w:t>
      </w:r>
      <w:r>
        <w:rPr>
          <w:lang w:val="fr-FR"/>
        </w:rPr>
        <w:t>.</w:t>
      </w:r>
    </w:p>
    <w:p w14:paraId="45BF00FB" w14:textId="77777777" w:rsidR="00C22589" w:rsidRPr="00F10460" w:rsidRDefault="00C22589" w:rsidP="00C22589">
      <w:pPr>
        <w:pStyle w:val="SingleTxtG"/>
        <w:rPr>
          <w:strike/>
          <w:lang w:val="fr-FR"/>
        </w:rPr>
      </w:pPr>
      <w:r w:rsidRPr="00F10460">
        <w:rPr>
          <w:lang w:val="fr-FR"/>
        </w:rPr>
        <w:t>27.</w:t>
      </w:r>
      <w:r w:rsidRPr="00F10460">
        <w:rPr>
          <w:lang w:val="fr-FR"/>
        </w:rPr>
        <w:tab/>
        <w:t>Le représentant de la France a présenté les interprétations possibles du 1.15.1 et du 1.15.3.8. Les représentants de l</w:t>
      </w:r>
      <w:r>
        <w:rPr>
          <w:lang w:val="fr-FR"/>
        </w:rPr>
        <w:t>’</w:t>
      </w:r>
      <w:r w:rsidRPr="00F10460">
        <w:rPr>
          <w:lang w:val="fr-FR"/>
        </w:rPr>
        <w:t>Allemagne, de la Fédération de Russie, des Pays-Bas et de la Roumanie estimaient que l</w:t>
      </w:r>
      <w:r>
        <w:rPr>
          <w:lang w:val="fr-FR"/>
        </w:rPr>
        <w:t>’</w:t>
      </w:r>
      <w:r w:rsidRPr="00F10460">
        <w:rPr>
          <w:lang w:val="fr-FR"/>
        </w:rPr>
        <w:t>« accord international » mentionné au 1.15.1 de l</w:t>
      </w:r>
      <w:r>
        <w:rPr>
          <w:lang w:val="fr-FR"/>
        </w:rPr>
        <w:t>’</w:t>
      </w:r>
      <w:r w:rsidRPr="00F10460">
        <w:rPr>
          <w:lang w:val="fr-FR"/>
        </w:rPr>
        <w:t>ADN devait être un accord du même niveau et de la même nature que l</w:t>
      </w:r>
      <w:r>
        <w:rPr>
          <w:lang w:val="fr-FR"/>
        </w:rPr>
        <w:t>’</w:t>
      </w:r>
      <w:r w:rsidRPr="00F10460">
        <w:rPr>
          <w:lang w:val="fr-FR"/>
        </w:rPr>
        <w:t>ADN. Le représentant de l</w:t>
      </w:r>
      <w:r>
        <w:rPr>
          <w:lang w:val="fr-FR"/>
        </w:rPr>
        <w:t>’</w:t>
      </w:r>
      <w:r w:rsidRPr="00F10460">
        <w:rPr>
          <w:lang w:val="fr-FR"/>
        </w:rPr>
        <w:t xml:space="preserve">Union </w:t>
      </w:r>
      <w:r w:rsidRPr="00F10460">
        <w:rPr>
          <w:lang w:val="fr-FR"/>
        </w:rPr>
        <w:lastRenderedPageBreak/>
        <w:t>européenne a informé le Comité de sécurité que son service juridique était d</w:t>
      </w:r>
      <w:r>
        <w:rPr>
          <w:lang w:val="fr-FR"/>
        </w:rPr>
        <w:t>’</w:t>
      </w:r>
      <w:r w:rsidRPr="00F10460">
        <w:rPr>
          <w:lang w:val="fr-FR"/>
        </w:rPr>
        <w:t>avis que les directives de l</w:t>
      </w:r>
      <w:r>
        <w:rPr>
          <w:lang w:val="fr-FR"/>
        </w:rPr>
        <w:t>’</w:t>
      </w:r>
      <w:r w:rsidRPr="00F10460">
        <w:rPr>
          <w:lang w:val="fr-FR"/>
        </w:rPr>
        <w:t>UE avaient valeur d</w:t>
      </w:r>
      <w:r>
        <w:rPr>
          <w:lang w:val="fr-FR"/>
        </w:rPr>
        <w:t>’</w:t>
      </w:r>
      <w:r w:rsidRPr="00F10460">
        <w:rPr>
          <w:lang w:val="fr-FR"/>
        </w:rPr>
        <w:t xml:space="preserve">accord international. </w:t>
      </w:r>
    </w:p>
    <w:p w14:paraId="4B958303" w14:textId="77777777" w:rsidR="00C22589" w:rsidRPr="00F10460" w:rsidRDefault="00C22589" w:rsidP="00C22589">
      <w:pPr>
        <w:pStyle w:val="SingleTxtG"/>
        <w:rPr>
          <w:lang w:val="fr-FR"/>
        </w:rPr>
      </w:pPr>
      <w:r w:rsidRPr="00F10460">
        <w:rPr>
          <w:lang w:val="fr-FR"/>
        </w:rPr>
        <w:t>28.</w:t>
      </w:r>
      <w:r w:rsidRPr="00F10460">
        <w:rPr>
          <w:lang w:val="fr-FR"/>
        </w:rPr>
        <w:tab/>
        <w:t>Il a été proposé de réfléchir à l</w:t>
      </w:r>
      <w:r>
        <w:rPr>
          <w:lang w:val="fr-FR"/>
        </w:rPr>
        <w:t>’</w:t>
      </w:r>
      <w:r w:rsidRPr="00F10460">
        <w:rPr>
          <w:lang w:val="fr-FR"/>
        </w:rPr>
        <w:t>interprétation des points</w:t>
      </w:r>
      <w:r w:rsidR="00F3729A">
        <w:rPr>
          <w:lang w:val="fr-FR"/>
        </w:rPr>
        <w:t> </w:t>
      </w:r>
      <w:r w:rsidRPr="00F10460">
        <w:rPr>
          <w:lang w:val="fr-FR"/>
        </w:rPr>
        <w:t>1.15.1 et 1.15.3.8 à la prochaine réunion du groupe d</w:t>
      </w:r>
      <w:r>
        <w:rPr>
          <w:lang w:val="fr-FR"/>
        </w:rPr>
        <w:t>’</w:t>
      </w:r>
      <w:r w:rsidRPr="00F10460">
        <w:rPr>
          <w:lang w:val="fr-FR"/>
        </w:rPr>
        <w:t>experts des transports des marchandises dangereuses de l</w:t>
      </w:r>
      <w:r>
        <w:rPr>
          <w:lang w:val="fr-FR"/>
        </w:rPr>
        <w:t>’</w:t>
      </w:r>
      <w:r w:rsidRPr="00F10460">
        <w:rPr>
          <w:lang w:val="fr-FR"/>
        </w:rPr>
        <w:t>UE et de reprendre l</w:t>
      </w:r>
      <w:r>
        <w:rPr>
          <w:lang w:val="fr-FR"/>
        </w:rPr>
        <w:t>’</w:t>
      </w:r>
      <w:r w:rsidRPr="00F10460">
        <w:rPr>
          <w:lang w:val="fr-FR"/>
        </w:rPr>
        <w:t>examen de cette question à une autre session du Comité de sécurité.</w:t>
      </w:r>
    </w:p>
    <w:p w14:paraId="41CFDE29" w14:textId="77777777" w:rsidR="00C22589" w:rsidRPr="00F10460" w:rsidRDefault="00C22589" w:rsidP="00C22589">
      <w:pPr>
        <w:pStyle w:val="SingleTxtG"/>
        <w:rPr>
          <w:lang w:val="fr-FR"/>
        </w:rPr>
      </w:pPr>
      <w:r w:rsidRPr="00F10460">
        <w:rPr>
          <w:lang w:val="fr-FR"/>
        </w:rPr>
        <w:t>29.</w:t>
      </w:r>
      <w:r w:rsidRPr="00F10460">
        <w:rPr>
          <w:lang w:val="fr-FR"/>
        </w:rPr>
        <w:tab/>
        <w:t>Le représentant de la Suisse et la CCNR ont souligné que les Parties contractantes à l</w:t>
      </w:r>
      <w:r>
        <w:rPr>
          <w:lang w:val="fr-FR"/>
        </w:rPr>
        <w:t>’</w:t>
      </w:r>
      <w:r w:rsidRPr="00F10460">
        <w:rPr>
          <w:lang w:val="fr-FR"/>
        </w:rPr>
        <w:t>ADN n</w:t>
      </w:r>
      <w:r>
        <w:rPr>
          <w:lang w:val="fr-FR"/>
        </w:rPr>
        <w:t>’</w:t>
      </w:r>
      <w:r w:rsidRPr="00F10460">
        <w:rPr>
          <w:lang w:val="fr-FR"/>
        </w:rPr>
        <w:t>étaient pas toutes des États membres de l</w:t>
      </w:r>
      <w:r>
        <w:rPr>
          <w:lang w:val="fr-FR"/>
        </w:rPr>
        <w:t>’</w:t>
      </w:r>
      <w:r w:rsidRPr="00F10460">
        <w:rPr>
          <w:lang w:val="fr-FR"/>
        </w:rPr>
        <w:t>Union européenne et avaient</w:t>
      </w:r>
      <w:r w:rsidR="00D45B40">
        <w:rPr>
          <w:lang w:val="fr-FR"/>
        </w:rPr>
        <w:t xml:space="preserve"> </w:t>
      </w:r>
      <w:r>
        <w:rPr>
          <w:lang w:val="fr-FR"/>
        </w:rPr>
        <w:t xml:space="preserve">des </w:t>
      </w:r>
      <w:r w:rsidRPr="00F10460">
        <w:rPr>
          <w:lang w:val="fr-FR"/>
        </w:rPr>
        <w:t>avis différent</w:t>
      </w:r>
      <w:r>
        <w:rPr>
          <w:lang w:val="fr-FR"/>
        </w:rPr>
        <w:t>s</w:t>
      </w:r>
      <w:r w:rsidRPr="00F10460">
        <w:rPr>
          <w:lang w:val="fr-FR"/>
        </w:rPr>
        <w:t xml:space="preserve"> concernant l</w:t>
      </w:r>
      <w:r>
        <w:rPr>
          <w:lang w:val="fr-FR"/>
        </w:rPr>
        <w:t>’</w:t>
      </w:r>
      <w:r w:rsidRPr="00F10460">
        <w:rPr>
          <w:lang w:val="fr-FR"/>
        </w:rPr>
        <w:t>interprétation de ces points. Il a également été mentionné que les critères de recommandation des sociétés de classification pour les pays de la CCNR pouvaient être différents de ceux de l</w:t>
      </w:r>
      <w:r>
        <w:rPr>
          <w:lang w:val="fr-FR"/>
        </w:rPr>
        <w:t>’</w:t>
      </w:r>
      <w:r w:rsidRPr="00F10460">
        <w:rPr>
          <w:lang w:val="fr-FR"/>
        </w:rPr>
        <w:t>ADN et devraient également être examinés à l</w:t>
      </w:r>
      <w:r>
        <w:rPr>
          <w:lang w:val="fr-FR"/>
        </w:rPr>
        <w:t>’</w:t>
      </w:r>
      <w:r w:rsidRPr="00F10460">
        <w:rPr>
          <w:lang w:val="fr-FR"/>
        </w:rPr>
        <w:t>occasion des prochains débats à ce sujet. En l</w:t>
      </w:r>
      <w:r>
        <w:rPr>
          <w:lang w:val="fr-FR"/>
        </w:rPr>
        <w:t>’</w:t>
      </w:r>
      <w:r w:rsidRPr="00F10460">
        <w:rPr>
          <w:lang w:val="fr-FR"/>
        </w:rPr>
        <w:t>absence d</w:t>
      </w:r>
      <w:r>
        <w:rPr>
          <w:lang w:val="fr-FR"/>
        </w:rPr>
        <w:t>’</w:t>
      </w:r>
      <w:r w:rsidRPr="00F10460">
        <w:rPr>
          <w:lang w:val="fr-FR"/>
        </w:rPr>
        <w:t>une interprétation commune, le Comité de sécurité a préféré reporter l</w:t>
      </w:r>
      <w:r>
        <w:rPr>
          <w:lang w:val="fr-FR"/>
        </w:rPr>
        <w:t>’</w:t>
      </w:r>
      <w:r w:rsidRPr="00F10460">
        <w:rPr>
          <w:lang w:val="fr-FR"/>
        </w:rPr>
        <w:t>examen de ce sujet à une prochaine session, si nécessaire.</w:t>
      </w:r>
    </w:p>
    <w:p w14:paraId="5E8A9D17" w14:textId="77777777" w:rsidR="00C22589" w:rsidRPr="00F10460" w:rsidRDefault="00C22589" w:rsidP="00C22589">
      <w:pPr>
        <w:pStyle w:val="H23G"/>
        <w:rPr>
          <w:lang w:val="fr-FR"/>
        </w:rPr>
      </w:pPr>
      <w:r w:rsidRPr="00F10460">
        <w:rPr>
          <w:lang w:val="fr-FR"/>
        </w:rPr>
        <w:tab/>
        <w:t>7.</w:t>
      </w:r>
      <w:r w:rsidRPr="00F10460">
        <w:rPr>
          <w:lang w:val="fr-FR"/>
        </w:rPr>
        <w:tab/>
      </w:r>
      <w:r w:rsidRPr="00F10460">
        <w:rPr>
          <w:bCs/>
          <w:lang w:val="fr-FR"/>
        </w:rPr>
        <w:t>Attestations de spécialisation des experts</w:t>
      </w:r>
      <w:r w:rsidR="00F3729A">
        <w:rPr>
          <w:bCs/>
          <w:lang w:val="fr-FR"/>
        </w:rPr>
        <w:t xml:space="preserve"> </w:t>
      </w:r>
      <w:r w:rsidRPr="00F10460">
        <w:rPr>
          <w:bCs/>
          <w:lang w:val="fr-FR"/>
        </w:rPr>
        <w:t>− Interprétation du chapitre 8.2</w:t>
      </w:r>
      <w:bookmarkStart w:id="48" w:name="_Toc63762799"/>
      <w:bookmarkStart w:id="49" w:name="_Toc64472449"/>
      <w:bookmarkEnd w:id="48"/>
      <w:bookmarkEnd w:id="49"/>
    </w:p>
    <w:p w14:paraId="06B95F2A" w14:textId="77777777" w:rsidR="00C22589" w:rsidRPr="00F10460" w:rsidRDefault="00C22589" w:rsidP="00F3729A">
      <w:pPr>
        <w:pStyle w:val="SingleTxtG"/>
        <w:tabs>
          <w:tab w:val="left" w:pos="3136"/>
        </w:tabs>
        <w:ind w:left="3136" w:hanging="2002"/>
        <w:jc w:val="left"/>
        <w:rPr>
          <w:lang w:val="fr-FR"/>
        </w:rPr>
      </w:pPr>
      <w:r w:rsidRPr="00F10460">
        <w:rPr>
          <w:i/>
          <w:iCs/>
          <w:lang w:val="fr-FR"/>
        </w:rPr>
        <w:t>Document </w:t>
      </w:r>
      <w:r w:rsidRPr="00F3729A">
        <w:rPr>
          <w:lang w:val="fr-FR"/>
        </w:rPr>
        <w:t>:</w:t>
      </w:r>
      <w:r w:rsidRPr="00F10460">
        <w:rPr>
          <w:lang w:val="fr-FR"/>
        </w:rPr>
        <w:tab/>
        <w:t>ECE/TRANS/WP.15/AC.2/2020/33 (France)</w:t>
      </w:r>
      <w:r>
        <w:rPr>
          <w:lang w:val="fr-FR"/>
        </w:rPr>
        <w:t>.</w:t>
      </w:r>
    </w:p>
    <w:p w14:paraId="10847FA4" w14:textId="77777777" w:rsidR="00C22589" w:rsidRPr="00F10460" w:rsidRDefault="00C22589" w:rsidP="004C0A5C">
      <w:pPr>
        <w:pStyle w:val="SingleTxtG"/>
        <w:rPr>
          <w:lang w:val="fr-FR"/>
        </w:rPr>
      </w:pPr>
      <w:r w:rsidRPr="00F10460">
        <w:rPr>
          <w:lang w:val="fr-FR"/>
        </w:rPr>
        <w:t>30.</w:t>
      </w:r>
      <w:r w:rsidRPr="00F10460">
        <w:rPr>
          <w:lang w:val="fr-FR"/>
        </w:rPr>
        <w:tab/>
        <w:t>Le Comité de sécurité a approuvé la position de la France sur l</w:t>
      </w:r>
      <w:r>
        <w:rPr>
          <w:lang w:val="fr-FR"/>
        </w:rPr>
        <w:t>’</w:t>
      </w:r>
      <w:r w:rsidRPr="00F10460">
        <w:rPr>
          <w:lang w:val="fr-FR"/>
        </w:rPr>
        <w:t>éventuelle reconnaissance de l</w:t>
      </w:r>
      <w:r>
        <w:rPr>
          <w:lang w:val="fr-FR"/>
        </w:rPr>
        <w:t>’</w:t>
      </w:r>
      <w:r w:rsidRPr="00F10460">
        <w:rPr>
          <w:lang w:val="fr-FR"/>
        </w:rPr>
        <w:t>équivalence entre les brevets maritimes pour les navires-citernes pour le transport de gaz ou de produits chimiques délivrés au titre de la Convention STCW</w:t>
      </w:r>
      <w:r w:rsidRPr="00F3729A">
        <w:rPr>
          <w:rStyle w:val="Appelnotedebasdep"/>
        </w:rPr>
        <w:footnoteReference w:id="6"/>
      </w:r>
      <w:r w:rsidRPr="00F10460">
        <w:rPr>
          <w:lang w:val="fr-FR"/>
        </w:rPr>
        <w:t xml:space="preserve"> et uniquement les attestations de spécialisation des experts délivrées au titre du 8.2.1.5 et du 8.2.1.7 de l</w:t>
      </w:r>
      <w:r>
        <w:rPr>
          <w:lang w:val="fr-FR"/>
        </w:rPr>
        <w:t>’</w:t>
      </w:r>
      <w:r w:rsidRPr="00F10460">
        <w:rPr>
          <w:lang w:val="fr-FR"/>
        </w:rPr>
        <w:t xml:space="preserve">ADN. </w:t>
      </w:r>
    </w:p>
    <w:p w14:paraId="46215E97" w14:textId="77777777" w:rsidR="00C22589" w:rsidRPr="00F10460" w:rsidRDefault="00C22589" w:rsidP="00C22589">
      <w:pPr>
        <w:pStyle w:val="SingleTxtG"/>
        <w:rPr>
          <w:lang w:val="fr-FR"/>
        </w:rPr>
      </w:pPr>
      <w:r w:rsidRPr="00F10460">
        <w:rPr>
          <w:lang w:val="fr-FR"/>
        </w:rPr>
        <w:t>31.</w:t>
      </w:r>
      <w:r w:rsidRPr="00F10460">
        <w:rPr>
          <w:lang w:val="fr-FR"/>
        </w:rPr>
        <w:tab/>
        <w:t>Le Comité de sécurité a estimé qu</w:t>
      </w:r>
      <w:r>
        <w:rPr>
          <w:lang w:val="fr-FR"/>
        </w:rPr>
        <w:t>’</w:t>
      </w:r>
      <w:r w:rsidRPr="00F10460">
        <w:rPr>
          <w:lang w:val="fr-FR"/>
        </w:rPr>
        <w:t>il n</w:t>
      </w:r>
      <w:r>
        <w:rPr>
          <w:lang w:val="fr-FR"/>
        </w:rPr>
        <w:t>’</w:t>
      </w:r>
      <w:r w:rsidRPr="00F10460">
        <w:rPr>
          <w:lang w:val="fr-FR"/>
        </w:rPr>
        <w:t>y avait pas lieu de clarifier ou de modifier l</w:t>
      </w:r>
      <w:r>
        <w:rPr>
          <w:lang w:val="fr-FR"/>
        </w:rPr>
        <w:t>’</w:t>
      </w:r>
      <w:r w:rsidRPr="00F10460">
        <w:rPr>
          <w:lang w:val="fr-FR"/>
        </w:rPr>
        <w:t>ADN à cet égard.</w:t>
      </w:r>
    </w:p>
    <w:p w14:paraId="0936A08C" w14:textId="77777777" w:rsidR="00C22589" w:rsidRPr="00F10460" w:rsidRDefault="00C22589" w:rsidP="00C22589">
      <w:pPr>
        <w:pStyle w:val="H23G"/>
        <w:rPr>
          <w:lang w:val="fr-FR"/>
        </w:rPr>
      </w:pPr>
      <w:r w:rsidRPr="00F10460">
        <w:rPr>
          <w:lang w:val="fr-FR"/>
        </w:rPr>
        <w:tab/>
        <w:t>8.</w:t>
      </w:r>
      <w:r w:rsidRPr="00F10460">
        <w:rPr>
          <w:lang w:val="fr-FR"/>
        </w:rPr>
        <w:tab/>
      </w:r>
      <w:r w:rsidRPr="00F10460">
        <w:rPr>
          <w:bCs/>
          <w:lang w:val="fr-FR"/>
        </w:rPr>
        <w:t>Attestation relative aux connaissances particulières de l</w:t>
      </w:r>
      <w:r>
        <w:rPr>
          <w:bCs/>
          <w:lang w:val="fr-FR"/>
        </w:rPr>
        <w:t>’</w:t>
      </w:r>
      <w:r w:rsidRPr="00F10460">
        <w:rPr>
          <w:bCs/>
          <w:lang w:val="fr-FR"/>
        </w:rPr>
        <w:t>ADN</w:t>
      </w:r>
      <w:r w:rsidR="00F3729A">
        <w:rPr>
          <w:bCs/>
          <w:lang w:val="fr-FR"/>
        </w:rPr>
        <w:t xml:space="preserve"> </w:t>
      </w:r>
      <w:r w:rsidRPr="00F10460">
        <w:rPr>
          <w:bCs/>
          <w:lang w:val="fr-FR"/>
        </w:rPr>
        <w:t>− Section 8.6.2</w:t>
      </w:r>
      <w:bookmarkStart w:id="50" w:name="_Toc63762800"/>
      <w:bookmarkStart w:id="51" w:name="_Toc64472450"/>
      <w:bookmarkEnd w:id="50"/>
      <w:bookmarkEnd w:id="51"/>
    </w:p>
    <w:p w14:paraId="0FB9DE99" w14:textId="77777777" w:rsidR="00C22589" w:rsidRPr="00F10460" w:rsidRDefault="00C22589" w:rsidP="00F3729A">
      <w:pPr>
        <w:pStyle w:val="SingleTxtG"/>
        <w:tabs>
          <w:tab w:val="left" w:pos="3136"/>
        </w:tabs>
        <w:ind w:left="3136" w:hanging="2002"/>
        <w:jc w:val="left"/>
        <w:rPr>
          <w:lang w:val="fr-FR"/>
        </w:rPr>
      </w:pPr>
      <w:r w:rsidRPr="00F10460">
        <w:rPr>
          <w:i/>
          <w:iCs/>
          <w:lang w:val="fr-FR"/>
        </w:rPr>
        <w:t>Document </w:t>
      </w:r>
      <w:r w:rsidRPr="00F3729A">
        <w:rPr>
          <w:lang w:val="fr-FR"/>
        </w:rPr>
        <w:t>:</w:t>
      </w:r>
      <w:r w:rsidRPr="00F10460">
        <w:rPr>
          <w:lang w:val="fr-FR"/>
        </w:rPr>
        <w:tab/>
        <w:t>ECE/TRANS/WP.15/AC.2/2020/34 (France)</w:t>
      </w:r>
      <w:r>
        <w:rPr>
          <w:lang w:val="fr-FR"/>
        </w:rPr>
        <w:t>.</w:t>
      </w:r>
    </w:p>
    <w:p w14:paraId="689D4ED9" w14:textId="77777777" w:rsidR="00C22589" w:rsidRPr="00F10460" w:rsidRDefault="00C22589" w:rsidP="00C22589">
      <w:pPr>
        <w:pStyle w:val="SingleTxtG"/>
        <w:rPr>
          <w:lang w:val="fr-FR"/>
        </w:rPr>
      </w:pPr>
      <w:r w:rsidRPr="00F10460">
        <w:rPr>
          <w:lang w:val="fr-FR"/>
        </w:rPr>
        <w:t>32.</w:t>
      </w:r>
      <w:r w:rsidRPr="00F10460">
        <w:rPr>
          <w:lang w:val="fr-FR"/>
        </w:rPr>
        <w:tab/>
        <w:t>Le Comité de sécurité a pris note de l</w:t>
      </w:r>
      <w:r>
        <w:rPr>
          <w:lang w:val="fr-FR"/>
        </w:rPr>
        <w:t>’</w:t>
      </w:r>
      <w:r w:rsidRPr="00F10460">
        <w:rPr>
          <w:lang w:val="fr-FR"/>
        </w:rPr>
        <w:t>information communiquée par la France à propos de la nouvelle présentation de son attestation relative aux connaissances particulières de l</w:t>
      </w:r>
      <w:r>
        <w:rPr>
          <w:lang w:val="fr-FR"/>
        </w:rPr>
        <w:t>’</w:t>
      </w:r>
      <w:r w:rsidRPr="00F10460">
        <w:rPr>
          <w:lang w:val="fr-FR"/>
        </w:rPr>
        <w:t>ADN conforme au modèle des certificats de conducteur ADR. Il a été confirmé que la référence correcte à utiliser dans la section « Attestation de base » était le 8.2.1.3.</w:t>
      </w:r>
    </w:p>
    <w:p w14:paraId="75E6CEAB" w14:textId="77777777" w:rsidR="00C22589" w:rsidRPr="00F10460" w:rsidRDefault="00C22589" w:rsidP="00C22589">
      <w:pPr>
        <w:pStyle w:val="H23G"/>
        <w:rPr>
          <w:lang w:val="fr-FR"/>
        </w:rPr>
      </w:pPr>
      <w:r w:rsidRPr="00F10460">
        <w:rPr>
          <w:lang w:val="fr-FR"/>
        </w:rPr>
        <w:tab/>
        <w:t>9.</w:t>
      </w:r>
      <w:r w:rsidRPr="00F10460">
        <w:rPr>
          <w:lang w:val="fr-FR"/>
        </w:rPr>
        <w:tab/>
      </w:r>
      <w:r w:rsidRPr="00F10460">
        <w:rPr>
          <w:bCs/>
          <w:lang w:val="fr-FR"/>
        </w:rPr>
        <w:t>Renouvellement du certificat d</w:t>
      </w:r>
      <w:r>
        <w:rPr>
          <w:bCs/>
          <w:lang w:val="fr-FR"/>
        </w:rPr>
        <w:t>’</w:t>
      </w:r>
      <w:r w:rsidRPr="00F10460">
        <w:rPr>
          <w:bCs/>
          <w:lang w:val="fr-FR"/>
        </w:rPr>
        <w:t>agrément</w:t>
      </w:r>
      <w:r w:rsidR="00F3729A">
        <w:rPr>
          <w:bCs/>
          <w:lang w:val="fr-FR"/>
        </w:rPr>
        <w:t xml:space="preserve"> </w:t>
      </w:r>
      <w:r w:rsidRPr="00F10460">
        <w:rPr>
          <w:bCs/>
          <w:lang w:val="fr-FR"/>
        </w:rPr>
        <w:t>− Section 1.16.10 du Règlement annexé</w:t>
      </w:r>
      <w:bookmarkStart w:id="52" w:name="_Toc63762801"/>
      <w:bookmarkStart w:id="53" w:name="_Toc64472451"/>
      <w:bookmarkEnd w:id="52"/>
      <w:bookmarkEnd w:id="53"/>
    </w:p>
    <w:p w14:paraId="32936F48" w14:textId="77777777" w:rsidR="00C22589" w:rsidRPr="00F10460" w:rsidRDefault="00C22589" w:rsidP="00F3729A">
      <w:pPr>
        <w:pStyle w:val="SingleTxtG"/>
        <w:tabs>
          <w:tab w:val="left" w:pos="3136"/>
        </w:tabs>
        <w:ind w:left="3136" w:hanging="2002"/>
        <w:jc w:val="left"/>
        <w:rPr>
          <w:lang w:val="fr-FR"/>
        </w:rPr>
      </w:pPr>
      <w:r w:rsidRPr="00F10460">
        <w:rPr>
          <w:i/>
          <w:iCs/>
          <w:lang w:val="fr-FR"/>
        </w:rPr>
        <w:t>Document </w:t>
      </w:r>
      <w:r w:rsidRPr="00F3729A">
        <w:rPr>
          <w:lang w:val="fr-FR"/>
        </w:rPr>
        <w:t>:</w:t>
      </w:r>
      <w:r w:rsidRPr="00F10460">
        <w:rPr>
          <w:lang w:val="fr-FR"/>
        </w:rPr>
        <w:tab/>
        <w:t>ECE/TRANS/WP.15/AC.2/2020/35 (France)</w:t>
      </w:r>
      <w:r>
        <w:rPr>
          <w:lang w:val="fr-FR"/>
        </w:rPr>
        <w:t>.</w:t>
      </w:r>
    </w:p>
    <w:p w14:paraId="5D20EC0E" w14:textId="77777777" w:rsidR="00C22589" w:rsidRPr="00F10460" w:rsidRDefault="00C22589" w:rsidP="00C22589">
      <w:pPr>
        <w:pStyle w:val="SingleTxtG"/>
        <w:rPr>
          <w:lang w:val="fr-FR"/>
        </w:rPr>
      </w:pPr>
      <w:r w:rsidRPr="00F10460">
        <w:rPr>
          <w:lang w:val="fr-FR"/>
        </w:rPr>
        <w:t>33.</w:t>
      </w:r>
      <w:r w:rsidRPr="00F10460">
        <w:rPr>
          <w:lang w:val="fr-FR"/>
        </w:rPr>
        <w:tab/>
        <w:t>Le Comité de sécurité a confirmé que c</w:t>
      </w:r>
      <w:r>
        <w:rPr>
          <w:lang w:val="fr-FR"/>
        </w:rPr>
        <w:t>’</w:t>
      </w:r>
      <w:r w:rsidRPr="00F10460">
        <w:rPr>
          <w:lang w:val="fr-FR"/>
        </w:rPr>
        <w:t>était à l</w:t>
      </w:r>
      <w:r>
        <w:rPr>
          <w:lang w:val="fr-FR"/>
        </w:rPr>
        <w:t>’</w:t>
      </w:r>
      <w:r w:rsidRPr="00F10460">
        <w:rPr>
          <w:lang w:val="fr-FR"/>
        </w:rPr>
        <w:t>autorité compétente de définir les documents pour la visite périodique et le renouvellement du certificat d</w:t>
      </w:r>
      <w:r>
        <w:rPr>
          <w:lang w:val="fr-FR"/>
        </w:rPr>
        <w:t>’</w:t>
      </w:r>
      <w:r w:rsidRPr="00F10460">
        <w:rPr>
          <w:lang w:val="fr-FR"/>
        </w:rPr>
        <w:t>agrément, en général sur la base de versions actualisées des documents exigés au 1.16.5.</w:t>
      </w:r>
    </w:p>
    <w:p w14:paraId="530CB930" w14:textId="77777777" w:rsidR="00C22589" w:rsidRPr="00F10460" w:rsidRDefault="00C22589" w:rsidP="00C22589">
      <w:pPr>
        <w:pStyle w:val="H23G"/>
        <w:rPr>
          <w:lang w:val="fr-FR"/>
        </w:rPr>
      </w:pPr>
      <w:r w:rsidRPr="00F10460">
        <w:rPr>
          <w:lang w:val="fr-FR"/>
        </w:rPr>
        <w:tab/>
        <w:t>10.</w:t>
      </w:r>
      <w:r w:rsidRPr="00F10460">
        <w:rPr>
          <w:lang w:val="fr-FR"/>
        </w:rPr>
        <w:tab/>
      </w:r>
      <w:r w:rsidRPr="00F10460">
        <w:rPr>
          <w:bCs/>
          <w:lang w:val="fr-FR"/>
        </w:rPr>
        <w:t>Interprétation du 9.3.3.12.2</w:t>
      </w:r>
      <w:bookmarkStart w:id="54" w:name="_Toc63762802"/>
      <w:bookmarkStart w:id="55" w:name="_Toc64472452"/>
      <w:bookmarkEnd w:id="54"/>
      <w:bookmarkEnd w:id="55"/>
    </w:p>
    <w:p w14:paraId="2A295A0E" w14:textId="77777777" w:rsidR="00C22589" w:rsidRPr="00F10460" w:rsidRDefault="00C22589" w:rsidP="00F3729A">
      <w:pPr>
        <w:pStyle w:val="SingleTxtG"/>
        <w:tabs>
          <w:tab w:val="left" w:pos="3136"/>
        </w:tabs>
        <w:ind w:left="3136" w:hanging="2002"/>
        <w:jc w:val="left"/>
        <w:rPr>
          <w:lang w:val="fr-FR"/>
        </w:rPr>
      </w:pPr>
      <w:r w:rsidRPr="00F10460">
        <w:rPr>
          <w:i/>
          <w:iCs/>
          <w:lang w:val="fr-FR"/>
        </w:rPr>
        <w:t>Document </w:t>
      </w:r>
      <w:r w:rsidRPr="00F3729A">
        <w:rPr>
          <w:lang w:val="fr-FR"/>
        </w:rPr>
        <w:t>:</w:t>
      </w:r>
      <w:r w:rsidRPr="00F10460">
        <w:rPr>
          <w:lang w:val="fr-FR"/>
        </w:rPr>
        <w:tab/>
        <w:t>ECE/TRANS/WP.15/AC.2/2021/10 (sociétés de classification ADN recommandées)</w:t>
      </w:r>
      <w:r>
        <w:rPr>
          <w:lang w:val="fr-FR"/>
        </w:rPr>
        <w:t>.</w:t>
      </w:r>
    </w:p>
    <w:p w14:paraId="0F7088FB" w14:textId="77777777" w:rsidR="00C22589" w:rsidRPr="00F10460" w:rsidRDefault="00C22589" w:rsidP="00C22589">
      <w:pPr>
        <w:pStyle w:val="SingleTxtG"/>
        <w:rPr>
          <w:lang w:val="fr-FR"/>
        </w:rPr>
      </w:pPr>
      <w:r w:rsidRPr="00F10460">
        <w:rPr>
          <w:lang w:val="fr-FR"/>
        </w:rPr>
        <w:t>34.</w:t>
      </w:r>
      <w:r w:rsidRPr="00F10460">
        <w:rPr>
          <w:lang w:val="fr-FR"/>
        </w:rPr>
        <w:tab/>
        <w:t>Le Comité de sécurité a précisé que, contrairement au Règlement annexé à l</w:t>
      </w:r>
      <w:r>
        <w:rPr>
          <w:lang w:val="fr-FR"/>
        </w:rPr>
        <w:t>’</w:t>
      </w:r>
      <w:r w:rsidRPr="00F10460">
        <w:rPr>
          <w:lang w:val="fr-FR"/>
        </w:rPr>
        <w:t>ADN, les interprétations étaient considérées comme des recommandations sur des questions examinées lors des sessions, et qu</w:t>
      </w:r>
      <w:r>
        <w:rPr>
          <w:lang w:val="fr-FR"/>
        </w:rPr>
        <w:t>’</w:t>
      </w:r>
      <w:r w:rsidRPr="00F10460">
        <w:rPr>
          <w:lang w:val="fr-FR"/>
        </w:rPr>
        <w:t>elles étaient destinées à guider les autorités compétentes dans leurs décisions sur des points particuliers. Il a également été précisé que les questions d</w:t>
      </w:r>
      <w:r>
        <w:rPr>
          <w:lang w:val="fr-FR"/>
        </w:rPr>
        <w:t>’</w:t>
      </w:r>
      <w:r w:rsidRPr="00F10460">
        <w:rPr>
          <w:lang w:val="fr-FR"/>
        </w:rPr>
        <w:t>interprétation débouchant sur une modification ultérieure du Règlement ADN ne faisaient en principe pas l</w:t>
      </w:r>
      <w:r>
        <w:rPr>
          <w:lang w:val="fr-FR"/>
        </w:rPr>
        <w:t>’</w:t>
      </w:r>
      <w:r w:rsidRPr="00F10460">
        <w:rPr>
          <w:lang w:val="fr-FR"/>
        </w:rPr>
        <w:t>objet d</w:t>
      </w:r>
      <w:r>
        <w:rPr>
          <w:lang w:val="fr-FR"/>
        </w:rPr>
        <w:t>’</w:t>
      </w:r>
      <w:r w:rsidRPr="00F10460">
        <w:rPr>
          <w:lang w:val="fr-FR"/>
        </w:rPr>
        <w:t>une publication. Dans le cas d</w:t>
      </w:r>
      <w:r>
        <w:rPr>
          <w:lang w:val="fr-FR"/>
        </w:rPr>
        <w:t>’</w:t>
      </w:r>
      <w:r w:rsidRPr="00F10460">
        <w:rPr>
          <w:lang w:val="fr-FR"/>
        </w:rPr>
        <w:t>interprétations ne justifiant pas de modification de l</w:t>
      </w:r>
      <w:r>
        <w:rPr>
          <w:lang w:val="fr-FR"/>
        </w:rPr>
        <w:t>’</w:t>
      </w:r>
      <w:r w:rsidRPr="00F10460">
        <w:rPr>
          <w:lang w:val="fr-FR"/>
        </w:rPr>
        <w:t>ADN, le Comité de sécurité peut dans certains cas envisager de publier ses interprétations sur le site Web de la CEE, sous réserve d</w:t>
      </w:r>
      <w:r>
        <w:rPr>
          <w:lang w:val="fr-FR"/>
        </w:rPr>
        <w:t>’</w:t>
      </w:r>
      <w:r w:rsidRPr="00F10460">
        <w:rPr>
          <w:lang w:val="fr-FR"/>
        </w:rPr>
        <w:t>une décision spécifique.</w:t>
      </w:r>
    </w:p>
    <w:p w14:paraId="6B43BA01" w14:textId="77777777" w:rsidR="00C22589" w:rsidRPr="00F10460" w:rsidRDefault="00C22589" w:rsidP="00C22589">
      <w:pPr>
        <w:pStyle w:val="SingleTxtG"/>
        <w:rPr>
          <w:lang w:val="fr-FR"/>
        </w:rPr>
      </w:pPr>
      <w:r w:rsidRPr="00F10460">
        <w:rPr>
          <w:lang w:val="fr-FR"/>
        </w:rPr>
        <w:t>35.</w:t>
      </w:r>
      <w:r w:rsidRPr="00F10460">
        <w:rPr>
          <w:lang w:val="fr-FR"/>
        </w:rPr>
        <w:tab/>
        <w:t xml:space="preserve">Le secrétariat a rappelé au Comité de sécurité la nouvelle structure et la nouvelle présentation du site Web de la CEE, en particulier la page consacrée aux interprétations, et </w:t>
      </w:r>
      <w:r w:rsidRPr="00F10460">
        <w:rPr>
          <w:lang w:val="fr-FR"/>
        </w:rPr>
        <w:lastRenderedPageBreak/>
        <w:t>invité tous les membres à faire part de leurs observations sur les améliorations possibles de la présentation et du contenu de cette page.</w:t>
      </w:r>
    </w:p>
    <w:p w14:paraId="2043BABE" w14:textId="77777777" w:rsidR="00C22589" w:rsidRPr="00F10460" w:rsidRDefault="00C22589" w:rsidP="00C22589">
      <w:pPr>
        <w:pStyle w:val="SingleTxtG"/>
        <w:rPr>
          <w:lang w:val="fr-FR"/>
        </w:rPr>
      </w:pPr>
      <w:r w:rsidRPr="00F10460">
        <w:rPr>
          <w:lang w:val="fr-FR"/>
        </w:rPr>
        <w:t>36.</w:t>
      </w:r>
      <w:r w:rsidRPr="00F10460">
        <w:rPr>
          <w:lang w:val="fr-FR"/>
        </w:rPr>
        <w:tab/>
        <w:t>En ce qui concerne le document ECE/TRANS/WP.15/AC.2/2021/10, les sociétés de classification ADN recommandées ont été invitées à élaborer si nécessaire une proposition d</w:t>
      </w:r>
      <w:r>
        <w:rPr>
          <w:lang w:val="fr-FR"/>
        </w:rPr>
        <w:t>’</w:t>
      </w:r>
      <w:r w:rsidRPr="00F10460">
        <w:rPr>
          <w:lang w:val="fr-FR"/>
        </w:rPr>
        <w:t>amendements pour examen par le Comité de sécurité lors d</w:t>
      </w:r>
      <w:r>
        <w:rPr>
          <w:lang w:val="fr-FR"/>
        </w:rPr>
        <w:t>’</w:t>
      </w:r>
      <w:r w:rsidRPr="00F10460">
        <w:rPr>
          <w:lang w:val="fr-FR"/>
        </w:rPr>
        <w:t>une session ultérieure.</w:t>
      </w:r>
    </w:p>
    <w:p w14:paraId="615FC098" w14:textId="77777777" w:rsidR="00C22589" w:rsidRPr="00F10460" w:rsidRDefault="00C22589" w:rsidP="00C22589">
      <w:pPr>
        <w:pStyle w:val="H23G"/>
        <w:rPr>
          <w:lang w:val="fr-FR"/>
        </w:rPr>
      </w:pPr>
      <w:r w:rsidRPr="00F10460">
        <w:rPr>
          <w:lang w:val="fr-FR"/>
        </w:rPr>
        <w:tab/>
        <w:t>11.</w:t>
      </w:r>
      <w:r w:rsidRPr="00F10460">
        <w:rPr>
          <w:lang w:val="fr-FR"/>
        </w:rPr>
        <w:tab/>
      </w:r>
      <w:r w:rsidRPr="00F10460">
        <w:rPr>
          <w:bCs/>
          <w:lang w:val="fr-FR"/>
        </w:rPr>
        <w:t>Sous-section 8.1.2.2 de l</w:t>
      </w:r>
      <w:r>
        <w:rPr>
          <w:bCs/>
          <w:lang w:val="fr-FR"/>
        </w:rPr>
        <w:t>’</w:t>
      </w:r>
      <w:r w:rsidRPr="00F10460">
        <w:rPr>
          <w:bCs/>
          <w:lang w:val="fr-FR"/>
        </w:rPr>
        <w:t>ADN</w:t>
      </w:r>
      <w:r w:rsidR="00F3729A">
        <w:rPr>
          <w:bCs/>
          <w:lang w:val="fr-FR"/>
        </w:rPr>
        <w:t xml:space="preserve"> </w:t>
      </w:r>
      <w:r w:rsidRPr="00F10460">
        <w:rPr>
          <w:bCs/>
          <w:lang w:val="fr-FR"/>
        </w:rPr>
        <w:t>−</w:t>
      </w:r>
      <w:r w:rsidR="00F3729A">
        <w:rPr>
          <w:bCs/>
          <w:lang w:val="fr-FR"/>
        </w:rPr>
        <w:t> </w:t>
      </w:r>
      <w:r w:rsidRPr="00F10460">
        <w:rPr>
          <w:bCs/>
          <w:lang w:val="fr-FR"/>
        </w:rPr>
        <w:t xml:space="preserve">Documents devant se trouver à bord des bateaux </w:t>
      </w:r>
      <w:r w:rsidR="00F3729A">
        <w:rPr>
          <w:bCs/>
          <w:lang w:val="fr-FR"/>
        </w:rPr>
        <w:br/>
      </w:r>
      <w:r w:rsidRPr="00F10460">
        <w:rPr>
          <w:bCs/>
          <w:lang w:val="fr-FR"/>
        </w:rPr>
        <w:t>à marchandises sèches</w:t>
      </w:r>
      <w:r w:rsidR="00F3729A">
        <w:rPr>
          <w:bCs/>
          <w:lang w:val="fr-FR"/>
        </w:rPr>
        <w:t> </w:t>
      </w:r>
      <w:r w:rsidRPr="00F10460">
        <w:rPr>
          <w:bCs/>
          <w:lang w:val="fr-FR"/>
        </w:rPr>
        <w:t>− Protection anti-explosion</w:t>
      </w:r>
      <w:bookmarkStart w:id="56" w:name="_Toc63762803"/>
      <w:bookmarkStart w:id="57" w:name="_Toc64472453"/>
      <w:bookmarkEnd w:id="56"/>
      <w:bookmarkEnd w:id="57"/>
    </w:p>
    <w:p w14:paraId="316C828D" w14:textId="77777777" w:rsidR="00C22589" w:rsidRPr="00F10460" w:rsidRDefault="00C22589" w:rsidP="00F3729A">
      <w:pPr>
        <w:pStyle w:val="SingleTxtG"/>
        <w:tabs>
          <w:tab w:val="left" w:pos="3136"/>
        </w:tabs>
        <w:ind w:left="3136" w:hanging="2002"/>
        <w:jc w:val="left"/>
        <w:rPr>
          <w:lang w:val="fr-FR"/>
        </w:rPr>
      </w:pPr>
      <w:r w:rsidRPr="00F10460">
        <w:rPr>
          <w:i/>
          <w:iCs/>
          <w:lang w:val="fr-FR"/>
        </w:rPr>
        <w:t>Document informel </w:t>
      </w:r>
      <w:r w:rsidRPr="00F3729A">
        <w:rPr>
          <w:lang w:val="fr-FR"/>
        </w:rPr>
        <w:t>:</w:t>
      </w:r>
      <w:r w:rsidRPr="00F10460">
        <w:rPr>
          <w:lang w:val="fr-FR"/>
        </w:rPr>
        <w:tab/>
        <w:t>INF.3 (Allemagne)</w:t>
      </w:r>
      <w:r>
        <w:rPr>
          <w:lang w:val="fr-FR"/>
        </w:rPr>
        <w:t>.</w:t>
      </w:r>
    </w:p>
    <w:p w14:paraId="2AD93450" w14:textId="77777777" w:rsidR="00C22589" w:rsidRPr="00F10460" w:rsidRDefault="00C22589" w:rsidP="00C22589">
      <w:pPr>
        <w:pStyle w:val="SingleTxtG"/>
        <w:rPr>
          <w:lang w:val="fr-FR"/>
        </w:rPr>
      </w:pPr>
      <w:r w:rsidRPr="00F10460">
        <w:rPr>
          <w:lang w:val="fr-FR"/>
        </w:rPr>
        <w:t>37.</w:t>
      </w:r>
      <w:r w:rsidRPr="00F10460">
        <w:rPr>
          <w:lang w:val="fr-FR"/>
        </w:rPr>
        <w:tab/>
        <w:t>Le Comité de sécurité s</w:t>
      </w:r>
      <w:r>
        <w:rPr>
          <w:lang w:val="fr-FR"/>
        </w:rPr>
        <w:t>’</w:t>
      </w:r>
      <w:r w:rsidRPr="00F10460">
        <w:rPr>
          <w:lang w:val="fr-FR"/>
        </w:rPr>
        <w:t>est prononcé en faveur de solutions fondées sur les matières à transporter. Le représentant de l</w:t>
      </w:r>
      <w:r>
        <w:rPr>
          <w:lang w:val="fr-FR"/>
        </w:rPr>
        <w:t>’</w:t>
      </w:r>
      <w:r w:rsidRPr="00F10460">
        <w:rPr>
          <w:lang w:val="fr-FR"/>
        </w:rPr>
        <w:t>Allemagne s</w:t>
      </w:r>
      <w:r>
        <w:rPr>
          <w:lang w:val="fr-FR"/>
        </w:rPr>
        <w:t>’</w:t>
      </w:r>
      <w:r w:rsidRPr="00F10460">
        <w:rPr>
          <w:lang w:val="fr-FR"/>
        </w:rPr>
        <w:t>est porté volontaire pour élaborer, conjointement avec les Pays-Bas, l</w:t>
      </w:r>
      <w:r>
        <w:rPr>
          <w:lang w:val="fr-FR"/>
        </w:rPr>
        <w:t>’</w:t>
      </w:r>
      <w:r w:rsidRPr="00F10460">
        <w:rPr>
          <w:lang w:val="fr-FR"/>
        </w:rPr>
        <w:t>UENF et l</w:t>
      </w:r>
      <w:r>
        <w:rPr>
          <w:lang w:val="fr-FR"/>
        </w:rPr>
        <w:t>’</w:t>
      </w:r>
      <w:r w:rsidRPr="00F10460">
        <w:rPr>
          <w:lang w:val="fr-FR"/>
        </w:rPr>
        <w:t>OEB, une proposition d</w:t>
      </w:r>
      <w:r>
        <w:rPr>
          <w:lang w:val="fr-FR"/>
        </w:rPr>
        <w:t>’</w:t>
      </w:r>
      <w:r w:rsidRPr="00F10460">
        <w:rPr>
          <w:lang w:val="fr-FR"/>
        </w:rPr>
        <w:t>amendements à l</w:t>
      </w:r>
      <w:r>
        <w:rPr>
          <w:lang w:val="fr-FR"/>
        </w:rPr>
        <w:t>’</w:t>
      </w:r>
      <w:r w:rsidRPr="00F10460">
        <w:rPr>
          <w:lang w:val="fr-FR"/>
        </w:rPr>
        <w:t>ADN (voir par. 11 et 12 du document informel INF.3), avec inclusion éventuelle d</w:t>
      </w:r>
      <w:r>
        <w:rPr>
          <w:lang w:val="fr-FR"/>
        </w:rPr>
        <w:t>’</w:t>
      </w:r>
      <w:r w:rsidRPr="00F10460">
        <w:rPr>
          <w:lang w:val="fr-FR"/>
        </w:rPr>
        <w:t>une référence à la définition de la zone protégée pour les bateaux à cargaison sèche au 8.1.2.2.</w:t>
      </w:r>
    </w:p>
    <w:p w14:paraId="69B8B9C6" w14:textId="77777777" w:rsidR="00C22589" w:rsidRPr="00F10460" w:rsidRDefault="00C22589" w:rsidP="00C22589">
      <w:pPr>
        <w:pStyle w:val="SingleTxtG"/>
        <w:rPr>
          <w:lang w:val="fr-FR"/>
        </w:rPr>
      </w:pPr>
      <w:r w:rsidRPr="00F10460">
        <w:rPr>
          <w:lang w:val="fr-FR"/>
        </w:rPr>
        <w:t>38.</w:t>
      </w:r>
      <w:r w:rsidRPr="00F10460">
        <w:rPr>
          <w:lang w:val="fr-FR"/>
        </w:rPr>
        <w:tab/>
        <w:t>Le Comité de sécurité a accepté de reprendre les discussions sur cette question lors de la session à venir, sur la base d</w:t>
      </w:r>
      <w:r>
        <w:rPr>
          <w:lang w:val="fr-FR"/>
        </w:rPr>
        <w:t>’</w:t>
      </w:r>
      <w:r w:rsidRPr="00F10460">
        <w:rPr>
          <w:lang w:val="fr-FR"/>
        </w:rPr>
        <w:t>une proposition de l</w:t>
      </w:r>
      <w:r>
        <w:rPr>
          <w:lang w:val="fr-FR"/>
        </w:rPr>
        <w:t>’</w:t>
      </w:r>
      <w:r w:rsidRPr="00F10460">
        <w:rPr>
          <w:lang w:val="fr-FR"/>
        </w:rPr>
        <w:t>Allemagne.</w:t>
      </w:r>
    </w:p>
    <w:p w14:paraId="6EBBE387" w14:textId="77777777" w:rsidR="00C22589" w:rsidRPr="00F10460" w:rsidRDefault="00C22589" w:rsidP="00C22589">
      <w:pPr>
        <w:pStyle w:val="H23G"/>
        <w:rPr>
          <w:lang w:val="fr-FR"/>
        </w:rPr>
      </w:pPr>
      <w:r w:rsidRPr="00F10460">
        <w:rPr>
          <w:lang w:val="fr-FR"/>
        </w:rPr>
        <w:tab/>
        <w:t>12.</w:t>
      </w:r>
      <w:r w:rsidRPr="00F10460">
        <w:rPr>
          <w:lang w:val="fr-FR"/>
        </w:rPr>
        <w:tab/>
      </w:r>
      <w:r w:rsidRPr="00F10460">
        <w:rPr>
          <w:bCs/>
          <w:lang w:val="fr-FR"/>
        </w:rPr>
        <w:t>Sous-section 9.3.x.0 de l</w:t>
      </w:r>
      <w:r>
        <w:rPr>
          <w:bCs/>
          <w:lang w:val="fr-FR"/>
        </w:rPr>
        <w:t>’</w:t>
      </w:r>
      <w:r w:rsidRPr="00F10460">
        <w:rPr>
          <w:bCs/>
          <w:lang w:val="fr-FR"/>
        </w:rPr>
        <w:t>ADN</w:t>
      </w:r>
      <w:r w:rsidR="00F3729A">
        <w:rPr>
          <w:bCs/>
          <w:lang w:val="fr-FR"/>
        </w:rPr>
        <w:t xml:space="preserve"> </w:t>
      </w:r>
      <w:r w:rsidRPr="00F10460">
        <w:rPr>
          <w:bCs/>
          <w:lang w:val="fr-FR"/>
        </w:rPr>
        <w:t xml:space="preserve">− Matériaux de construction pour les canots </w:t>
      </w:r>
      <w:r w:rsidR="00F3729A">
        <w:rPr>
          <w:bCs/>
          <w:lang w:val="fr-FR"/>
        </w:rPr>
        <w:br/>
      </w:r>
      <w:r w:rsidRPr="00F10460">
        <w:rPr>
          <w:bCs/>
          <w:lang w:val="fr-FR"/>
        </w:rPr>
        <w:t>de sauvetage et ajout de l</w:t>
      </w:r>
      <w:r>
        <w:rPr>
          <w:bCs/>
          <w:lang w:val="fr-FR"/>
        </w:rPr>
        <w:t>’</w:t>
      </w:r>
      <w:r w:rsidRPr="00F10460">
        <w:rPr>
          <w:bCs/>
          <w:lang w:val="fr-FR"/>
        </w:rPr>
        <w:t xml:space="preserve">utilisation de matériaux dans la zone </w:t>
      </w:r>
      <w:r w:rsidR="00F3729A">
        <w:rPr>
          <w:bCs/>
          <w:lang w:val="fr-FR"/>
        </w:rPr>
        <w:br/>
      </w:r>
      <w:r w:rsidRPr="00F10460">
        <w:rPr>
          <w:bCs/>
          <w:lang w:val="fr-FR"/>
        </w:rPr>
        <w:t>de cargaison des chalands-citernes</w:t>
      </w:r>
      <w:bookmarkStart w:id="58" w:name="_Toc63762804"/>
      <w:bookmarkStart w:id="59" w:name="_Toc64472454"/>
      <w:bookmarkEnd w:id="58"/>
      <w:bookmarkEnd w:id="59"/>
    </w:p>
    <w:p w14:paraId="3914A2E3" w14:textId="77777777" w:rsidR="00C22589" w:rsidRPr="00F10460" w:rsidRDefault="00C22589" w:rsidP="00F3729A">
      <w:pPr>
        <w:pStyle w:val="SingleTxtG"/>
        <w:tabs>
          <w:tab w:val="left" w:pos="3136"/>
        </w:tabs>
        <w:ind w:left="3136" w:hanging="2002"/>
        <w:jc w:val="left"/>
        <w:rPr>
          <w:lang w:val="fr-FR"/>
        </w:rPr>
      </w:pPr>
      <w:r w:rsidRPr="00F10460">
        <w:rPr>
          <w:i/>
          <w:iCs/>
          <w:lang w:val="fr-FR"/>
        </w:rPr>
        <w:t>Documents informels </w:t>
      </w:r>
      <w:r w:rsidRPr="00F3729A">
        <w:rPr>
          <w:lang w:val="fr-FR"/>
        </w:rPr>
        <w:t>:</w:t>
      </w:r>
      <w:r w:rsidRPr="00F10460">
        <w:rPr>
          <w:lang w:val="fr-FR"/>
        </w:rPr>
        <w:tab/>
        <w:t>INF.5 (Allemagne)</w:t>
      </w:r>
      <w:r w:rsidRPr="00F10460">
        <w:rPr>
          <w:lang w:val="fr-FR"/>
        </w:rPr>
        <w:br/>
        <w:t>INF.22 et INF.23 (UENF et OEB)</w:t>
      </w:r>
      <w:r>
        <w:rPr>
          <w:lang w:val="fr-FR"/>
        </w:rPr>
        <w:t>.</w:t>
      </w:r>
    </w:p>
    <w:p w14:paraId="67B9A738" w14:textId="77777777" w:rsidR="00C22589" w:rsidRPr="00F10460" w:rsidRDefault="00C22589" w:rsidP="00C22589">
      <w:pPr>
        <w:pStyle w:val="SingleTxtG"/>
        <w:rPr>
          <w:lang w:val="fr-FR"/>
        </w:rPr>
      </w:pPr>
      <w:r w:rsidRPr="00F10460">
        <w:rPr>
          <w:lang w:val="fr-FR"/>
        </w:rPr>
        <w:t>39.</w:t>
      </w:r>
      <w:r w:rsidRPr="00F10460">
        <w:rPr>
          <w:lang w:val="fr-FR"/>
        </w:rPr>
        <w:tab/>
        <w:t>Le Comité de sécurité a pris note de la prudence générale quant à l</w:t>
      </w:r>
      <w:r>
        <w:rPr>
          <w:lang w:val="fr-FR"/>
        </w:rPr>
        <w:t>’</w:t>
      </w:r>
      <w:r w:rsidRPr="00F10460">
        <w:rPr>
          <w:lang w:val="fr-FR"/>
        </w:rPr>
        <w:t>utilisation, sur les bateaux-citernes transportant des marchandises dangereuses, d</w:t>
      </w:r>
      <w:r>
        <w:rPr>
          <w:lang w:val="fr-FR"/>
        </w:rPr>
        <w:t>’</w:t>
      </w:r>
      <w:r w:rsidRPr="00F10460">
        <w:rPr>
          <w:lang w:val="fr-FR"/>
        </w:rPr>
        <w:t>équipements en alliage d</w:t>
      </w:r>
      <w:r>
        <w:rPr>
          <w:lang w:val="fr-FR"/>
        </w:rPr>
        <w:t>’</w:t>
      </w:r>
      <w:r w:rsidRPr="00F10460">
        <w:rPr>
          <w:lang w:val="fr-FR"/>
        </w:rPr>
        <w:t>aluminium. Le représentant de l</w:t>
      </w:r>
      <w:r>
        <w:rPr>
          <w:lang w:val="fr-FR"/>
        </w:rPr>
        <w:t>’</w:t>
      </w:r>
      <w:r w:rsidRPr="00F10460">
        <w:rPr>
          <w:lang w:val="fr-FR"/>
        </w:rPr>
        <w:t>Autriche a précisé que les canots de sauvetage en alliage d</w:t>
      </w:r>
      <w:r>
        <w:rPr>
          <w:lang w:val="fr-FR"/>
        </w:rPr>
        <w:t>’</w:t>
      </w:r>
      <w:r w:rsidRPr="00F10460">
        <w:rPr>
          <w:lang w:val="fr-FR"/>
        </w:rPr>
        <w:t>aluminium étaient autorisés à l</w:t>
      </w:r>
      <w:r>
        <w:rPr>
          <w:lang w:val="fr-FR"/>
        </w:rPr>
        <w:t>’</w:t>
      </w:r>
      <w:r w:rsidRPr="00F10460">
        <w:rPr>
          <w:lang w:val="fr-FR"/>
        </w:rPr>
        <w:t>extérieur de la zone de cargaison, mais que, s</w:t>
      </w:r>
      <w:r>
        <w:rPr>
          <w:lang w:val="fr-FR"/>
        </w:rPr>
        <w:t>’</w:t>
      </w:r>
      <w:r w:rsidRPr="00F10460">
        <w:rPr>
          <w:lang w:val="fr-FR"/>
        </w:rPr>
        <w:t xml:space="preserve">ils </w:t>
      </w:r>
      <w:r>
        <w:rPr>
          <w:lang w:val="fr-FR"/>
        </w:rPr>
        <w:t>se trouvaient</w:t>
      </w:r>
      <w:r w:rsidRPr="00F10460">
        <w:rPr>
          <w:lang w:val="fr-FR"/>
        </w:rPr>
        <w:t xml:space="preserve"> dans la zone de cargaison, le risque d</w:t>
      </w:r>
      <w:r>
        <w:rPr>
          <w:lang w:val="fr-FR"/>
        </w:rPr>
        <w:t>’</w:t>
      </w:r>
      <w:r w:rsidRPr="00F10460">
        <w:rPr>
          <w:lang w:val="fr-FR"/>
        </w:rPr>
        <w:t>inflammation devait être pris en compte en cas de transport de marchandises inflammables. Le Comité de sécurité a demandé à l</w:t>
      </w:r>
      <w:r>
        <w:rPr>
          <w:lang w:val="fr-FR"/>
        </w:rPr>
        <w:t>’</w:t>
      </w:r>
      <w:r w:rsidRPr="00F10460">
        <w:rPr>
          <w:lang w:val="fr-FR"/>
        </w:rPr>
        <w:t>UENF et à l</w:t>
      </w:r>
      <w:r>
        <w:rPr>
          <w:lang w:val="fr-FR"/>
        </w:rPr>
        <w:t>’</w:t>
      </w:r>
      <w:r w:rsidRPr="00F10460">
        <w:rPr>
          <w:lang w:val="fr-FR"/>
        </w:rPr>
        <w:t>OEB de préparer conjointement avec l</w:t>
      </w:r>
      <w:r>
        <w:rPr>
          <w:lang w:val="fr-FR"/>
        </w:rPr>
        <w:t>’</w:t>
      </w:r>
      <w:r w:rsidRPr="00F10460">
        <w:rPr>
          <w:lang w:val="fr-FR"/>
        </w:rPr>
        <w:t>Allemagne une proposition d</w:t>
      </w:r>
      <w:r>
        <w:rPr>
          <w:lang w:val="fr-FR"/>
        </w:rPr>
        <w:t>’</w:t>
      </w:r>
      <w:r w:rsidRPr="00F10460">
        <w:rPr>
          <w:lang w:val="fr-FR"/>
        </w:rPr>
        <w:t>amendements visant à mettre à jour les tableaux énumérant les matériaux autorisés pour la construction de certains articles utilisés dans la zone de cargaison, au chapitre 9.3 de l</w:t>
      </w:r>
      <w:r>
        <w:rPr>
          <w:lang w:val="fr-FR"/>
        </w:rPr>
        <w:t>’</w:t>
      </w:r>
      <w:r w:rsidRPr="00F10460">
        <w:rPr>
          <w:lang w:val="fr-FR"/>
        </w:rPr>
        <w:t>ADN, et à clarifier les mesures de sécurité qui devraient s</w:t>
      </w:r>
      <w:r>
        <w:rPr>
          <w:lang w:val="fr-FR"/>
        </w:rPr>
        <w:t>’</w:t>
      </w:r>
      <w:r w:rsidRPr="00F10460">
        <w:rPr>
          <w:lang w:val="fr-FR"/>
        </w:rPr>
        <w:t>appliquer lorsque des canots de sauvetage en alliage d</w:t>
      </w:r>
      <w:r>
        <w:rPr>
          <w:lang w:val="fr-FR"/>
        </w:rPr>
        <w:t>’</w:t>
      </w:r>
      <w:r w:rsidRPr="00F10460">
        <w:rPr>
          <w:lang w:val="fr-FR"/>
        </w:rPr>
        <w:t>aluminium sont conservés dans la zone de cargaison.</w:t>
      </w:r>
    </w:p>
    <w:p w14:paraId="5850F77E" w14:textId="77777777" w:rsidR="00C22589" w:rsidRPr="00F10460" w:rsidRDefault="00C22589" w:rsidP="00C22589">
      <w:pPr>
        <w:pStyle w:val="SingleTxtG"/>
        <w:rPr>
          <w:lang w:val="fr-FR"/>
        </w:rPr>
      </w:pPr>
      <w:r w:rsidRPr="00F10460">
        <w:rPr>
          <w:lang w:val="fr-FR"/>
        </w:rPr>
        <w:t>40.</w:t>
      </w:r>
      <w:r w:rsidRPr="00F10460">
        <w:rPr>
          <w:lang w:val="fr-FR"/>
        </w:rPr>
        <w:tab/>
        <w:t>Le représentant de la CCNR a suggéré, conformément au libellé de l</w:t>
      </w:r>
      <w:r>
        <w:rPr>
          <w:lang w:val="fr-FR"/>
        </w:rPr>
        <w:t>’</w:t>
      </w:r>
      <w:r w:rsidRPr="00F10460">
        <w:rPr>
          <w:lang w:val="fr-FR"/>
        </w:rPr>
        <w:t>ES-TRIN, d</w:t>
      </w:r>
      <w:r>
        <w:rPr>
          <w:lang w:val="fr-FR"/>
        </w:rPr>
        <w:t>’</w:t>
      </w:r>
      <w:r w:rsidRPr="00F10460">
        <w:rPr>
          <w:lang w:val="fr-FR"/>
        </w:rPr>
        <w:t>utiliser les mots « ship</w:t>
      </w:r>
      <w:r>
        <w:rPr>
          <w:lang w:val="fr-FR"/>
        </w:rPr>
        <w:t>’</w:t>
      </w:r>
      <w:r w:rsidRPr="00F10460">
        <w:rPr>
          <w:lang w:val="fr-FR"/>
        </w:rPr>
        <w:t>s boat » au lieu de « vessel</w:t>
      </w:r>
      <w:r>
        <w:rPr>
          <w:lang w:val="fr-FR"/>
        </w:rPr>
        <w:t>’</w:t>
      </w:r>
      <w:r w:rsidRPr="00F10460">
        <w:rPr>
          <w:lang w:val="fr-FR"/>
        </w:rPr>
        <w:t>s boat » aux 9.3.1.0.5, 9.3.2.0.5 et 9.3.3.0.5.</w:t>
      </w:r>
    </w:p>
    <w:p w14:paraId="3533890C" w14:textId="77777777" w:rsidR="00C22589" w:rsidRPr="00F10460" w:rsidRDefault="00C22589" w:rsidP="00C22589">
      <w:pPr>
        <w:pStyle w:val="SingleTxtG"/>
        <w:rPr>
          <w:lang w:val="fr-FR"/>
        </w:rPr>
      </w:pPr>
      <w:r w:rsidRPr="00F10460">
        <w:rPr>
          <w:lang w:val="fr-FR"/>
        </w:rPr>
        <w:t>41.</w:t>
      </w:r>
      <w:r w:rsidRPr="00F10460">
        <w:rPr>
          <w:lang w:val="fr-FR"/>
        </w:rPr>
        <w:tab/>
        <w:t>Le représentant de la Fédération de Russie a souligné que les matériaux de construction de l</w:t>
      </w:r>
      <w:r>
        <w:rPr>
          <w:lang w:val="fr-FR"/>
        </w:rPr>
        <w:t>’</w:t>
      </w:r>
      <w:r w:rsidRPr="00F10460">
        <w:rPr>
          <w:lang w:val="fr-FR"/>
        </w:rPr>
        <w:t>équipement utilisé dans la zone de cargaison ne devaient pas être facilement inflammables et que le Règlement annexé à l</w:t>
      </w:r>
      <w:r>
        <w:rPr>
          <w:lang w:val="fr-FR"/>
        </w:rPr>
        <w:t>’</w:t>
      </w:r>
      <w:r w:rsidRPr="00F10460">
        <w:rPr>
          <w:lang w:val="fr-FR"/>
        </w:rPr>
        <w:t>ADN devait énoncer clairement ce principe. Le Comité de sécurité a convenu de la nécessité de clarifier ce point et de poursuivre les discussions sur cette question lors de la session à venir, sur la base d</w:t>
      </w:r>
      <w:r>
        <w:rPr>
          <w:lang w:val="fr-FR"/>
        </w:rPr>
        <w:t>’</w:t>
      </w:r>
      <w:r w:rsidRPr="00F10460">
        <w:rPr>
          <w:lang w:val="fr-FR"/>
        </w:rPr>
        <w:t>une proposition de l</w:t>
      </w:r>
      <w:r>
        <w:rPr>
          <w:lang w:val="fr-FR"/>
        </w:rPr>
        <w:t>’</w:t>
      </w:r>
      <w:r w:rsidRPr="00F10460">
        <w:rPr>
          <w:lang w:val="fr-FR"/>
        </w:rPr>
        <w:t>Allemagne.</w:t>
      </w:r>
    </w:p>
    <w:p w14:paraId="151D56E5" w14:textId="77777777" w:rsidR="00C22589" w:rsidRPr="00F10460" w:rsidRDefault="00C22589" w:rsidP="00C22589">
      <w:pPr>
        <w:pStyle w:val="H23G"/>
        <w:rPr>
          <w:lang w:val="fr-FR"/>
        </w:rPr>
      </w:pPr>
      <w:r w:rsidRPr="00F10460">
        <w:rPr>
          <w:lang w:val="fr-FR"/>
        </w:rPr>
        <w:tab/>
        <w:t>13.</w:t>
      </w:r>
      <w:r w:rsidRPr="00F10460">
        <w:rPr>
          <w:lang w:val="fr-FR"/>
        </w:rPr>
        <w:tab/>
      </w:r>
      <w:r w:rsidRPr="00F10460">
        <w:rPr>
          <w:bCs/>
          <w:lang w:val="fr-FR"/>
        </w:rPr>
        <w:t xml:space="preserve">Transport de cargaisons en vrac fumigées dans des cales et cales fumigées </w:t>
      </w:r>
      <w:r w:rsidR="00F3729A">
        <w:rPr>
          <w:bCs/>
          <w:lang w:val="fr-FR"/>
        </w:rPr>
        <w:br/>
      </w:r>
      <w:r w:rsidRPr="00F10460">
        <w:rPr>
          <w:bCs/>
          <w:lang w:val="fr-FR"/>
        </w:rPr>
        <w:t>de bateaux à marchandises sèches</w:t>
      </w:r>
      <w:bookmarkStart w:id="60" w:name="_Toc63762805"/>
      <w:bookmarkStart w:id="61" w:name="_Toc64472455"/>
      <w:bookmarkEnd w:id="60"/>
      <w:bookmarkEnd w:id="61"/>
    </w:p>
    <w:p w14:paraId="219B5840" w14:textId="77777777" w:rsidR="00C22589" w:rsidRPr="00F10460" w:rsidRDefault="00C22589" w:rsidP="00F3729A">
      <w:pPr>
        <w:pStyle w:val="SingleTxtG"/>
        <w:tabs>
          <w:tab w:val="left" w:pos="3136"/>
        </w:tabs>
        <w:ind w:left="3136" w:hanging="2002"/>
        <w:jc w:val="left"/>
        <w:rPr>
          <w:lang w:val="fr-FR"/>
        </w:rPr>
      </w:pPr>
      <w:r w:rsidRPr="00F10460">
        <w:rPr>
          <w:i/>
          <w:iCs/>
          <w:lang w:val="fr-FR"/>
        </w:rPr>
        <w:t>Document informel </w:t>
      </w:r>
      <w:r w:rsidRPr="00F3729A">
        <w:rPr>
          <w:lang w:val="fr-FR"/>
        </w:rPr>
        <w:t>:</w:t>
      </w:r>
      <w:r w:rsidRPr="00F10460">
        <w:rPr>
          <w:lang w:val="fr-FR"/>
        </w:rPr>
        <w:tab/>
        <w:t>INF.7 (Allemagne)</w:t>
      </w:r>
      <w:r>
        <w:rPr>
          <w:lang w:val="fr-FR"/>
        </w:rPr>
        <w:t>.</w:t>
      </w:r>
    </w:p>
    <w:p w14:paraId="5F95468C" w14:textId="77777777" w:rsidR="00C22589" w:rsidRPr="00F10460" w:rsidRDefault="00C22589" w:rsidP="00C22589">
      <w:pPr>
        <w:pStyle w:val="SingleTxtG"/>
        <w:rPr>
          <w:lang w:val="fr-FR"/>
        </w:rPr>
      </w:pPr>
      <w:r w:rsidRPr="00F10460">
        <w:rPr>
          <w:lang w:val="fr-FR"/>
        </w:rPr>
        <w:t>42.</w:t>
      </w:r>
      <w:r w:rsidRPr="00F10460">
        <w:rPr>
          <w:lang w:val="fr-FR"/>
        </w:rPr>
        <w:tab/>
        <w:t>Le Comité de sécurité a accueilli avec intérêt le document de l</w:t>
      </w:r>
      <w:r>
        <w:rPr>
          <w:lang w:val="fr-FR"/>
        </w:rPr>
        <w:t>’</w:t>
      </w:r>
      <w:r w:rsidRPr="00F10460">
        <w:rPr>
          <w:lang w:val="fr-FR"/>
        </w:rPr>
        <w:t xml:space="preserve">Allemagne et a reconnu que le transport en vrac, dans des cales de bateaux de navigation intérieure, de marchandises non dangereuses (produits agricoles, par exemple) fumigées avant leur chargement pouvait présenter des risques. Le représentant des Pays-Bas a </w:t>
      </w:r>
      <w:r>
        <w:rPr>
          <w:lang w:val="fr-FR"/>
        </w:rPr>
        <w:t xml:space="preserve">fait observer </w:t>
      </w:r>
      <w:r w:rsidRPr="00F10460">
        <w:rPr>
          <w:lang w:val="fr-FR"/>
        </w:rPr>
        <w:t>que la fumigation des marchandises (non dangereuses) pendant le voyage devrait être interdite en raison de la législation nationale sur la santé au travail. La manipulation et le transport de marchandises fumigées dans les cales de bateaux à marchandises sèches avaient donné lieu à quelques incidents graves et présentaient des risques pour les équipages des bateaux.</w:t>
      </w:r>
    </w:p>
    <w:p w14:paraId="7CC044A5" w14:textId="77777777" w:rsidR="00C22589" w:rsidRPr="00F10460" w:rsidRDefault="00C22589" w:rsidP="00C22589">
      <w:pPr>
        <w:pStyle w:val="SingleTxtG"/>
        <w:rPr>
          <w:lang w:val="fr-FR"/>
        </w:rPr>
      </w:pPr>
      <w:r w:rsidRPr="00F10460">
        <w:rPr>
          <w:lang w:val="fr-FR"/>
        </w:rPr>
        <w:lastRenderedPageBreak/>
        <w:t>43.</w:t>
      </w:r>
      <w:r w:rsidRPr="00F10460">
        <w:rPr>
          <w:lang w:val="fr-FR"/>
        </w:rPr>
        <w:tab/>
        <w:t>Le représentant de l</w:t>
      </w:r>
      <w:r>
        <w:rPr>
          <w:lang w:val="fr-FR"/>
        </w:rPr>
        <w:t>’</w:t>
      </w:r>
      <w:r w:rsidRPr="00F10460">
        <w:rPr>
          <w:lang w:val="fr-FR"/>
        </w:rPr>
        <w:t>UENF et de l</w:t>
      </w:r>
      <w:r>
        <w:rPr>
          <w:lang w:val="fr-FR"/>
        </w:rPr>
        <w:t>’</w:t>
      </w:r>
      <w:r w:rsidRPr="00F10460">
        <w:rPr>
          <w:lang w:val="fr-FR"/>
        </w:rPr>
        <w:t xml:space="preserve">OEB a dit avoir été étroitement impliqué dans un incident grave </w:t>
      </w:r>
      <w:r>
        <w:rPr>
          <w:lang w:val="fr-FR"/>
        </w:rPr>
        <w:t xml:space="preserve">et </w:t>
      </w:r>
      <w:r w:rsidRPr="00F10460">
        <w:rPr>
          <w:lang w:val="fr-FR"/>
        </w:rPr>
        <w:t>a ajouté que, conformément aux dispositions en vigueur, le transport aurait dû être sans danger. Il a donc exprimé des doutes quant au fait qu</w:t>
      </w:r>
      <w:r>
        <w:rPr>
          <w:lang w:val="fr-FR"/>
        </w:rPr>
        <w:t>’</w:t>
      </w:r>
      <w:r w:rsidRPr="00F10460">
        <w:rPr>
          <w:lang w:val="fr-FR"/>
        </w:rPr>
        <w:t>il soit approprié de traiter de la sécurité des marchandises non dangereuses dans le contexte de l</w:t>
      </w:r>
      <w:r>
        <w:rPr>
          <w:lang w:val="fr-FR"/>
        </w:rPr>
        <w:t>’</w:t>
      </w:r>
      <w:r w:rsidRPr="00F10460">
        <w:rPr>
          <w:lang w:val="fr-FR"/>
        </w:rPr>
        <w:t>ADN, étant donné que les équipages ne sont pas des experts ADN et que, de manière générale, l</w:t>
      </w:r>
      <w:r>
        <w:rPr>
          <w:lang w:val="fr-FR"/>
        </w:rPr>
        <w:t>’</w:t>
      </w:r>
      <w:r w:rsidRPr="00F10460">
        <w:rPr>
          <w:lang w:val="fr-FR"/>
        </w:rPr>
        <w:t>ADN n</w:t>
      </w:r>
      <w:r>
        <w:rPr>
          <w:lang w:val="fr-FR"/>
        </w:rPr>
        <w:t>’</w:t>
      </w:r>
      <w:r w:rsidRPr="00F10460">
        <w:rPr>
          <w:lang w:val="fr-FR"/>
        </w:rPr>
        <w:t>est pas applicable au transport des produits agricoles.</w:t>
      </w:r>
    </w:p>
    <w:p w14:paraId="77165B55" w14:textId="77777777" w:rsidR="00C22589" w:rsidRPr="00F10460" w:rsidRDefault="00C22589" w:rsidP="00C22589">
      <w:pPr>
        <w:pStyle w:val="SingleTxtG"/>
        <w:rPr>
          <w:lang w:val="fr-FR"/>
        </w:rPr>
      </w:pPr>
      <w:r w:rsidRPr="00F10460">
        <w:rPr>
          <w:lang w:val="fr-FR"/>
        </w:rPr>
        <w:t>44.</w:t>
      </w:r>
      <w:r w:rsidRPr="00F10460">
        <w:rPr>
          <w:lang w:val="fr-FR"/>
        </w:rPr>
        <w:tab/>
        <w:t>Le représentant de la Belgique a émis une réserve pour complément d</w:t>
      </w:r>
      <w:r>
        <w:rPr>
          <w:lang w:val="fr-FR"/>
        </w:rPr>
        <w:t>’</w:t>
      </w:r>
      <w:r w:rsidRPr="00F10460">
        <w:rPr>
          <w:lang w:val="fr-FR"/>
        </w:rPr>
        <w:t>étude sur le transport de marchandises fumigées dans des bateaux de plus petite taille et sur la nécessité éventuelle d</w:t>
      </w:r>
      <w:r>
        <w:rPr>
          <w:lang w:val="fr-FR"/>
        </w:rPr>
        <w:t>’</w:t>
      </w:r>
      <w:r w:rsidRPr="00F10460">
        <w:rPr>
          <w:lang w:val="fr-FR"/>
        </w:rPr>
        <w:t>ajouter une dérogation pour ces bateaux.</w:t>
      </w:r>
    </w:p>
    <w:p w14:paraId="2FBAD393" w14:textId="77777777" w:rsidR="00C22589" w:rsidRPr="00F10460" w:rsidRDefault="00C22589" w:rsidP="00C22589">
      <w:pPr>
        <w:pStyle w:val="SingleTxtG"/>
        <w:rPr>
          <w:lang w:val="fr-FR"/>
        </w:rPr>
      </w:pPr>
      <w:r w:rsidRPr="00F10460">
        <w:rPr>
          <w:lang w:val="fr-FR"/>
        </w:rPr>
        <w:t>45.</w:t>
      </w:r>
      <w:r w:rsidRPr="00F10460">
        <w:rPr>
          <w:lang w:val="fr-FR"/>
        </w:rPr>
        <w:tab/>
        <w:t>Le représentant de l</w:t>
      </w:r>
      <w:r>
        <w:rPr>
          <w:lang w:val="fr-FR"/>
        </w:rPr>
        <w:t>’</w:t>
      </w:r>
      <w:r w:rsidRPr="00F10460">
        <w:rPr>
          <w:lang w:val="fr-FR"/>
        </w:rPr>
        <w:t>Allemagne s</w:t>
      </w:r>
      <w:r>
        <w:rPr>
          <w:lang w:val="fr-FR"/>
        </w:rPr>
        <w:t>’</w:t>
      </w:r>
      <w:r w:rsidRPr="00F10460">
        <w:rPr>
          <w:lang w:val="fr-FR"/>
        </w:rPr>
        <w:t>est porté volontaire pour élaborer en vue de la prochaine session une proposition d</w:t>
      </w:r>
      <w:r>
        <w:rPr>
          <w:lang w:val="fr-FR"/>
        </w:rPr>
        <w:t>’</w:t>
      </w:r>
      <w:r w:rsidRPr="00F10460">
        <w:rPr>
          <w:lang w:val="fr-FR"/>
        </w:rPr>
        <w:t xml:space="preserve">amendements visant à renforcer la sécurité concernant les cargaisons fumigées, y compris les dispositions relatives au marquage et les informations communiquées dans le document de transport. </w:t>
      </w:r>
    </w:p>
    <w:p w14:paraId="2D538672" w14:textId="77777777" w:rsidR="00C22589" w:rsidRPr="00F10460" w:rsidRDefault="00C22589" w:rsidP="00C22589">
      <w:pPr>
        <w:pStyle w:val="H23G"/>
        <w:rPr>
          <w:lang w:val="fr-FR"/>
        </w:rPr>
      </w:pPr>
      <w:r w:rsidRPr="00F10460">
        <w:rPr>
          <w:lang w:val="fr-FR"/>
        </w:rPr>
        <w:tab/>
        <w:t>14.</w:t>
      </w:r>
      <w:r w:rsidRPr="00F10460">
        <w:rPr>
          <w:lang w:val="fr-FR"/>
        </w:rPr>
        <w:tab/>
      </w:r>
      <w:r w:rsidRPr="00F10460">
        <w:rPr>
          <w:bCs/>
          <w:lang w:val="fr-FR"/>
        </w:rPr>
        <w:t>Interprétation de l</w:t>
      </w:r>
      <w:r>
        <w:rPr>
          <w:bCs/>
          <w:lang w:val="fr-FR"/>
        </w:rPr>
        <w:t>’</w:t>
      </w:r>
      <w:r w:rsidRPr="00F10460">
        <w:rPr>
          <w:bCs/>
          <w:lang w:val="fr-FR"/>
        </w:rPr>
        <w:t>inspection intermédiaire et contrôle des documents</w:t>
      </w:r>
      <w:r w:rsidR="00F3729A">
        <w:rPr>
          <w:bCs/>
          <w:lang w:val="fr-FR"/>
        </w:rPr>
        <w:t xml:space="preserve"> </w:t>
      </w:r>
      <w:r w:rsidRPr="00F10460">
        <w:rPr>
          <w:bCs/>
          <w:lang w:val="fr-FR"/>
        </w:rPr>
        <w:t>− 8.1.7.2</w:t>
      </w:r>
      <w:bookmarkStart w:id="62" w:name="_Toc63762806"/>
      <w:bookmarkStart w:id="63" w:name="_Toc64472456"/>
      <w:bookmarkEnd w:id="62"/>
      <w:bookmarkEnd w:id="63"/>
    </w:p>
    <w:p w14:paraId="7859874C" w14:textId="77777777" w:rsidR="00C22589" w:rsidRPr="00F10460" w:rsidRDefault="00C22589" w:rsidP="00F3729A">
      <w:pPr>
        <w:pStyle w:val="SingleTxtG"/>
        <w:tabs>
          <w:tab w:val="left" w:pos="3136"/>
        </w:tabs>
        <w:ind w:left="3136" w:hanging="2002"/>
        <w:jc w:val="left"/>
        <w:rPr>
          <w:lang w:val="fr-FR"/>
        </w:rPr>
      </w:pPr>
      <w:r w:rsidRPr="00F10460">
        <w:rPr>
          <w:i/>
          <w:iCs/>
          <w:lang w:val="fr-FR"/>
        </w:rPr>
        <w:t>Document informel</w:t>
      </w:r>
      <w:r w:rsidRPr="00F3729A">
        <w:rPr>
          <w:lang w:val="fr-FR"/>
        </w:rPr>
        <w:t> :</w:t>
      </w:r>
      <w:r w:rsidRPr="00F10460">
        <w:rPr>
          <w:lang w:val="fr-FR"/>
        </w:rPr>
        <w:tab/>
        <w:t>INF.20 (UENF et OEB)</w:t>
      </w:r>
      <w:r>
        <w:rPr>
          <w:lang w:val="fr-FR"/>
        </w:rPr>
        <w:t>.</w:t>
      </w:r>
    </w:p>
    <w:p w14:paraId="1DA85E2E" w14:textId="77777777" w:rsidR="00C22589" w:rsidRPr="00F10460" w:rsidRDefault="00C22589" w:rsidP="00C22589">
      <w:pPr>
        <w:pStyle w:val="SingleTxtG"/>
        <w:rPr>
          <w:lang w:val="fr-FR"/>
        </w:rPr>
      </w:pPr>
      <w:r w:rsidRPr="00F10460">
        <w:rPr>
          <w:lang w:val="fr-FR"/>
        </w:rPr>
        <w:t>46.</w:t>
      </w:r>
      <w:r w:rsidRPr="00F10460">
        <w:rPr>
          <w:lang w:val="fr-FR"/>
        </w:rPr>
        <w:tab/>
        <w:t>Le Comité de sécurité a expliqué que les exigences relatives à l</w:t>
      </w:r>
      <w:r>
        <w:rPr>
          <w:lang w:val="fr-FR"/>
        </w:rPr>
        <w:t>’</w:t>
      </w:r>
      <w:r w:rsidRPr="00F10460">
        <w:rPr>
          <w:lang w:val="fr-FR"/>
        </w:rPr>
        <w:t>inspection étaient plus strictes du fait de la volonté d</w:t>
      </w:r>
      <w:r>
        <w:rPr>
          <w:lang w:val="fr-FR"/>
        </w:rPr>
        <w:t>’</w:t>
      </w:r>
      <w:r w:rsidRPr="00F10460">
        <w:rPr>
          <w:lang w:val="fr-FR"/>
        </w:rPr>
        <w:t>adapter le Règlement annexé à l</w:t>
      </w:r>
      <w:r>
        <w:rPr>
          <w:lang w:val="fr-FR"/>
        </w:rPr>
        <w:t>’</w:t>
      </w:r>
      <w:r w:rsidRPr="00F10460">
        <w:rPr>
          <w:lang w:val="fr-FR"/>
        </w:rPr>
        <w:t>ADN aux dispositions ATEX</w:t>
      </w:r>
      <w:r w:rsidRPr="005F2624">
        <w:rPr>
          <w:rStyle w:val="Appelnotedebasdep"/>
        </w:rPr>
        <w:footnoteReference w:id="7"/>
      </w:r>
      <w:r w:rsidRPr="00F10460">
        <w:rPr>
          <w:lang w:val="fr-FR"/>
        </w:rPr>
        <w:t>. Il a été rappelé que l</w:t>
      </w:r>
      <w:r>
        <w:rPr>
          <w:lang w:val="fr-FR"/>
        </w:rPr>
        <w:t>’</w:t>
      </w:r>
      <w:r w:rsidRPr="00F10460">
        <w:rPr>
          <w:lang w:val="fr-FR"/>
        </w:rPr>
        <w:t>étendue et la fréquence des inspections étaient généralement déterminées par l</w:t>
      </w:r>
      <w:r>
        <w:rPr>
          <w:lang w:val="fr-FR"/>
        </w:rPr>
        <w:t>’</w:t>
      </w:r>
      <w:r w:rsidRPr="00F10460">
        <w:rPr>
          <w:lang w:val="fr-FR"/>
        </w:rPr>
        <w:t>autorité compétente et l</w:t>
      </w:r>
      <w:r>
        <w:rPr>
          <w:lang w:val="fr-FR"/>
        </w:rPr>
        <w:t>’</w:t>
      </w:r>
      <w:r w:rsidRPr="00F10460">
        <w:rPr>
          <w:lang w:val="fr-FR"/>
        </w:rPr>
        <w:t>inspecteur qui effectuait l</w:t>
      </w:r>
      <w:r>
        <w:rPr>
          <w:lang w:val="fr-FR"/>
        </w:rPr>
        <w:t>’</w:t>
      </w:r>
      <w:r w:rsidRPr="00F10460">
        <w:rPr>
          <w:lang w:val="fr-FR"/>
        </w:rPr>
        <w:t>inspection, compte tenu de la situation à bord et éventuellement des instructions du fabricant pour certains équipements. Le représentant de l</w:t>
      </w:r>
      <w:r>
        <w:rPr>
          <w:lang w:val="fr-FR"/>
        </w:rPr>
        <w:t>’</w:t>
      </w:r>
      <w:r w:rsidRPr="00F10460">
        <w:rPr>
          <w:lang w:val="fr-FR"/>
        </w:rPr>
        <w:t>UENF et de l</w:t>
      </w:r>
      <w:r>
        <w:rPr>
          <w:lang w:val="fr-FR"/>
        </w:rPr>
        <w:t>’</w:t>
      </w:r>
      <w:r w:rsidRPr="00F10460">
        <w:rPr>
          <w:lang w:val="fr-FR"/>
        </w:rPr>
        <w:t>OEB a été invité à élaborer un document détaillant l</w:t>
      </w:r>
      <w:r>
        <w:rPr>
          <w:lang w:val="fr-FR"/>
        </w:rPr>
        <w:t>’</w:t>
      </w:r>
      <w:r w:rsidRPr="00F10460">
        <w:rPr>
          <w:lang w:val="fr-FR"/>
        </w:rPr>
        <w:t>étendue des inspections pour examen à la prochaine session.</w:t>
      </w:r>
    </w:p>
    <w:p w14:paraId="5F31D005" w14:textId="77777777" w:rsidR="00C22589" w:rsidRPr="00F10460" w:rsidRDefault="00C22589" w:rsidP="00C22589">
      <w:pPr>
        <w:pStyle w:val="H23G"/>
        <w:rPr>
          <w:lang w:val="fr-FR"/>
        </w:rPr>
      </w:pPr>
      <w:r w:rsidRPr="00F10460">
        <w:rPr>
          <w:lang w:val="fr-FR"/>
        </w:rPr>
        <w:tab/>
        <w:t>15.</w:t>
      </w:r>
      <w:r w:rsidRPr="00F10460">
        <w:rPr>
          <w:lang w:val="fr-FR"/>
        </w:rPr>
        <w:tab/>
      </w:r>
      <w:r w:rsidRPr="00F10460">
        <w:rPr>
          <w:bCs/>
          <w:lang w:val="fr-FR"/>
        </w:rPr>
        <w:t>Ambiguïtés relatives à l</w:t>
      </w:r>
      <w:r>
        <w:rPr>
          <w:bCs/>
          <w:lang w:val="fr-FR"/>
        </w:rPr>
        <w:t>’</w:t>
      </w:r>
      <w:r w:rsidRPr="00F10460">
        <w:rPr>
          <w:bCs/>
          <w:lang w:val="fr-FR"/>
        </w:rPr>
        <w:t xml:space="preserve">application des dispositions transitoires énoncées </w:t>
      </w:r>
      <w:r w:rsidR="00F3729A">
        <w:rPr>
          <w:bCs/>
          <w:lang w:val="fr-FR"/>
        </w:rPr>
        <w:br/>
      </w:r>
      <w:r w:rsidRPr="00F10460">
        <w:rPr>
          <w:bCs/>
          <w:lang w:val="fr-FR"/>
        </w:rPr>
        <w:t>au point 8.1.2.3 pour les documents de transport (barges-citernes)</w:t>
      </w:r>
      <w:bookmarkStart w:id="64" w:name="_Toc63762807"/>
      <w:bookmarkStart w:id="65" w:name="_Toc64472457"/>
      <w:bookmarkEnd w:id="64"/>
      <w:bookmarkEnd w:id="65"/>
    </w:p>
    <w:p w14:paraId="15062A55" w14:textId="77777777" w:rsidR="00C22589" w:rsidRPr="00F10460" w:rsidRDefault="00C22589" w:rsidP="00F3729A">
      <w:pPr>
        <w:pStyle w:val="SingleTxtG"/>
        <w:tabs>
          <w:tab w:val="left" w:pos="3136"/>
        </w:tabs>
        <w:ind w:left="3136" w:hanging="2002"/>
        <w:jc w:val="left"/>
        <w:rPr>
          <w:lang w:val="fr-FR"/>
        </w:rPr>
      </w:pPr>
      <w:r w:rsidRPr="00F10460">
        <w:rPr>
          <w:i/>
          <w:iCs/>
          <w:lang w:val="fr-FR"/>
        </w:rPr>
        <w:t>Document informel</w:t>
      </w:r>
      <w:r w:rsidRPr="00F3729A">
        <w:rPr>
          <w:lang w:val="fr-FR"/>
        </w:rPr>
        <w:t> :</w:t>
      </w:r>
      <w:r w:rsidRPr="00F10460">
        <w:rPr>
          <w:lang w:val="fr-FR"/>
        </w:rPr>
        <w:tab/>
        <w:t>INF.24 (UENF et OEB)</w:t>
      </w:r>
      <w:r>
        <w:rPr>
          <w:lang w:val="fr-FR"/>
        </w:rPr>
        <w:t>.</w:t>
      </w:r>
    </w:p>
    <w:p w14:paraId="2892C28A" w14:textId="77777777" w:rsidR="00C22589" w:rsidRPr="00F10460" w:rsidRDefault="00C22589" w:rsidP="00C22589">
      <w:pPr>
        <w:pStyle w:val="SingleTxtG"/>
        <w:rPr>
          <w:lang w:val="fr-FR"/>
        </w:rPr>
      </w:pPr>
      <w:r w:rsidRPr="00F10460">
        <w:rPr>
          <w:lang w:val="fr-FR"/>
        </w:rPr>
        <w:t>47.</w:t>
      </w:r>
      <w:r w:rsidRPr="00F10460">
        <w:rPr>
          <w:lang w:val="fr-FR"/>
        </w:rPr>
        <w:tab/>
        <w:t>Le Comité de sécurité a convenu de la nécessité de modifier la disposition transitoire énoncée au point 8.1.2.3 u) et a demandé à l</w:t>
      </w:r>
      <w:r>
        <w:rPr>
          <w:lang w:val="fr-FR"/>
        </w:rPr>
        <w:t>’</w:t>
      </w:r>
      <w:r w:rsidRPr="00F10460">
        <w:rPr>
          <w:lang w:val="fr-FR"/>
        </w:rPr>
        <w:t>UENF et à l</w:t>
      </w:r>
      <w:r>
        <w:rPr>
          <w:lang w:val="fr-FR"/>
        </w:rPr>
        <w:t>’</w:t>
      </w:r>
      <w:r w:rsidRPr="00F10460">
        <w:rPr>
          <w:lang w:val="fr-FR"/>
        </w:rPr>
        <w:t>OEB de soumettre un document officiel en vue de la prochaine session.</w:t>
      </w:r>
    </w:p>
    <w:p w14:paraId="213E02CC" w14:textId="77777777" w:rsidR="00C22589" w:rsidRPr="00F10460" w:rsidRDefault="00C22589" w:rsidP="00C22589">
      <w:pPr>
        <w:pStyle w:val="H23G"/>
        <w:rPr>
          <w:lang w:val="fr-FR"/>
        </w:rPr>
      </w:pPr>
      <w:r w:rsidRPr="00F10460">
        <w:rPr>
          <w:lang w:val="fr-FR"/>
        </w:rPr>
        <w:tab/>
        <w:t>16.</w:t>
      </w:r>
      <w:r w:rsidRPr="00F10460">
        <w:rPr>
          <w:lang w:val="fr-FR"/>
        </w:rPr>
        <w:tab/>
      </w:r>
      <w:r w:rsidRPr="00F10460">
        <w:rPr>
          <w:bCs/>
          <w:lang w:val="fr-FR"/>
        </w:rPr>
        <w:t>Critères de stabilité supplémentaires pour certaines matières de la liste des matières du bateau</w:t>
      </w:r>
      <w:bookmarkStart w:id="66" w:name="_Toc63762808"/>
      <w:bookmarkStart w:id="67" w:name="_Toc64472458"/>
      <w:bookmarkEnd w:id="66"/>
      <w:bookmarkEnd w:id="67"/>
    </w:p>
    <w:p w14:paraId="62FE1DB4" w14:textId="77777777" w:rsidR="00C22589" w:rsidRPr="00F10460" w:rsidRDefault="00C22589" w:rsidP="00F3729A">
      <w:pPr>
        <w:pStyle w:val="SingleTxtG"/>
        <w:tabs>
          <w:tab w:val="left" w:pos="3136"/>
        </w:tabs>
        <w:ind w:left="3136" w:hanging="2002"/>
        <w:jc w:val="left"/>
        <w:rPr>
          <w:lang w:val="fr-FR"/>
        </w:rPr>
      </w:pPr>
      <w:r w:rsidRPr="00F10460">
        <w:rPr>
          <w:i/>
          <w:iCs/>
          <w:lang w:val="fr-FR"/>
        </w:rPr>
        <w:t>Document informel </w:t>
      </w:r>
      <w:r w:rsidRPr="00F3729A">
        <w:rPr>
          <w:lang w:val="fr-FR"/>
        </w:rPr>
        <w:t>:</w:t>
      </w:r>
      <w:r w:rsidRPr="00F10460">
        <w:rPr>
          <w:lang w:val="fr-FR"/>
        </w:rPr>
        <w:tab/>
        <w:t>INF.27 (CCNR)</w:t>
      </w:r>
      <w:r>
        <w:rPr>
          <w:lang w:val="fr-FR"/>
        </w:rPr>
        <w:t>.</w:t>
      </w:r>
    </w:p>
    <w:p w14:paraId="49C67B2D" w14:textId="77777777" w:rsidR="00C22589" w:rsidRPr="00F10460" w:rsidRDefault="00C22589" w:rsidP="00C22589">
      <w:pPr>
        <w:pStyle w:val="SingleTxtG"/>
        <w:rPr>
          <w:lang w:val="fr-FR"/>
        </w:rPr>
      </w:pPr>
      <w:r w:rsidRPr="00F10460">
        <w:rPr>
          <w:lang w:val="fr-FR"/>
        </w:rPr>
        <w:t>48.</w:t>
      </w:r>
      <w:r w:rsidRPr="00F10460">
        <w:rPr>
          <w:lang w:val="fr-FR"/>
        </w:rPr>
        <w:tab/>
        <w:t>Le Comité de sécurité a accueilli avec intérêt le document informel INF.27 et a convenu qu</w:t>
      </w:r>
      <w:r>
        <w:rPr>
          <w:lang w:val="fr-FR"/>
        </w:rPr>
        <w:t>’</w:t>
      </w:r>
      <w:r w:rsidRPr="00F10460">
        <w:rPr>
          <w:lang w:val="fr-FR"/>
        </w:rPr>
        <w:t>il n</w:t>
      </w:r>
      <w:r>
        <w:rPr>
          <w:lang w:val="fr-FR"/>
        </w:rPr>
        <w:t>’</w:t>
      </w:r>
      <w:r w:rsidRPr="00F10460">
        <w:rPr>
          <w:lang w:val="fr-FR"/>
        </w:rPr>
        <w:t>était pas nécessaire de compléter la liste des matières du bateau par des critères de stabilité supplémentaires pour certaines matières puisque le calculateur de stabilité était couramment utilisé.</w:t>
      </w:r>
    </w:p>
    <w:p w14:paraId="5E703FB1" w14:textId="77777777" w:rsidR="00C22589" w:rsidRPr="00F10460" w:rsidRDefault="00C22589" w:rsidP="00C22589">
      <w:pPr>
        <w:pStyle w:val="H23G"/>
        <w:rPr>
          <w:lang w:val="fr-FR"/>
        </w:rPr>
      </w:pPr>
      <w:r w:rsidRPr="00F10460">
        <w:rPr>
          <w:lang w:val="fr-FR"/>
        </w:rPr>
        <w:tab/>
        <w:t>17.</w:t>
      </w:r>
      <w:r w:rsidRPr="00F10460">
        <w:rPr>
          <w:lang w:val="fr-FR"/>
        </w:rPr>
        <w:tab/>
      </w:r>
      <w:r w:rsidRPr="00F10460">
        <w:rPr>
          <w:bCs/>
          <w:lang w:val="fr-FR"/>
        </w:rPr>
        <w:t>Utilisation de cofferdams comme citernes de ballastage</w:t>
      </w:r>
      <w:r w:rsidR="00F3729A">
        <w:rPr>
          <w:bCs/>
          <w:lang w:val="fr-FR"/>
        </w:rPr>
        <w:t xml:space="preserve"> </w:t>
      </w:r>
      <w:r w:rsidRPr="00F10460">
        <w:rPr>
          <w:bCs/>
          <w:lang w:val="fr-FR"/>
        </w:rPr>
        <w:t>− 7.2.3.20 de l</w:t>
      </w:r>
      <w:r>
        <w:rPr>
          <w:bCs/>
          <w:lang w:val="fr-FR"/>
        </w:rPr>
        <w:t>’</w:t>
      </w:r>
      <w:r w:rsidRPr="00F10460">
        <w:rPr>
          <w:bCs/>
          <w:lang w:val="fr-FR"/>
        </w:rPr>
        <w:t>ADN</w:t>
      </w:r>
      <w:bookmarkStart w:id="68" w:name="_Toc63762809"/>
      <w:bookmarkStart w:id="69" w:name="_Toc64472459"/>
      <w:bookmarkEnd w:id="68"/>
      <w:bookmarkEnd w:id="69"/>
    </w:p>
    <w:p w14:paraId="13485B0C" w14:textId="77777777" w:rsidR="00C22589" w:rsidRPr="00F10460" w:rsidRDefault="00C22589" w:rsidP="00F3729A">
      <w:pPr>
        <w:pStyle w:val="SingleTxtG"/>
        <w:tabs>
          <w:tab w:val="left" w:pos="3136"/>
        </w:tabs>
        <w:ind w:left="3136" w:hanging="2002"/>
        <w:jc w:val="left"/>
        <w:rPr>
          <w:lang w:val="fr-FR"/>
        </w:rPr>
      </w:pPr>
      <w:r w:rsidRPr="00F10460">
        <w:rPr>
          <w:i/>
          <w:iCs/>
          <w:lang w:val="fr-FR"/>
        </w:rPr>
        <w:t>Document informel :</w:t>
      </w:r>
      <w:r w:rsidRPr="00F10460">
        <w:rPr>
          <w:lang w:val="fr-FR"/>
        </w:rPr>
        <w:tab/>
        <w:t>INF.21 (UENF et OEB)</w:t>
      </w:r>
      <w:r>
        <w:rPr>
          <w:lang w:val="fr-FR"/>
        </w:rPr>
        <w:t>.</w:t>
      </w:r>
    </w:p>
    <w:p w14:paraId="59D9847E" w14:textId="77777777" w:rsidR="00C22589" w:rsidRPr="00F10460" w:rsidRDefault="00C22589" w:rsidP="00C22589">
      <w:pPr>
        <w:pStyle w:val="SingleTxtG"/>
        <w:rPr>
          <w:lang w:val="fr-FR"/>
        </w:rPr>
      </w:pPr>
      <w:r w:rsidRPr="00F10460">
        <w:rPr>
          <w:lang w:val="fr-FR"/>
        </w:rPr>
        <w:t>49.</w:t>
      </w:r>
      <w:r w:rsidRPr="00F10460">
        <w:rPr>
          <w:lang w:val="fr-FR"/>
        </w:rPr>
        <w:tab/>
        <w:t>Le représentant de l</w:t>
      </w:r>
      <w:r>
        <w:rPr>
          <w:lang w:val="fr-FR"/>
        </w:rPr>
        <w:t>’</w:t>
      </w:r>
      <w:r w:rsidRPr="00F10460">
        <w:rPr>
          <w:lang w:val="fr-FR"/>
        </w:rPr>
        <w:t>Allemagne a rappelé qu</w:t>
      </w:r>
      <w:r>
        <w:rPr>
          <w:lang w:val="fr-FR"/>
        </w:rPr>
        <w:t>’</w:t>
      </w:r>
      <w:r w:rsidRPr="00F10460">
        <w:rPr>
          <w:lang w:val="fr-FR"/>
        </w:rPr>
        <w:t>à la suite de l</w:t>
      </w:r>
      <w:r>
        <w:rPr>
          <w:lang w:val="fr-FR"/>
        </w:rPr>
        <w:t>’</w:t>
      </w:r>
      <w:r w:rsidRPr="00F10460">
        <w:rPr>
          <w:lang w:val="fr-FR"/>
        </w:rPr>
        <w:t>incident de Waldhof, les exigences de sécurité en matière de stabilité étaient devenues plus strictes en</w:t>
      </w:r>
      <w:r w:rsidR="00F3729A">
        <w:rPr>
          <w:lang w:val="fr-FR"/>
        </w:rPr>
        <w:t xml:space="preserve"> </w:t>
      </w:r>
      <w:r w:rsidRPr="00F10460">
        <w:rPr>
          <w:lang w:val="fr-FR"/>
        </w:rPr>
        <w:t>2013. Il a été confirmé qu</w:t>
      </w:r>
      <w:r>
        <w:rPr>
          <w:lang w:val="fr-FR"/>
        </w:rPr>
        <w:t>’</w:t>
      </w:r>
      <w:r w:rsidRPr="00F10460">
        <w:rPr>
          <w:lang w:val="fr-FR"/>
        </w:rPr>
        <w:t>actuellement les programmes et les calculs de stabilité tenaient généralement compte des cofferdams. La proposition a reçu un certain appui, et le représentant de l</w:t>
      </w:r>
      <w:r>
        <w:rPr>
          <w:lang w:val="fr-FR"/>
        </w:rPr>
        <w:t>’</w:t>
      </w:r>
      <w:r w:rsidRPr="00F10460">
        <w:rPr>
          <w:lang w:val="fr-FR"/>
        </w:rPr>
        <w:t>UENF et de l</w:t>
      </w:r>
      <w:r>
        <w:rPr>
          <w:lang w:val="fr-FR"/>
        </w:rPr>
        <w:t>’</w:t>
      </w:r>
      <w:r w:rsidRPr="00F10460">
        <w:rPr>
          <w:lang w:val="fr-FR"/>
        </w:rPr>
        <w:t>OEB s</w:t>
      </w:r>
      <w:r>
        <w:rPr>
          <w:lang w:val="fr-FR"/>
        </w:rPr>
        <w:t>’</w:t>
      </w:r>
      <w:r w:rsidRPr="00F10460">
        <w:rPr>
          <w:lang w:val="fr-FR"/>
        </w:rPr>
        <w:t>est porté volontaire pour élaborer une proposition d</w:t>
      </w:r>
      <w:r>
        <w:rPr>
          <w:lang w:val="fr-FR"/>
        </w:rPr>
        <w:t>’</w:t>
      </w:r>
      <w:r w:rsidRPr="00F10460">
        <w:rPr>
          <w:lang w:val="fr-FR"/>
        </w:rPr>
        <w:t>amendements en vue de la prochaine session en tenant compte de l</w:t>
      </w:r>
      <w:r>
        <w:rPr>
          <w:lang w:val="fr-FR"/>
        </w:rPr>
        <w:t>’</w:t>
      </w:r>
      <w:r w:rsidRPr="00F10460">
        <w:rPr>
          <w:lang w:val="fr-FR"/>
        </w:rPr>
        <w:t>historique de la question et de toutes les incidences de l</w:t>
      </w:r>
      <w:r>
        <w:rPr>
          <w:lang w:val="fr-FR"/>
        </w:rPr>
        <w:t>’</w:t>
      </w:r>
      <w:r w:rsidRPr="00F10460">
        <w:rPr>
          <w:lang w:val="fr-FR"/>
        </w:rPr>
        <w:t>utilisation des cofferdams comme citernes de ballastage sur la stabilité et la sécurité des bateaux.</w:t>
      </w:r>
    </w:p>
    <w:p w14:paraId="08BCCB44" w14:textId="77777777" w:rsidR="00C22589" w:rsidRPr="00F10460" w:rsidRDefault="00C22589" w:rsidP="00F3729A">
      <w:pPr>
        <w:pStyle w:val="H1G"/>
        <w:rPr>
          <w:lang w:val="fr-FR"/>
        </w:rPr>
      </w:pPr>
      <w:r w:rsidRPr="00F10460">
        <w:rPr>
          <w:lang w:val="fr-FR"/>
        </w:rPr>
        <w:lastRenderedPageBreak/>
        <w:tab/>
        <w:t>D.</w:t>
      </w:r>
      <w:r w:rsidRPr="00F10460">
        <w:rPr>
          <w:lang w:val="fr-FR"/>
        </w:rPr>
        <w:tab/>
      </w:r>
      <w:r w:rsidRPr="00F3729A">
        <w:t>Formation</w:t>
      </w:r>
      <w:r w:rsidRPr="00F10460">
        <w:rPr>
          <w:lang w:val="fr-FR"/>
        </w:rPr>
        <w:t xml:space="preserve"> des experts</w:t>
      </w:r>
      <w:bookmarkStart w:id="70" w:name="_Toc63762810"/>
      <w:bookmarkStart w:id="71" w:name="_Toc64472460"/>
      <w:bookmarkEnd w:id="70"/>
      <w:bookmarkEnd w:id="71"/>
    </w:p>
    <w:p w14:paraId="4DCE9BFC" w14:textId="77777777" w:rsidR="00C22589" w:rsidRPr="00F10460" w:rsidRDefault="00C22589" w:rsidP="00F3729A">
      <w:pPr>
        <w:pStyle w:val="H23G"/>
        <w:rPr>
          <w:lang w:val="fr-FR"/>
        </w:rPr>
      </w:pPr>
      <w:r w:rsidRPr="00F10460">
        <w:rPr>
          <w:lang w:val="fr-FR"/>
        </w:rPr>
        <w:tab/>
        <w:t>1.</w:t>
      </w:r>
      <w:r w:rsidRPr="00F10460">
        <w:rPr>
          <w:lang w:val="fr-FR"/>
        </w:rPr>
        <w:tab/>
        <w:t xml:space="preserve">Compte rendu de la vingt et unième réunion du groupe de travail informel </w:t>
      </w:r>
      <w:r w:rsidR="00F3729A">
        <w:rPr>
          <w:lang w:val="fr-FR"/>
        </w:rPr>
        <w:br/>
      </w:r>
      <w:r w:rsidRPr="00F10460">
        <w:rPr>
          <w:lang w:val="fr-FR"/>
        </w:rPr>
        <w:t>de la formation des experts</w:t>
      </w:r>
      <w:bookmarkStart w:id="72" w:name="_Toc63762811"/>
      <w:bookmarkStart w:id="73" w:name="_Toc64472461"/>
      <w:bookmarkEnd w:id="72"/>
      <w:bookmarkEnd w:id="73"/>
    </w:p>
    <w:p w14:paraId="0A42F9CD" w14:textId="77777777" w:rsidR="00C22589" w:rsidRPr="00F10460" w:rsidRDefault="00C22589" w:rsidP="00F3729A">
      <w:pPr>
        <w:pStyle w:val="SingleTxtG"/>
        <w:tabs>
          <w:tab w:val="left" w:pos="3136"/>
        </w:tabs>
        <w:ind w:left="3136" w:hanging="2002"/>
        <w:jc w:val="left"/>
        <w:rPr>
          <w:lang w:val="fr-FR"/>
        </w:rPr>
      </w:pPr>
      <w:r w:rsidRPr="00F10460">
        <w:rPr>
          <w:i/>
          <w:iCs/>
          <w:lang w:val="fr-FR"/>
        </w:rPr>
        <w:t>Document informel </w:t>
      </w:r>
      <w:r w:rsidRPr="00F3729A">
        <w:rPr>
          <w:lang w:val="fr-FR"/>
        </w:rPr>
        <w:t>:</w:t>
      </w:r>
      <w:r w:rsidRPr="00F10460">
        <w:rPr>
          <w:lang w:val="fr-FR"/>
        </w:rPr>
        <w:tab/>
        <w:t>INF.19 (CCNR)</w:t>
      </w:r>
      <w:r w:rsidR="00F3729A">
        <w:rPr>
          <w:lang w:val="fr-FR"/>
        </w:rPr>
        <w:t>.</w:t>
      </w:r>
    </w:p>
    <w:p w14:paraId="4675EC7D" w14:textId="77777777" w:rsidR="00C22589" w:rsidRPr="00F10460" w:rsidRDefault="00C22589" w:rsidP="00F3729A">
      <w:pPr>
        <w:pStyle w:val="SingleTxtG"/>
        <w:keepNext/>
        <w:rPr>
          <w:lang w:val="fr-FR"/>
        </w:rPr>
      </w:pPr>
      <w:r w:rsidRPr="00F10460">
        <w:rPr>
          <w:lang w:val="fr-FR"/>
        </w:rPr>
        <w:t>50.</w:t>
      </w:r>
      <w:r w:rsidRPr="00F10460">
        <w:rPr>
          <w:lang w:val="fr-FR"/>
        </w:rPr>
        <w:tab/>
        <w:t xml:space="preserve">Le Comité de sécurité, ayant pris note des résultats de la réunion virtuelle du groupe de travail informel, a formulé les conclusions suivantes : </w:t>
      </w:r>
    </w:p>
    <w:p w14:paraId="34FE4809" w14:textId="77777777" w:rsidR="00C22589" w:rsidRPr="00F10460" w:rsidRDefault="00C22589" w:rsidP="00F3729A">
      <w:pPr>
        <w:pStyle w:val="SingleTxtG"/>
        <w:ind w:firstLine="567"/>
        <w:rPr>
          <w:lang w:val="fr-FR"/>
        </w:rPr>
      </w:pPr>
      <w:bookmarkStart w:id="74" w:name="_Hlk535908656"/>
      <w:r w:rsidRPr="00F10460">
        <w:rPr>
          <w:lang w:val="fr-FR"/>
        </w:rPr>
        <w:t>a)</w:t>
      </w:r>
      <w:r w:rsidRPr="00F10460">
        <w:rPr>
          <w:lang w:val="fr-FR"/>
        </w:rPr>
        <w:tab/>
        <w:t>Accord multilatéral M027 : Le Comité de sécurité a rappelé la nécessité de prolonger les accords multilatéraux en raison de la situation actuelle liée à la pandémie de COVID-19 (voir par. 12 ci-dessus) ;</w:t>
      </w:r>
    </w:p>
    <w:bookmarkEnd w:id="74"/>
    <w:p w14:paraId="1A1E45D5" w14:textId="77777777" w:rsidR="00C22589" w:rsidRPr="00F10460" w:rsidRDefault="00C22589" w:rsidP="00F3729A">
      <w:pPr>
        <w:pStyle w:val="SingleTxtG"/>
        <w:ind w:firstLine="567"/>
        <w:rPr>
          <w:lang w:val="fr-FR"/>
        </w:rPr>
      </w:pPr>
      <w:r w:rsidRPr="00F10460">
        <w:rPr>
          <w:lang w:val="fr-FR"/>
        </w:rPr>
        <w:t>b)</w:t>
      </w:r>
      <w:r w:rsidRPr="00F10460">
        <w:rPr>
          <w:lang w:val="fr-FR"/>
        </w:rPr>
        <w:tab/>
        <w:t>Possibilité d</w:t>
      </w:r>
      <w:r>
        <w:rPr>
          <w:lang w:val="fr-FR"/>
        </w:rPr>
        <w:t>’</w:t>
      </w:r>
      <w:r w:rsidRPr="00F10460">
        <w:rPr>
          <w:lang w:val="fr-FR"/>
        </w:rPr>
        <w:t>organiser des cours de recyclage et de spécialisation sous une forme virtuelle ou hybride (par. 25) : Le Comité de sécurité était d</w:t>
      </w:r>
      <w:r>
        <w:rPr>
          <w:lang w:val="fr-FR"/>
        </w:rPr>
        <w:t>’</w:t>
      </w:r>
      <w:r w:rsidRPr="00F10460">
        <w:rPr>
          <w:lang w:val="fr-FR"/>
        </w:rPr>
        <w:t>avis qu</w:t>
      </w:r>
      <w:r>
        <w:rPr>
          <w:lang w:val="fr-FR"/>
        </w:rPr>
        <w:t>’</w:t>
      </w:r>
      <w:r w:rsidRPr="00F10460">
        <w:rPr>
          <w:lang w:val="fr-FR"/>
        </w:rPr>
        <w:t>il était prématuré de se prononcer et que la question devait être examinée attentivement car elle aurait des incidences à long terme ;</w:t>
      </w:r>
    </w:p>
    <w:p w14:paraId="1669B793" w14:textId="77777777" w:rsidR="00C22589" w:rsidRPr="00F10460" w:rsidRDefault="00C22589" w:rsidP="00F3729A">
      <w:pPr>
        <w:pStyle w:val="SingleTxtG"/>
        <w:ind w:firstLine="567"/>
        <w:rPr>
          <w:lang w:val="fr-FR"/>
        </w:rPr>
      </w:pPr>
      <w:r w:rsidRPr="00F10460">
        <w:rPr>
          <w:lang w:val="fr-FR"/>
        </w:rPr>
        <w:t>c)</w:t>
      </w:r>
      <w:r w:rsidRPr="00F10460">
        <w:rPr>
          <w:lang w:val="fr-FR"/>
        </w:rPr>
        <w:tab/>
        <w:t>Toutes autres questions : Le Comité de sécurité est convenu de reprendre la discussion sur les questions en suspens à sa prochaine session.</w:t>
      </w:r>
    </w:p>
    <w:p w14:paraId="70B448E8" w14:textId="77777777" w:rsidR="00C22589" w:rsidRPr="00F10460" w:rsidRDefault="00C22589" w:rsidP="00F3729A">
      <w:pPr>
        <w:pStyle w:val="H23G"/>
        <w:rPr>
          <w:lang w:val="fr-FR"/>
        </w:rPr>
      </w:pPr>
      <w:r w:rsidRPr="00F10460">
        <w:rPr>
          <w:lang w:val="fr-FR"/>
        </w:rPr>
        <w:tab/>
        <w:t>2.</w:t>
      </w:r>
      <w:r w:rsidRPr="00F10460">
        <w:rPr>
          <w:lang w:val="fr-FR"/>
        </w:rPr>
        <w:tab/>
        <w:t>Directive du Comité d</w:t>
      </w:r>
      <w:r>
        <w:rPr>
          <w:lang w:val="fr-FR"/>
        </w:rPr>
        <w:t>’</w:t>
      </w:r>
      <w:r w:rsidRPr="00F10460">
        <w:rPr>
          <w:lang w:val="fr-FR"/>
        </w:rPr>
        <w:t>administration pour l</w:t>
      </w:r>
      <w:r>
        <w:rPr>
          <w:lang w:val="fr-FR"/>
        </w:rPr>
        <w:t>’</w:t>
      </w:r>
      <w:r w:rsidRPr="00F10460">
        <w:rPr>
          <w:lang w:val="fr-FR"/>
        </w:rPr>
        <w:t xml:space="preserve">utilisation du catalogue </w:t>
      </w:r>
      <w:r w:rsidR="00F3729A">
        <w:rPr>
          <w:lang w:val="fr-FR"/>
        </w:rPr>
        <w:br/>
      </w:r>
      <w:r w:rsidRPr="00F10460">
        <w:rPr>
          <w:lang w:val="fr-FR"/>
        </w:rPr>
        <w:t>de questions pour l</w:t>
      </w:r>
      <w:r>
        <w:rPr>
          <w:lang w:val="fr-FR"/>
        </w:rPr>
        <w:t>’</w:t>
      </w:r>
      <w:r w:rsidRPr="00F10460">
        <w:rPr>
          <w:lang w:val="fr-FR"/>
        </w:rPr>
        <w:t>examen d</w:t>
      </w:r>
      <w:r>
        <w:rPr>
          <w:lang w:val="fr-FR"/>
        </w:rPr>
        <w:t>’</w:t>
      </w:r>
      <w:r w:rsidRPr="00F10460">
        <w:rPr>
          <w:lang w:val="fr-FR"/>
        </w:rPr>
        <w:t xml:space="preserve">expert ADN (chap. 8.2) </w:t>
      </w:r>
      <w:bookmarkStart w:id="75" w:name="_Toc63762812"/>
      <w:bookmarkStart w:id="76" w:name="_Toc64472462"/>
      <w:bookmarkEnd w:id="75"/>
      <w:bookmarkEnd w:id="76"/>
    </w:p>
    <w:p w14:paraId="4F5DE990" w14:textId="77777777" w:rsidR="00C22589" w:rsidRPr="00F10460" w:rsidRDefault="00C22589" w:rsidP="00F3729A">
      <w:pPr>
        <w:pStyle w:val="SingleTxtG"/>
        <w:tabs>
          <w:tab w:val="left" w:pos="3136"/>
        </w:tabs>
        <w:ind w:left="3136" w:hanging="2002"/>
        <w:jc w:val="left"/>
        <w:rPr>
          <w:lang w:val="fr-FR"/>
        </w:rPr>
      </w:pPr>
      <w:r w:rsidRPr="00F10460">
        <w:rPr>
          <w:i/>
          <w:iCs/>
          <w:lang w:val="fr-FR"/>
        </w:rPr>
        <w:t>Document informel :</w:t>
      </w:r>
      <w:r w:rsidRPr="00F10460">
        <w:rPr>
          <w:lang w:val="fr-FR"/>
        </w:rPr>
        <w:tab/>
        <w:t>INF.12 (CCNR)</w:t>
      </w:r>
      <w:r>
        <w:rPr>
          <w:lang w:val="fr-FR"/>
        </w:rPr>
        <w:t>.</w:t>
      </w:r>
    </w:p>
    <w:p w14:paraId="60D607C3" w14:textId="77777777" w:rsidR="00C22589" w:rsidRPr="00F10460" w:rsidRDefault="00C22589" w:rsidP="00C22589">
      <w:pPr>
        <w:pStyle w:val="SingleTxtG"/>
        <w:rPr>
          <w:lang w:val="fr-FR"/>
        </w:rPr>
      </w:pPr>
      <w:r w:rsidRPr="00F10460">
        <w:rPr>
          <w:lang w:val="fr-FR"/>
        </w:rPr>
        <w:t>51.</w:t>
      </w:r>
      <w:r w:rsidRPr="00F10460">
        <w:rPr>
          <w:lang w:val="fr-FR"/>
        </w:rPr>
        <w:tab/>
        <w:t>Par manque de temps, le Comité de sécurité a préféré reporter l</w:t>
      </w:r>
      <w:r>
        <w:rPr>
          <w:lang w:val="fr-FR"/>
        </w:rPr>
        <w:t>’</w:t>
      </w:r>
      <w:r w:rsidRPr="00F10460">
        <w:rPr>
          <w:lang w:val="fr-FR"/>
        </w:rPr>
        <w:t>examen de ce sujet à sa prochaine session, en août 2021.</w:t>
      </w:r>
    </w:p>
    <w:p w14:paraId="0DF4A480" w14:textId="77777777" w:rsidR="00C22589" w:rsidRPr="00F10460" w:rsidRDefault="00C22589" w:rsidP="00F3729A">
      <w:pPr>
        <w:pStyle w:val="H23G"/>
        <w:rPr>
          <w:lang w:val="fr-FR"/>
        </w:rPr>
      </w:pPr>
      <w:r w:rsidRPr="00F10460">
        <w:rPr>
          <w:lang w:val="fr-FR"/>
        </w:rPr>
        <w:tab/>
        <w:t>3.</w:t>
      </w:r>
      <w:r w:rsidRPr="00F10460">
        <w:rPr>
          <w:lang w:val="fr-FR"/>
        </w:rPr>
        <w:tab/>
        <w:t>Catalogue de questions 2021</w:t>
      </w:r>
      <w:bookmarkStart w:id="77" w:name="_Toc63762813"/>
      <w:bookmarkStart w:id="78" w:name="_Toc64472463"/>
      <w:bookmarkEnd w:id="77"/>
      <w:bookmarkEnd w:id="78"/>
    </w:p>
    <w:p w14:paraId="7D57821C" w14:textId="77777777" w:rsidR="00C22589" w:rsidRPr="00F10460" w:rsidRDefault="00C22589" w:rsidP="00F3729A">
      <w:pPr>
        <w:pStyle w:val="SingleTxtG"/>
        <w:tabs>
          <w:tab w:val="left" w:pos="3136"/>
        </w:tabs>
        <w:ind w:left="3136" w:hanging="2002"/>
        <w:jc w:val="left"/>
        <w:rPr>
          <w:lang w:val="fr-FR"/>
        </w:rPr>
      </w:pPr>
      <w:r w:rsidRPr="00F10460">
        <w:rPr>
          <w:i/>
          <w:iCs/>
          <w:lang w:val="fr-FR"/>
        </w:rPr>
        <w:t>Documents informels </w:t>
      </w:r>
      <w:r w:rsidRPr="00F3729A">
        <w:rPr>
          <w:lang w:val="fr-FR"/>
        </w:rPr>
        <w:t>:</w:t>
      </w:r>
      <w:r w:rsidRPr="00F10460">
        <w:rPr>
          <w:lang w:val="fr-FR"/>
        </w:rPr>
        <w:tab/>
        <w:t>INF.9, INF.10 et INF.11 (CCNR)</w:t>
      </w:r>
      <w:r w:rsidRPr="00F10460">
        <w:rPr>
          <w:lang w:val="fr-FR"/>
        </w:rPr>
        <w:br/>
        <w:t>INF.13, INF.14 et INF.15 (CCNR)</w:t>
      </w:r>
      <w:r>
        <w:rPr>
          <w:lang w:val="fr-FR"/>
        </w:rPr>
        <w:t>.</w:t>
      </w:r>
    </w:p>
    <w:p w14:paraId="2127748B" w14:textId="77777777" w:rsidR="00C22589" w:rsidRPr="00F10460" w:rsidRDefault="00C22589" w:rsidP="004C0A5C">
      <w:pPr>
        <w:pStyle w:val="SingleTxtG"/>
        <w:rPr>
          <w:lang w:val="fr-FR"/>
        </w:rPr>
      </w:pPr>
      <w:r w:rsidRPr="00F10460">
        <w:rPr>
          <w:lang w:val="fr-FR"/>
        </w:rPr>
        <w:t>52.</w:t>
      </w:r>
      <w:r w:rsidRPr="00F10460">
        <w:rPr>
          <w:lang w:val="fr-FR"/>
        </w:rPr>
        <w:tab/>
        <w:t>Les travaux du groupe de travail informel ayant été retardés en raison des mesures liées à la COVID-19, le Comité de sécurité a adopté à titre exceptionnel les mises à jour proposées (uniquement disponibles en français et en allemand) du catalogue des questions 2021, sur la base des documents informels INF.9, INF, 10 et INF.11.</w:t>
      </w:r>
    </w:p>
    <w:p w14:paraId="01AEC274" w14:textId="77777777" w:rsidR="00C22589" w:rsidRPr="00F10460" w:rsidRDefault="00C22589" w:rsidP="00C22589">
      <w:pPr>
        <w:pStyle w:val="SingleTxtG"/>
        <w:rPr>
          <w:lang w:val="fr-FR"/>
        </w:rPr>
      </w:pPr>
      <w:r w:rsidRPr="00F10460">
        <w:rPr>
          <w:lang w:val="fr-FR"/>
        </w:rPr>
        <w:t>53.</w:t>
      </w:r>
      <w:r w:rsidRPr="00F10460">
        <w:rPr>
          <w:lang w:val="fr-FR"/>
        </w:rPr>
        <w:tab/>
        <w:t>Les versions anglaise et russe seront soumises à la traduction et seront publiées dans les meilleurs délais. Le représentant de la Fédération de Russie a approuvé cette manière de procéder.</w:t>
      </w:r>
    </w:p>
    <w:p w14:paraId="28669A55" w14:textId="77777777" w:rsidR="00C22589" w:rsidRPr="00F10460" w:rsidRDefault="00C22589" w:rsidP="00F3729A">
      <w:pPr>
        <w:pStyle w:val="H23G"/>
        <w:rPr>
          <w:lang w:val="fr-FR"/>
        </w:rPr>
      </w:pPr>
      <w:r w:rsidRPr="00F10460">
        <w:rPr>
          <w:lang w:val="fr-FR"/>
        </w:rPr>
        <w:tab/>
        <w:t>4.</w:t>
      </w:r>
      <w:r w:rsidRPr="00F10460">
        <w:rPr>
          <w:lang w:val="fr-FR"/>
        </w:rPr>
        <w:tab/>
      </w:r>
      <w:r w:rsidRPr="00F3729A">
        <w:t>Rectification</w:t>
      </w:r>
      <w:r w:rsidRPr="00F10460">
        <w:rPr>
          <w:lang w:val="fr-FR"/>
        </w:rPr>
        <w:t xml:space="preserve"> du catalogue de questions − généralités </w:t>
      </w:r>
      <w:bookmarkStart w:id="79" w:name="_Toc63762814"/>
      <w:bookmarkStart w:id="80" w:name="_Toc64472464"/>
      <w:bookmarkEnd w:id="79"/>
      <w:bookmarkEnd w:id="80"/>
    </w:p>
    <w:p w14:paraId="033B7F95" w14:textId="77777777" w:rsidR="00C22589" w:rsidRPr="00F10460" w:rsidRDefault="00C22589" w:rsidP="00F3729A">
      <w:pPr>
        <w:pStyle w:val="SingleTxtG"/>
        <w:tabs>
          <w:tab w:val="left" w:pos="3136"/>
        </w:tabs>
        <w:ind w:left="3136" w:hanging="2002"/>
        <w:jc w:val="left"/>
        <w:rPr>
          <w:lang w:val="fr-FR"/>
        </w:rPr>
      </w:pPr>
      <w:r w:rsidRPr="00F10460">
        <w:rPr>
          <w:i/>
          <w:iCs/>
          <w:lang w:val="fr-FR"/>
        </w:rPr>
        <w:t>Document informel </w:t>
      </w:r>
      <w:r w:rsidRPr="00F3729A">
        <w:rPr>
          <w:lang w:val="fr-FR"/>
        </w:rPr>
        <w:t>:</w:t>
      </w:r>
      <w:r w:rsidRPr="00F10460">
        <w:rPr>
          <w:lang w:val="fr-FR"/>
        </w:rPr>
        <w:tab/>
        <w:t>INF.16 (Autriche)</w:t>
      </w:r>
      <w:r>
        <w:rPr>
          <w:lang w:val="fr-FR"/>
        </w:rPr>
        <w:t>.</w:t>
      </w:r>
    </w:p>
    <w:p w14:paraId="1C9A334C" w14:textId="77777777" w:rsidR="00C22589" w:rsidRPr="00F10460" w:rsidRDefault="00C22589" w:rsidP="00C22589">
      <w:pPr>
        <w:pStyle w:val="SingleTxtG"/>
        <w:rPr>
          <w:lang w:val="fr-FR"/>
        </w:rPr>
      </w:pPr>
      <w:r w:rsidRPr="00F10460">
        <w:rPr>
          <w:lang w:val="fr-FR"/>
        </w:rPr>
        <w:t>54.</w:t>
      </w:r>
      <w:r w:rsidRPr="00F10460">
        <w:rPr>
          <w:lang w:val="fr-FR"/>
        </w:rPr>
        <w:tab/>
        <w:t>Le Comité de sécurité a accueilli favorablement les corrections proposées, mais, par manque de temps, a préféré reporter leur examen à sa prochaine session.</w:t>
      </w:r>
    </w:p>
    <w:p w14:paraId="62AEBEFB" w14:textId="77777777" w:rsidR="00C22589" w:rsidRPr="00F10460" w:rsidRDefault="00C22589" w:rsidP="00F3729A">
      <w:pPr>
        <w:pStyle w:val="H1G"/>
        <w:rPr>
          <w:lang w:val="fr-FR"/>
        </w:rPr>
      </w:pPr>
      <w:r w:rsidRPr="00F10460">
        <w:rPr>
          <w:lang w:val="fr-FR"/>
        </w:rPr>
        <w:tab/>
        <w:t>E.</w:t>
      </w:r>
      <w:r w:rsidRPr="00F10460">
        <w:rPr>
          <w:lang w:val="fr-FR"/>
        </w:rPr>
        <w:tab/>
        <w:t>Questions relatives aux sociétés de classification</w:t>
      </w:r>
      <w:bookmarkStart w:id="81" w:name="_Toc63762815"/>
      <w:bookmarkStart w:id="82" w:name="_Toc64472465"/>
      <w:bookmarkEnd w:id="81"/>
      <w:bookmarkEnd w:id="82"/>
    </w:p>
    <w:p w14:paraId="64E181E4" w14:textId="77777777" w:rsidR="00C22589" w:rsidRPr="00F10460" w:rsidRDefault="00C22589" w:rsidP="00C22589">
      <w:pPr>
        <w:pStyle w:val="SingleTxtG"/>
        <w:rPr>
          <w:lang w:val="fr-FR"/>
        </w:rPr>
      </w:pPr>
      <w:r w:rsidRPr="00F10460">
        <w:rPr>
          <w:lang w:val="fr-FR"/>
        </w:rPr>
        <w:t>55.</w:t>
      </w:r>
      <w:r w:rsidRPr="00F10460">
        <w:rPr>
          <w:lang w:val="fr-FR"/>
        </w:rPr>
        <w:tab/>
        <w:t>Aucun document n</w:t>
      </w:r>
      <w:r>
        <w:rPr>
          <w:lang w:val="fr-FR"/>
        </w:rPr>
        <w:t>’</w:t>
      </w:r>
      <w:r w:rsidRPr="00F10460">
        <w:rPr>
          <w:lang w:val="fr-FR"/>
        </w:rPr>
        <w:t>ayant été soumis au titre de ce point de l</w:t>
      </w:r>
      <w:r>
        <w:rPr>
          <w:lang w:val="fr-FR"/>
        </w:rPr>
        <w:t>’</w:t>
      </w:r>
      <w:r w:rsidRPr="00F10460">
        <w:rPr>
          <w:lang w:val="fr-FR"/>
        </w:rPr>
        <w:t>ordre du jour, aucune discussion n</w:t>
      </w:r>
      <w:r>
        <w:rPr>
          <w:lang w:val="fr-FR"/>
        </w:rPr>
        <w:t>’</w:t>
      </w:r>
      <w:r w:rsidRPr="00F10460">
        <w:rPr>
          <w:lang w:val="fr-FR"/>
        </w:rPr>
        <w:t>a eu lieu sur ce sujet.</w:t>
      </w:r>
    </w:p>
    <w:p w14:paraId="3A40F872" w14:textId="77777777" w:rsidR="00C22589" w:rsidRPr="00F10460" w:rsidRDefault="00C22589" w:rsidP="00F3729A">
      <w:pPr>
        <w:pStyle w:val="HChG"/>
        <w:rPr>
          <w:lang w:val="fr-FR"/>
        </w:rPr>
      </w:pPr>
      <w:r w:rsidRPr="00F10460">
        <w:rPr>
          <w:lang w:val="fr-FR"/>
        </w:rPr>
        <w:lastRenderedPageBreak/>
        <w:tab/>
        <w:t>VI.</w:t>
      </w:r>
      <w:r w:rsidRPr="00F10460">
        <w:rPr>
          <w:lang w:val="fr-FR"/>
        </w:rPr>
        <w:tab/>
        <w:t>Propositions d</w:t>
      </w:r>
      <w:r>
        <w:rPr>
          <w:lang w:val="fr-FR"/>
        </w:rPr>
        <w:t>’</w:t>
      </w:r>
      <w:r w:rsidRPr="00F10460">
        <w:rPr>
          <w:lang w:val="fr-FR"/>
        </w:rPr>
        <w:t xml:space="preserve">amendements au Règlement annexé </w:t>
      </w:r>
      <w:r w:rsidR="00F3729A">
        <w:rPr>
          <w:lang w:val="fr-FR"/>
        </w:rPr>
        <w:br/>
      </w:r>
      <w:r w:rsidRPr="00F10460">
        <w:rPr>
          <w:lang w:val="fr-FR"/>
        </w:rPr>
        <w:t>à l</w:t>
      </w:r>
      <w:r>
        <w:rPr>
          <w:lang w:val="fr-FR"/>
        </w:rPr>
        <w:t>’</w:t>
      </w:r>
      <w:r w:rsidRPr="00F10460">
        <w:rPr>
          <w:lang w:val="fr-FR"/>
        </w:rPr>
        <w:t>ADN (point 5 de l</w:t>
      </w:r>
      <w:r>
        <w:rPr>
          <w:lang w:val="fr-FR"/>
        </w:rPr>
        <w:t>’</w:t>
      </w:r>
      <w:r w:rsidRPr="00F10460">
        <w:rPr>
          <w:lang w:val="fr-FR"/>
        </w:rPr>
        <w:t>ordre du jour)</w:t>
      </w:r>
      <w:bookmarkStart w:id="83" w:name="_Toc64472466"/>
      <w:bookmarkEnd w:id="83"/>
    </w:p>
    <w:p w14:paraId="6988077A" w14:textId="77777777" w:rsidR="00C22589" w:rsidRPr="00F10460" w:rsidRDefault="00C22589" w:rsidP="00F3729A">
      <w:pPr>
        <w:pStyle w:val="H1G"/>
        <w:rPr>
          <w:lang w:val="fr-FR"/>
        </w:rPr>
      </w:pPr>
      <w:bookmarkStart w:id="84" w:name="_Hlk63763402"/>
      <w:r w:rsidRPr="00F10460">
        <w:rPr>
          <w:lang w:val="fr-FR"/>
        </w:rPr>
        <w:tab/>
        <w:t>A.</w:t>
      </w:r>
      <w:r w:rsidRPr="00F10460">
        <w:rPr>
          <w:lang w:val="fr-FR"/>
        </w:rPr>
        <w:tab/>
        <w:t>Travaux de la Réunion commune RID/ADR/ADN</w:t>
      </w:r>
      <w:bookmarkStart w:id="85" w:name="_Toc64472467"/>
      <w:bookmarkEnd w:id="84"/>
      <w:bookmarkEnd w:id="85"/>
    </w:p>
    <w:p w14:paraId="2293B9E6" w14:textId="77777777" w:rsidR="00C22589" w:rsidRPr="00F10460" w:rsidRDefault="00C22589" w:rsidP="00F3729A">
      <w:pPr>
        <w:pStyle w:val="H23G"/>
        <w:rPr>
          <w:lang w:val="fr-FR"/>
        </w:rPr>
      </w:pPr>
      <w:r w:rsidRPr="00F10460">
        <w:rPr>
          <w:lang w:val="fr-FR"/>
        </w:rPr>
        <w:tab/>
        <w:t>1.</w:t>
      </w:r>
      <w:r w:rsidRPr="00F10460">
        <w:rPr>
          <w:lang w:val="fr-FR"/>
        </w:rPr>
        <w:tab/>
        <w:t>Amendements et corrections concernant l</w:t>
      </w:r>
      <w:r>
        <w:rPr>
          <w:lang w:val="fr-FR"/>
        </w:rPr>
        <w:t>’</w:t>
      </w:r>
      <w:r w:rsidRPr="00F10460">
        <w:rPr>
          <w:lang w:val="fr-FR"/>
        </w:rPr>
        <w:t>ADN</w:t>
      </w:r>
      <w:bookmarkStart w:id="86" w:name="_Toc63762816"/>
      <w:bookmarkStart w:id="87" w:name="_Toc64472468"/>
      <w:bookmarkEnd w:id="86"/>
      <w:bookmarkEnd w:id="87"/>
    </w:p>
    <w:p w14:paraId="184F7995" w14:textId="77777777" w:rsidR="00C22589" w:rsidRPr="00F10460" w:rsidRDefault="00C22589" w:rsidP="00C22589">
      <w:pPr>
        <w:pStyle w:val="SingleTxtG"/>
        <w:rPr>
          <w:lang w:val="fr-FR"/>
        </w:rPr>
      </w:pPr>
      <w:r w:rsidRPr="00F10460">
        <w:rPr>
          <w:lang w:val="fr-FR"/>
        </w:rPr>
        <w:t>56.</w:t>
      </w:r>
      <w:r w:rsidRPr="00F10460">
        <w:rPr>
          <w:lang w:val="fr-FR"/>
        </w:rPr>
        <w:tab/>
        <w:t>Les amendements et corrections supplémentaires à l</w:t>
      </w:r>
      <w:r>
        <w:rPr>
          <w:lang w:val="fr-FR"/>
        </w:rPr>
        <w:t>’</w:t>
      </w:r>
      <w:r w:rsidRPr="00F10460">
        <w:rPr>
          <w:lang w:val="fr-FR"/>
        </w:rPr>
        <w:t>ADR adoptés pour entrée en vigueur le 1</w:t>
      </w:r>
      <w:r w:rsidRPr="00F10460">
        <w:rPr>
          <w:vertAlign w:val="superscript"/>
          <w:lang w:val="fr-FR"/>
        </w:rPr>
        <w:t>er</w:t>
      </w:r>
      <w:r w:rsidRPr="00F10460">
        <w:rPr>
          <w:lang w:val="fr-FR"/>
        </w:rPr>
        <w:t> janvier</w:t>
      </w:r>
      <w:r w:rsidR="00F3729A">
        <w:rPr>
          <w:lang w:val="fr-FR"/>
        </w:rPr>
        <w:t xml:space="preserve"> </w:t>
      </w:r>
      <w:r w:rsidRPr="00F10460">
        <w:rPr>
          <w:lang w:val="fr-FR"/>
        </w:rPr>
        <w:t>2021, contenus dans les documents ECE/TRANS/WP.15/249/Corr.1 et ECE/TRANS/WP.15/249/Add.1, et qui sont aussi pertinents pour l</w:t>
      </w:r>
      <w:r>
        <w:rPr>
          <w:lang w:val="fr-FR"/>
        </w:rPr>
        <w:t>’</w:t>
      </w:r>
      <w:r w:rsidRPr="00F10460">
        <w:rPr>
          <w:lang w:val="fr-FR"/>
        </w:rPr>
        <w:t>ADN, ont été récapitulés dans le document ECE/TRANS/WP.15/AC.2/2020/38.</w:t>
      </w:r>
    </w:p>
    <w:p w14:paraId="3BF8187B" w14:textId="77777777" w:rsidR="00C22589" w:rsidRPr="00F10460" w:rsidRDefault="00C22589" w:rsidP="00C22589">
      <w:pPr>
        <w:pStyle w:val="SingleTxtG"/>
        <w:rPr>
          <w:lang w:val="fr-FR"/>
        </w:rPr>
      </w:pPr>
      <w:r w:rsidRPr="00F10460">
        <w:rPr>
          <w:lang w:val="fr-FR"/>
        </w:rPr>
        <w:t>57.</w:t>
      </w:r>
      <w:r w:rsidRPr="00F10460">
        <w:rPr>
          <w:lang w:val="fr-FR"/>
        </w:rPr>
        <w:tab/>
        <w:t>Le Comité de sécurité souhaitera peut-être se référer à la liste récapitulative d</w:t>
      </w:r>
      <w:r>
        <w:rPr>
          <w:lang w:val="fr-FR"/>
        </w:rPr>
        <w:t>’</w:t>
      </w:r>
      <w:r w:rsidRPr="00F10460">
        <w:rPr>
          <w:lang w:val="fr-FR"/>
        </w:rPr>
        <w:t>amendements à l</w:t>
      </w:r>
      <w:r>
        <w:rPr>
          <w:lang w:val="fr-FR"/>
        </w:rPr>
        <w:t>’</w:t>
      </w:r>
      <w:r w:rsidRPr="00F10460">
        <w:rPr>
          <w:lang w:val="fr-FR"/>
        </w:rPr>
        <w:t>ADN adoptés pour entrée en vigueur le 1</w:t>
      </w:r>
      <w:r w:rsidRPr="00F10460">
        <w:rPr>
          <w:vertAlign w:val="superscript"/>
          <w:lang w:val="fr-FR"/>
        </w:rPr>
        <w:t>er</w:t>
      </w:r>
      <w:r w:rsidRPr="00F10460">
        <w:rPr>
          <w:lang w:val="fr-FR"/>
        </w:rPr>
        <w:t> janvier</w:t>
      </w:r>
      <w:r w:rsidR="005F2624">
        <w:rPr>
          <w:lang w:val="fr-FR"/>
        </w:rPr>
        <w:t xml:space="preserve"> </w:t>
      </w:r>
      <w:r w:rsidRPr="00F10460">
        <w:rPr>
          <w:lang w:val="fr-FR"/>
        </w:rPr>
        <w:t>2021 (ECE/ADN/54), qui a été communiquée aux Parties contractantes à l</w:t>
      </w:r>
      <w:r>
        <w:rPr>
          <w:lang w:val="fr-FR"/>
        </w:rPr>
        <w:t>’</w:t>
      </w:r>
      <w:r w:rsidRPr="00F10460">
        <w:rPr>
          <w:lang w:val="fr-FR"/>
        </w:rPr>
        <w:t>ADN le 1</w:t>
      </w:r>
      <w:r w:rsidRPr="00F10460">
        <w:rPr>
          <w:vertAlign w:val="superscript"/>
          <w:lang w:val="fr-FR"/>
        </w:rPr>
        <w:t>er</w:t>
      </w:r>
      <w:r w:rsidRPr="00F10460">
        <w:rPr>
          <w:lang w:val="fr-FR"/>
        </w:rPr>
        <w:t> juillet</w:t>
      </w:r>
      <w:r w:rsidR="005F2624">
        <w:rPr>
          <w:lang w:val="fr-FR"/>
        </w:rPr>
        <w:t xml:space="preserve"> </w:t>
      </w:r>
      <w:r w:rsidRPr="00F10460">
        <w:rPr>
          <w:lang w:val="fr-FR"/>
        </w:rPr>
        <w:t>2020 et acceptée le 1</w:t>
      </w:r>
      <w:r w:rsidRPr="00F10460">
        <w:rPr>
          <w:vertAlign w:val="superscript"/>
          <w:lang w:val="fr-FR"/>
        </w:rPr>
        <w:t>er</w:t>
      </w:r>
      <w:r w:rsidRPr="00F10460">
        <w:rPr>
          <w:lang w:val="fr-FR"/>
        </w:rPr>
        <w:t> octobre</w:t>
      </w:r>
      <w:r w:rsidR="005F2624">
        <w:rPr>
          <w:lang w:val="fr-FR"/>
        </w:rPr>
        <w:t xml:space="preserve"> </w:t>
      </w:r>
      <w:r w:rsidRPr="00F10460">
        <w:rPr>
          <w:lang w:val="fr-FR"/>
        </w:rPr>
        <w:t>2020.</w:t>
      </w:r>
    </w:p>
    <w:p w14:paraId="37CFE7DF" w14:textId="77777777" w:rsidR="00C22589" w:rsidRPr="00F10460" w:rsidRDefault="00C22589" w:rsidP="00C22589">
      <w:pPr>
        <w:pStyle w:val="SingleTxtG"/>
        <w:rPr>
          <w:snapToGrid w:val="0"/>
          <w:lang w:val="fr-FR"/>
        </w:rPr>
      </w:pPr>
      <w:r w:rsidRPr="00F10460">
        <w:rPr>
          <w:lang w:val="fr-FR"/>
        </w:rPr>
        <w:t>58.</w:t>
      </w:r>
      <w:r w:rsidRPr="00F10460">
        <w:rPr>
          <w:lang w:val="fr-FR"/>
        </w:rPr>
        <w:tab/>
        <w:t>Des propositions d</w:t>
      </w:r>
      <w:r>
        <w:rPr>
          <w:lang w:val="fr-FR"/>
        </w:rPr>
        <w:t>’</w:t>
      </w:r>
      <w:r w:rsidRPr="00F10460">
        <w:rPr>
          <w:lang w:val="fr-FR"/>
        </w:rPr>
        <w:t>amendements supplémentaires visant à aligner l</w:t>
      </w:r>
      <w:r>
        <w:rPr>
          <w:lang w:val="fr-FR"/>
        </w:rPr>
        <w:t>’</w:t>
      </w:r>
      <w:r w:rsidRPr="00F10460">
        <w:rPr>
          <w:lang w:val="fr-FR"/>
        </w:rPr>
        <w:t>ADN sur les autres accords internationaux relatifs au transport de marchandises dangereuses, et de corrections, pour entrée en vigueur le 1</w:t>
      </w:r>
      <w:r w:rsidRPr="00F10460">
        <w:rPr>
          <w:vertAlign w:val="superscript"/>
          <w:lang w:val="fr-FR"/>
        </w:rPr>
        <w:t>er</w:t>
      </w:r>
      <w:r w:rsidRPr="00F10460">
        <w:rPr>
          <w:lang w:val="fr-FR"/>
        </w:rPr>
        <w:t> janvier</w:t>
      </w:r>
      <w:r w:rsidR="005F2624">
        <w:rPr>
          <w:lang w:val="fr-FR"/>
        </w:rPr>
        <w:t xml:space="preserve"> </w:t>
      </w:r>
      <w:r w:rsidRPr="00F10460">
        <w:rPr>
          <w:lang w:val="fr-FR"/>
        </w:rPr>
        <w:t>2021, ont été présentées dans les documents ECE/ADN/54/Add.1 et ECE/ADN/54/Corr.1, qui ont été adoptés selon la procédure d</w:t>
      </w:r>
      <w:r>
        <w:rPr>
          <w:lang w:val="fr-FR"/>
        </w:rPr>
        <w:t>’</w:t>
      </w:r>
      <w:r w:rsidRPr="00F10460">
        <w:rPr>
          <w:lang w:val="fr-FR"/>
        </w:rPr>
        <w:t>approbation tacite. Les amendements proposés ont été communiqués aux Parties contractantes le 1</w:t>
      </w:r>
      <w:r w:rsidRPr="00F10460">
        <w:rPr>
          <w:vertAlign w:val="superscript"/>
          <w:lang w:val="fr-FR"/>
        </w:rPr>
        <w:t>er</w:t>
      </w:r>
      <w:r w:rsidRPr="00F10460">
        <w:rPr>
          <w:lang w:val="fr-FR"/>
        </w:rPr>
        <w:t> septembre 2020, conformément à la procédure décrite à l</w:t>
      </w:r>
      <w:r>
        <w:rPr>
          <w:lang w:val="fr-FR"/>
        </w:rPr>
        <w:t>’</w:t>
      </w:r>
      <w:r w:rsidRPr="00F10460">
        <w:rPr>
          <w:lang w:val="fr-FR"/>
        </w:rPr>
        <w:t>alinéa a) du paragraphe 5 de l</w:t>
      </w:r>
      <w:r>
        <w:rPr>
          <w:lang w:val="fr-FR"/>
        </w:rPr>
        <w:t>’</w:t>
      </w:r>
      <w:r w:rsidRPr="00F10460">
        <w:rPr>
          <w:lang w:val="fr-FR"/>
        </w:rPr>
        <w:t>article 20 de l</w:t>
      </w:r>
      <w:r>
        <w:rPr>
          <w:lang w:val="fr-FR"/>
        </w:rPr>
        <w:t>’</w:t>
      </w:r>
      <w:r w:rsidRPr="00F10460">
        <w:rPr>
          <w:lang w:val="fr-FR"/>
        </w:rPr>
        <w:t>ADN, et sont entrés en vigueur le 1</w:t>
      </w:r>
      <w:r w:rsidRPr="00F10460">
        <w:rPr>
          <w:vertAlign w:val="superscript"/>
          <w:lang w:val="fr-FR"/>
        </w:rPr>
        <w:t>er</w:t>
      </w:r>
      <w:r w:rsidRPr="00F10460">
        <w:rPr>
          <w:lang w:val="fr-FR"/>
        </w:rPr>
        <w:t> janvier</w:t>
      </w:r>
      <w:r w:rsidR="005F2624">
        <w:rPr>
          <w:lang w:val="fr-FR"/>
        </w:rPr>
        <w:t xml:space="preserve"> </w:t>
      </w:r>
      <w:r w:rsidRPr="00F10460">
        <w:rPr>
          <w:lang w:val="fr-FR"/>
        </w:rPr>
        <w:t>2021, c</w:t>
      </w:r>
      <w:r>
        <w:rPr>
          <w:lang w:val="fr-FR"/>
        </w:rPr>
        <w:t>’</w:t>
      </w:r>
      <w:r w:rsidRPr="00F10460">
        <w:rPr>
          <w:lang w:val="fr-FR"/>
        </w:rPr>
        <w:t>est</w:t>
      </w:r>
      <w:r w:rsidR="005F2624">
        <w:rPr>
          <w:lang w:val="fr-FR"/>
        </w:rPr>
        <w:noBreakHyphen/>
      </w:r>
      <w:r w:rsidRPr="00F10460">
        <w:rPr>
          <w:lang w:val="fr-FR"/>
        </w:rPr>
        <w:t>à</w:t>
      </w:r>
      <w:r w:rsidR="005F2624">
        <w:rPr>
          <w:lang w:val="fr-FR"/>
        </w:rPr>
        <w:noBreakHyphen/>
      </w:r>
      <w:r w:rsidRPr="00F10460">
        <w:rPr>
          <w:lang w:val="fr-FR"/>
        </w:rPr>
        <w:t>dire un mois après leur acceptation par les Parties contractantes.</w:t>
      </w:r>
    </w:p>
    <w:p w14:paraId="3DFF30E6" w14:textId="77777777" w:rsidR="00C22589" w:rsidRPr="00F10460" w:rsidRDefault="00C22589" w:rsidP="004C0A5C">
      <w:pPr>
        <w:pStyle w:val="SingleTxtG"/>
        <w:rPr>
          <w:lang w:val="fr-FR"/>
        </w:rPr>
      </w:pPr>
      <w:r w:rsidRPr="00F10460">
        <w:rPr>
          <w:lang w:val="fr-FR"/>
        </w:rPr>
        <w:t>59.</w:t>
      </w:r>
      <w:r w:rsidRPr="00F10460">
        <w:rPr>
          <w:lang w:val="fr-FR"/>
        </w:rPr>
        <w:tab/>
        <w:t>Les corrections proposées ont été communiquées aux Parties contractantes le 1</w:t>
      </w:r>
      <w:r w:rsidRPr="00F10460">
        <w:rPr>
          <w:vertAlign w:val="superscript"/>
          <w:lang w:val="fr-FR"/>
        </w:rPr>
        <w:t>er</w:t>
      </w:r>
      <w:r w:rsidRPr="00F10460">
        <w:rPr>
          <w:lang w:val="fr-FR"/>
        </w:rPr>
        <w:t> octobre</w:t>
      </w:r>
      <w:r w:rsidR="005F2624">
        <w:rPr>
          <w:lang w:val="fr-FR"/>
        </w:rPr>
        <w:t xml:space="preserve"> </w:t>
      </w:r>
      <w:r w:rsidRPr="00F10460">
        <w:rPr>
          <w:lang w:val="fr-FR"/>
        </w:rPr>
        <w:t>2020 (date de l</w:t>
      </w:r>
      <w:r>
        <w:rPr>
          <w:lang w:val="fr-FR"/>
        </w:rPr>
        <w:t>’</w:t>
      </w:r>
      <w:r w:rsidRPr="00F10460">
        <w:rPr>
          <w:lang w:val="fr-FR"/>
        </w:rPr>
        <w:t>acceptation des amendements figurant dans le document ECE/ADN/54) pour acceptation conformément à la procédure établie et sont entrées en vigueur le 1</w:t>
      </w:r>
      <w:r w:rsidRPr="00F10460">
        <w:rPr>
          <w:vertAlign w:val="superscript"/>
          <w:lang w:val="fr-FR"/>
        </w:rPr>
        <w:t>er</w:t>
      </w:r>
      <w:r w:rsidRPr="00F10460">
        <w:rPr>
          <w:lang w:val="fr-FR"/>
        </w:rPr>
        <w:t> janvier</w:t>
      </w:r>
      <w:r w:rsidR="005F2624">
        <w:rPr>
          <w:lang w:val="fr-FR"/>
        </w:rPr>
        <w:t xml:space="preserve"> </w:t>
      </w:r>
      <w:r w:rsidRPr="00F10460">
        <w:rPr>
          <w:lang w:val="fr-FR"/>
        </w:rPr>
        <w:t>2021.</w:t>
      </w:r>
    </w:p>
    <w:p w14:paraId="0203CE10" w14:textId="77777777" w:rsidR="00C22589" w:rsidRPr="00F10460" w:rsidRDefault="00C22589" w:rsidP="005F2624">
      <w:pPr>
        <w:pStyle w:val="H23G"/>
        <w:rPr>
          <w:lang w:val="fr-FR"/>
        </w:rPr>
      </w:pPr>
      <w:r w:rsidRPr="00F10460">
        <w:rPr>
          <w:lang w:val="fr-FR"/>
        </w:rPr>
        <w:tab/>
        <w:t>2.</w:t>
      </w:r>
      <w:r w:rsidRPr="00F10460">
        <w:rPr>
          <w:lang w:val="fr-FR"/>
        </w:rPr>
        <w:tab/>
        <w:t>Classification du N</w:t>
      </w:r>
      <w:r w:rsidRPr="005F2624">
        <w:rPr>
          <w:vertAlign w:val="superscript"/>
          <w:lang w:val="fr-FR"/>
        </w:rPr>
        <w:t>o</w:t>
      </w:r>
      <w:r w:rsidR="005F2624">
        <w:rPr>
          <w:lang w:val="fr-FR"/>
        </w:rPr>
        <w:t> </w:t>
      </w:r>
      <w:r w:rsidRPr="00F10460">
        <w:rPr>
          <w:lang w:val="fr-FR"/>
        </w:rPr>
        <w:t>ONU 1872, DIOXYDE DE PLOMB</w:t>
      </w:r>
      <w:bookmarkStart w:id="88" w:name="_Toc63762817"/>
      <w:bookmarkStart w:id="89" w:name="_Toc64472469"/>
      <w:bookmarkEnd w:id="88"/>
      <w:bookmarkEnd w:id="89"/>
    </w:p>
    <w:p w14:paraId="6704DB81" w14:textId="77777777" w:rsidR="00C22589" w:rsidRPr="00F10460" w:rsidRDefault="00C22589" w:rsidP="00F3729A">
      <w:pPr>
        <w:pStyle w:val="SingleTxtG"/>
        <w:tabs>
          <w:tab w:val="left" w:pos="3136"/>
        </w:tabs>
        <w:ind w:left="3136" w:hanging="2002"/>
        <w:jc w:val="left"/>
        <w:rPr>
          <w:lang w:val="fr-FR"/>
        </w:rPr>
      </w:pPr>
      <w:r w:rsidRPr="00F10460">
        <w:rPr>
          <w:i/>
          <w:iCs/>
          <w:lang w:val="fr-FR"/>
        </w:rPr>
        <w:t>Document informel </w:t>
      </w:r>
      <w:r w:rsidRPr="005F2624">
        <w:rPr>
          <w:lang w:val="fr-FR"/>
        </w:rPr>
        <w:t>:</w:t>
      </w:r>
      <w:r w:rsidRPr="00F10460">
        <w:rPr>
          <w:lang w:val="fr-FR"/>
        </w:rPr>
        <w:tab/>
        <w:t>INF.18 (Allemagne)</w:t>
      </w:r>
      <w:r>
        <w:rPr>
          <w:lang w:val="fr-FR"/>
        </w:rPr>
        <w:t>.</w:t>
      </w:r>
    </w:p>
    <w:p w14:paraId="4065DDB3" w14:textId="77777777" w:rsidR="00C22589" w:rsidRPr="00F10460" w:rsidRDefault="00C22589" w:rsidP="00C22589">
      <w:pPr>
        <w:pStyle w:val="SingleTxtG"/>
        <w:rPr>
          <w:lang w:val="fr-FR"/>
        </w:rPr>
      </w:pPr>
      <w:r w:rsidRPr="00F10460">
        <w:rPr>
          <w:lang w:val="fr-FR"/>
        </w:rPr>
        <w:t>60.</w:t>
      </w:r>
      <w:r w:rsidRPr="00F10460">
        <w:rPr>
          <w:lang w:val="fr-FR"/>
        </w:rPr>
        <w:tab/>
        <w:t>Le Comité de sécurité a adopté la proposition d</w:t>
      </w:r>
      <w:r>
        <w:rPr>
          <w:lang w:val="fr-FR"/>
        </w:rPr>
        <w:t>’</w:t>
      </w:r>
      <w:r w:rsidRPr="00F10460">
        <w:rPr>
          <w:lang w:val="fr-FR"/>
        </w:rPr>
        <w:t>amendement de conséquence à l</w:t>
      </w:r>
      <w:r>
        <w:rPr>
          <w:lang w:val="fr-FR"/>
        </w:rPr>
        <w:t>’</w:t>
      </w:r>
      <w:r w:rsidRPr="00F10460">
        <w:rPr>
          <w:lang w:val="fr-FR"/>
        </w:rPr>
        <w:t>ADN pour entrée en vigueur le 1</w:t>
      </w:r>
      <w:r w:rsidRPr="00F10460">
        <w:rPr>
          <w:vertAlign w:val="superscript"/>
          <w:lang w:val="fr-FR"/>
        </w:rPr>
        <w:t>er</w:t>
      </w:r>
      <w:r w:rsidRPr="00F10460">
        <w:rPr>
          <w:lang w:val="fr-FR"/>
        </w:rPr>
        <w:t> janvier</w:t>
      </w:r>
      <w:r w:rsidR="005F2624">
        <w:rPr>
          <w:lang w:val="fr-FR"/>
        </w:rPr>
        <w:t xml:space="preserve"> </w:t>
      </w:r>
      <w:r w:rsidRPr="00F10460">
        <w:rPr>
          <w:lang w:val="fr-FR"/>
        </w:rPr>
        <w:t>2023, sous réserve qu</w:t>
      </w:r>
      <w:r>
        <w:rPr>
          <w:lang w:val="fr-FR"/>
        </w:rPr>
        <w:t>’</w:t>
      </w:r>
      <w:r w:rsidRPr="00F10460">
        <w:rPr>
          <w:lang w:val="fr-FR"/>
        </w:rPr>
        <w:t>il adopte l</w:t>
      </w:r>
      <w:r>
        <w:rPr>
          <w:lang w:val="fr-FR"/>
        </w:rPr>
        <w:t>’</w:t>
      </w:r>
      <w:r w:rsidRPr="00F10460">
        <w:rPr>
          <w:lang w:val="fr-FR"/>
        </w:rPr>
        <w:t>amendement initial</w:t>
      </w:r>
      <w:r>
        <w:rPr>
          <w:lang w:val="fr-FR"/>
        </w:rPr>
        <w:t>,</w:t>
      </w:r>
      <w:r w:rsidRPr="00F10460">
        <w:rPr>
          <w:lang w:val="fr-FR"/>
        </w:rPr>
        <w:t xml:space="preserve"> adopté par la Réunion commune RID/ADR/ADN</w:t>
      </w:r>
      <w:r>
        <w:rPr>
          <w:lang w:val="fr-FR"/>
        </w:rPr>
        <w:t>,</w:t>
      </w:r>
      <w:r w:rsidRPr="00F10460">
        <w:rPr>
          <w:lang w:val="fr-FR"/>
        </w:rPr>
        <w:t xml:space="preserve"> qui lui sera présenté à sa session de janvier</w:t>
      </w:r>
      <w:r w:rsidR="005F2624">
        <w:rPr>
          <w:lang w:val="fr-FR"/>
        </w:rPr>
        <w:t xml:space="preserve"> </w:t>
      </w:r>
      <w:r w:rsidRPr="00F10460">
        <w:rPr>
          <w:lang w:val="fr-FR"/>
        </w:rPr>
        <w:t>2022.</w:t>
      </w:r>
    </w:p>
    <w:p w14:paraId="1EF6F3D8" w14:textId="77777777" w:rsidR="00C22589" w:rsidRPr="00F10460" w:rsidRDefault="00C22589" w:rsidP="005F2624">
      <w:pPr>
        <w:pStyle w:val="H1G"/>
        <w:rPr>
          <w:lang w:val="fr-FR"/>
        </w:rPr>
      </w:pPr>
      <w:r w:rsidRPr="00F10460">
        <w:rPr>
          <w:lang w:val="fr-FR"/>
        </w:rPr>
        <w:tab/>
        <w:t>B.</w:t>
      </w:r>
      <w:r w:rsidRPr="00F10460">
        <w:rPr>
          <w:lang w:val="fr-FR"/>
        </w:rPr>
        <w:tab/>
        <w:t>Autres propositions</w:t>
      </w:r>
      <w:bookmarkStart w:id="90" w:name="_Toc63762818"/>
      <w:bookmarkStart w:id="91" w:name="_Toc64472470"/>
      <w:bookmarkEnd w:id="90"/>
      <w:bookmarkEnd w:id="91"/>
    </w:p>
    <w:p w14:paraId="02F57AD1" w14:textId="77777777" w:rsidR="00C22589" w:rsidRPr="00F10460" w:rsidRDefault="00C22589" w:rsidP="005F2624">
      <w:pPr>
        <w:pStyle w:val="H23G"/>
        <w:rPr>
          <w:lang w:val="fr-FR"/>
        </w:rPr>
      </w:pPr>
      <w:r w:rsidRPr="00F10460">
        <w:rPr>
          <w:lang w:val="fr-FR"/>
        </w:rPr>
        <w:tab/>
        <w:t>1.</w:t>
      </w:r>
      <w:r w:rsidRPr="00F10460">
        <w:rPr>
          <w:lang w:val="fr-FR"/>
        </w:rPr>
        <w:tab/>
        <w:t>Installation d</w:t>
      </w:r>
      <w:r>
        <w:rPr>
          <w:lang w:val="fr-FR"/>
        </w:rPr>
        <w:t>’</w:t>
      </w:r>
      <w:r w:rsidRPr="00F10460">
        <w:rPr>
          <w:lang w:val="fr-FR"/>
        </w:rPr>
        <w:t>extinction d</w:t>
      </w:r>
      <w:r>
        <w:rPr>
          <w:lang w:val="fr-FR"/>
        </w:rPr>
        <w:t>’</w:t>
      </w:r>
      <w:r w:rsidRPr="00F10460">
        <w:rPr>
          <w:lang w:val="fr-FR"/>
        </w:rPr>
        <w:t>incendie à bord d</w:t>
      </w:r>
      <w:r>
        <w:rPr>
          <w:lang w:val="fr-FR"/>
        </w:rPr>
        <w:t>’</w:t>
      </w:r>
      <w:r w:rsidRPr="00F10460">
        <w:rPr>
          <w:lang w:val="fr-FR"/>
        </w:rPr>
        <w:t xml:space="preserve">une barge de poussage </w:t>
      </w:r>
      <w:r w:rsidR="005F2624">
        <w:rPr>
          <w:lang w:val="fr-FR"/>
        </w:rPr>
        <w:br/>
      </w:r>
      <w:r w:rsidRPr="00F10460">
        <w:rPr>
          <w:lang w:val="fr-FR"/>
        </w:rPr>
        <w:t>seule (non motorisée)</w:t>
      </w:r>
      <w:bookmarkStart w:id="92" w:name="_Toc63762819"/>
      <w:bookmarkStart w:id="93" w:name="_Toc64472471"/>
      <w:bookmarkEnd w:id="92"/>
      <w:bookmarkEnd w:id="93"/>
    </w:p>
    <w:p w14:paraId="1E755322" w14:textId="77777777" w:rsidR="00C22589" w:rsidRPr="00F10460" w:rsidRDefault="00C22589" w:rsidP="005F2624">
      <w:pPr>
        <w:pStyle w:val="SingleTxtG"/>
        <w:tabs>
          <w:tab w:val="left" w:pos="3136"/>
        </w:tabs>
        <w:ind w:left="3136" w:hanging="2002"/>
        <w:jc w:val="left"/>
        <w:rPr>
          <w:lang w:val="fr-FR"/>
        </w:rPr>
      </w:pPr>
      <w:r w:rsidRPr="00F10460">
        <w:rPr>
          <w:i/>
          <w:iCs/>
          <w:lang w:val="fr-FR"/>
        </w:rPr>
        <w:t>Document </w:t>
      </w:r>
      <w:r w:rsidRPr="005F2624">
        <w:rPr>
          <w:lang w:val="fr-FR"/>
        </w:rPr>
        <w:t>:</w:t>
      </w:r>
      <w:r w:rsidRPr="00F10460">
        <w:rPr>
          <w:lang w:val="fr-FR"/>
        </w:rPr>
        <w:tab/>
        <w:t>ECE/TRANS/WP.15/AC.2/2020/24 (Autriche)</w:t>
      </w:r>
      <w:r>
        <w:rPr>
          <w:lang w:val="fr-FR"/>
        </w:rPr>
        <w:t>.</w:t>
      </w:r>
    </w:p>
    <w:p w14:paraId="16030377" w14:textId="77777777" w:rsidR="00C22589" w:rsidRPr="00F10460" w:rsidRDefault="00C22589" w:rsidP="00C22589">
      <w:pPr>
        <w:pStyle w:val="SingleTxtG"/>
        <w:rPr>
          <w:lang w:val="fr-FR"/>
        </w:rPr>
      </w:pPr>
      <w:r w:rsidRPr="00F10460">
        <w:rPr>
          <w:lang w:val="fr-FR"/>
        </w:rPr>
        <w:t>61.</w:t>
      </w:r>
      <w:r w:rsidRPr="00F10460">
        <w:rPr>
          <w:lang w:val="fr-FR"/>
        </w:rPr>
        <w:tab/>
        <w:t>Le Comité de sécurité a adopté les amendements proposés au paragraphe 7, avec des modifications supplémentaires (voir annexe I). Le Comité de sécurité est convenu que le mot « local » utilisé au 9.3.x.40.1 devait être interprété comme signifiant « les locaux fermés et les zones du pont situées à l</w:t>
      </w:r>
      <w:r>
        <w:rPr>
          <w:lang w:val="fr-FR"/>
        </w:rPr>
        <w:t>’</w:t>
      </w:r>
      <w:r w:rsidRPr="00F10460">
        <w:rPr>
          <w:lang w:val="fr-FR"/>
        </w:rPr>
        <w:t>avant et à l</w:t>
      </w:r>
      <w:r>
        <w:rPr>
          <w:lang w:val="fr-FR"/>
        </w:rPr>
        <w:t>’</w:t>
      </w:r>
      <w:r w:rsidRPr="00F10460">
        <w:rPr>
          <w:lang w:val="fr-FR"/>
        </w:rPr>
        <w:t>arrière de la zone de cargaison, mais pas l</w:t>
      </w:r>
      <w:r>
        <w:rPr>
          <w:lang w:val="fr-FR"/>
        </w:rPr>
        <w:t>’</w:t>
      </w:r>
      <w:r w:rsidRPr="00F10460">
        <w:rPr>
          <w:lang w:val="fr-FR"/>
        </w:rPr>
        <w:t>intégralité du pont ».</w:t>
      </w:r>
    </w:p>
    <w:p w14:paraId="0CA8BAFC" w14:textId="77777777" w:rsidR="00C22589" w:rsidRPr="00F10460" w:rsidRDefault="00C22589" w:rsidP="005F2624">
      <w:pPr>
        <w:pStyle w:val="H23G"/>
        <w:rPr>
          <w:lang w:val="fr-FR"/>
        </w:rPr>
      </w:pPr>
      <w:r w:rsidRPr="00F10460">
        <w:rPr>
          <w:lang w:val="fr-FR"/>
        </w:rPr>
        <w:tab/>
        <w:t>2.</w:t>
      </w:r>
      <w:r w:rsidRPr="00F10460">
        <w:rPr>
          <w:lang w:val="fr-FR"/>
        </w:rPr>
        <w:tab/>
        <w:t>3.3.1 Disposition spéciale 386</w:t>
      </w:r>
      <w:r w:rsidR="005F2624">
        <w:rPr>
          <w:lang w:val="fr-FR"/>
        </w:rPr>
        <w:t xml:space="preserve"> </w:t>
      </w:r>
      <w:r w:rsidRPr="00F10460">
        <w:rPr>
          <w:lang w:val="fr-FR"/>
        </w:rPr>
        <w:t>− Correction</w:t>
      </w:r>
      <w:bookmarkStart w:id="94" w:name="_Toc63762820"/>
      <w:bookmarkStart w:id="95" w:name="_Toc64472472"/>
      <w:bookmarkEnd w:id="94"/>
      <w:bookmarkEnd w:id="95"/>
    </w:p>
    <w:p w14:paraId="401A055A" w14:textId="77777777" w:rsidR="00C22589" w:rsidRPr="00F10460" w:rsidRDefault="00C22589" w:rsidP="005F2624">
      <w:pPr>
        <w:pStyle w:val="SingleTxtG"/>
        <w:tabs>
          <w:tab w:val="left" w:pos="3136"/>
        </w:tabs>
        <w:ind w:left="3136" w:hanging="2002"/>
        <w:jc w:val="left"/>
        <w:rPr>
          <w:lang w:val="fr-FR"/>
        </w:rPr>
      </w:pPr>
      <w:r w:rsidRPr="00F10460">
        <w:rPr>
          <w:i/>
          <w:iCs/>
          <w:lang w:val="fr-FR"/>
        </w:rPr>
        <w:t>Document </w:t>
      </w:r>
      <w:r w:rsidRPr="005F2624">
        <w:rPr>
          <w:lang w:val="fr-FR"/>
        </w:rPr>
        <w:t>:</w:t>
      </w:r>
      <w:r w:rsidRPr="00F10460">
        <w:rPr>
          <w:lang w:val="fr-FR"/>
        </w:rPr>
        <w:tab/>
        <w:t>ECE/TRANS/WP.15/AC.2/2020/25 (Allemagne)</w:t>
      </w:r>
      <w:r>
        <w:rPr>
          <w:lang w:val="fr-FR"/>
        </w:rPr>
        <w:t>.</w:t>
      </w:r>
    </w:p>
    <w:p w14:paraId="414C2330" w14:textId="77777777" w:rsidR="00C22589" w:rsidRPr="00F10460" w:rsidRDefault="00C22589" w:rsidP="00C22589">
      <w:pPr>
        <w:pStyle w:val="SingleTxtG"/>
        <w:rPr>
          <w:lang w:val="fr-FR"/>
        </w:rPr>
      </w:pPr>
      <w:r w:rsidRPr="00F10460">
        <w:rPr>
          <w:lang w:val="fr-FR"/>
        </w:rPr>
        <w:t>62.</w:t>
      </w:r>
      <w:r w:rsidRPr="00F10460">
        <w:rPr>
          <w:lang w:val="fr-FR"/>
        </w:rPr>
        <w:tab/>
        <w:t>Le représentant de l</w:t>
      </w:r>
      <w:r>
        <w:rPr>
          <w:lang w:val="fr-FR"/>
        </w:rPr>
        <w:t>’</w:t>
      </w:r>
      <w:r w:rsidRPr="00F10460">
        <w:rPr>
          <w:lang w:val="fr-FR"/>
        </w:rPr>
        <w:t>Allemagne a fait remarquer que la correction proposée dans le document avait été adoptée selon la procédure d</w:t>
      </w:r>
      <w:r>
        <w:rPr>
          <w:lang w:val="fr-FR"/>
        </w:rPr>
        <w:t>’</w:t>
      </w:r>
      <w:r w:rsidRPr="00F10460">
        <w:rPr>
          <w:lang w:val="fr-FR"/>
        </w:rPr>
        <w:t>approbation tacite et réputée acceptée le 14 octobre</w:t>
      </w:r>
      <w:r w:rsidR="005F2624">
        <w:rPr>
          <w:lang w:val="fr-FR"/>
        </w:rPr>
        <w:t xml:space="preserve"> </w:t>
      </w:r>
      <w:r w:rsidRPr="00F10460">
        <w:rPr>
          <w:lang w:val="fr-FR"/>
        </w:rPr>
        <w:t>2020 (voir par. 17).</w:t>
      </w:r>
    </w:p>
    <w:p w14:paraId="20EECBF2" w14:textId="77777777" w:rsidR="00C22589" w:rsidRPr="00F10460" w:rsidRDefault="00C22589" w:rsidP="005F2624">
      <w:pPr>
        <w:pStyle w:val="H23G"/>
        <w:rPr>
          <w:lang w:val="fr-FR"/>
        </w:rPr>
      </w:pPr>
      <w:r w:rsidRPr="00F10460">
        <w:rPr>
          <w:lang w:val="fr-FR"/>
        </w:rPr>
        <w:lastRenderedPageBreak/>
        <w:tab/>
        <w:t>3.</w:t>
      </w:r>
      <w:r w:rsidRPr="00F10460">
        <w:rPr>
          <w:lang w:val="fr-FR"/>
        </w:rPr>
        <w:tab/>
        <w:t>Registre des attestations d</w:t>
      </w:r>
      <w:r>
        <w:rPr>
          <w:lang w:val="fr-FR"/>
        </w:rPr>
        <w:t>’</w:t>
      </w:r>
      <w:r w:rsidRPr="00F10460">
        <w:rPr>
          <w:lang w:val="fr-FR"/>
        </w:rPr>
        <w:t>experts, registre des certificats d</w:t>
      </w:r>
      <w:r>
        <w:rPr>
          <w:lang w:val="fr-FR"/>
        </w:rPr>
        <w:t>’</w:t>
      </w:r>
      <w:r w:rsidRPr="00F10460">
        <w:rPr>
          <w:lang w:val="fr-FR"/>
        </w:rPr>
        <w:t xml:space="preserve">agrément, </w:t>
      </w:r>
      <w:r w:rsidR="005F2624">
        <w:rPr>
          <w:lang w:val="fr-FR"/>
        </w:rPr>
        <w:br/>
      </w:r>
      <w:r w:rsidRPr="00F10460">
        <w:rPr>
          <w:lang w:val="fr-FR"/>
        </w:rPr>
        <w:t>1.10.1.6 et 1.16.15.1 de l</w:t>
      </w:r>
      <w:r>
        <w:rPr>
          <w:lang w:val="fr-FR"/>
        </w:rPr>
        <w:t>’</w:t>
      </w:r>
      <w:r w:rsidRPr="00F10460">
        <w:rPr>
          <w:lang w:val="fr-FR"/>
        </w:rPr>
        <w:t>ADN</w:t>
      </w:r>
      <w:bookmarkStart w:id="96" w:name="_Toc63762821"/>
      <w:bookmarkStart w:id="97" w:name="_Toc64472473"/>
      <w:bookmarkEnd w:id="96"/>
      <w:bookmarkEnd w:id="97"/>
    </w:p>
    <w:p w14:paraId="0412BEC9" w14:textId="77777777" w:rsidR="00C22589" w:rsidRPr="00F10460" w:rsidRDefault="00C22589" w:rsidP="005F2624">
      <w:pPr>
        <w:pStyle w:val="SingleTxtG"/>
        <w:tabs>
          <w:tab w:val="left" w:pos="3136"/>
        </w:tabs>
        <w:ind w:left="3136" w:hanging="2002"/>
        <w:jc w:val="left"/>
        <w:rPr>
          <w:lang w:val="fr-FR"/>
        </w:rPr>
      </w:pPr>
      <w:r w:rsidRPr="00F10460">
        <w:rPr>
          <w:i/>
          <w:iCs/>
          <w:lang w:val="fr-FR"/>
        </w:rPr>
        <w:t>Document </w:t>
      </w:r>
      <w:r w:rsidRPr="005F2624">
        <w:rPr>
          <w:lang w:val="fr-FR"/>
        </w:rPr>
        <w:t>:</w:t>
      </w:r>
      <w:r w:rsidRPr="00F10460">
        <w:rPr>
          <w:lang w:val="fr-FR"/>
        </w:rPr>
        <w:tab/>
        <w:t>ECE/TRANS/WP.15/AC.2/2020/27 (Allemagne)</w:t>
      </w:r>
      <w:r>
        <w:rPr>
          <w:lang w:val="fr-FR"/>
        </w:rPr>
        <w:t>.</w:t>
      </w:r>
    </w:p>
    <w:p w14:paraId="5E2DDD84" w14:textId="77777777" w:rsidR="00C22589" w:rsidRPr="00F10460" w:rsidRDefault="00C22589" w:rsidP="00C22589">
      <w:pPr>
        <w:pStyle w:val="SingleTxtG"/>
        <w:rPr>
          <w:lang w:val="fr-FR"/>
        </w:rPr>
      </w:pPr>
      <w:r w:rsidRPr="00F10460">
        <w:rPr>
          <w:lang w:val="fr-FR"/>
        </w:rPr>
        <w:t>63.</w:t>
      </w:r>
      <w:r w:rsidRPr="00F10460">
        <w:rPr>
          <w:lang w:val="fr-FR"/>
        </w:rPr>
        <w:tab/>
        <w:t>Le document n</w:t>
      </w:r>
      <w:r>
        <w:rPr>
          <w:lang w:val="fr-FR"/>
        </w:rPr>
        <w:t>’</w:t>
      </w:r>
      <w:r w:rsidRPr="00F10460">
        <w:rPr>
          <w:lang w:val="fr-FR"/>
        </w:rPr>
        <w:t>a pas reçu l</w:t>
      </w:r>
      <w:r>
        <w:rPr>
          <w:lang w:val="fr-FR"/>
        </w:rPr>
        <w:t>’</w:t>
      </w:r>
      <w:r w:rsidRPr="00F10460">
        <w:rPr>
          <w:lang w:val="fr-FR"/>
        </w:rPr>
        <w:t>appui du Comité de sécurité. Pour garantir une bonne communication entre les Parties contractantes à l</w:t>
      </w:r>
      <w:r>
        <w:rPr>
          <w:lang w:val="fr-FR"/>
        </w:rPr>
        <w:t>’</w:t>
      </w:r>
      <w:r w:rsidRPr="00F10460">
        <w:rPr>
          <w:lang w:val="fr-FR"/>
        </w:rPr>
        <w:t>ADN, les membres ont été invités à passer régulièrement en revue les informations concernant leurs autorités compétentes publiées sur le site web de la CEE</w:t>
      </w:r>
      <w:r w:rsidRPr="005F2624">
        <w:rPr>
          <w:rStyle w:val="Appelnotedebasdep"/>
        </w:rPr>
        <w:footnoteReference w:id="8"/>
      </w:r>
      <w:r w:rsidRPr="00F10460">
        <w:rPr>
          <w:lang w:val="fr-FR"/>
        </w:rPr>
        <w:t xml:space="preserve"> et, le cas échéant, à informer le secrétariat des mises à jour nécessaires, conformément au 1.8.2. Le Comité de sécurité a accueilli avec intérêt les informations communiquées par le représentant de la Belgique sur l</w:t>
      </w:r>
      <w:r>
        <w:rPr>
          <w:lang w:val="fr-FR"/>
        </w:rPr>
        <w:t>’</w:t>
      </w:r>
      <w:r w:rsidRPr="00F10460">
        <w:rPr>
          <w:lang w:val="fr-FR"/>
        </w:rPr>
        <w:t>existence d</w:t>
      </w:r>
      <w:r>
        <w:rPr>
          <w:lang w:val="fr-FR"/>
        </w:rPr>
        <w:t>’</w:t>
      </w:r>
      <w:r w:rsidRPr="00F10460">
        <w:rPr>
          <w:lang w:val="fr-FR"/>
        </w:rPr>
        <w:t>autres bases de données dans l</w:t>
      </w:r>
      <w:r>
        <w:rPr>
          <w:lang w:val="fr-FR"/>
        </w:rPr>
        <w:t>’</w:t>
      </w:r>
      <w:r w:rsidRPr="00F10460">
        <w:rPr>
          <w:lang w:val="fr-FR"/>
        </w:rPr>
        <w:t>Union européenne, mais a fait remarquer que les Parties contractantes à l</w:t>
      </w:r>
      <w:r>
        <w:rPr>
          <w:lang w:val="fr-FR"/>
        </w:rPr>
        <w:t>’</w:t>
      </w:r>
      <w:r w:rsidRPr="00F10460">
        <w:rPr>
          <w:lang w:val="fr-FR"/>
        </w:rPr>
        <w:t>ADN n</w:t>
      </w:r>
      <w:r>
        <w:rPr>
          <w:lang w:val="fr-FR"/>
        </w:rPr>
        <w:t>’</w:t>
      </w:r>
      <w:r w:rsidRPr="00F10460">
        <w:rPr>
          <w:lang w:val="fr-FR"/>
        </w:rPr>
        <w:t>avaient pas toutes accès à ces bases de données.</w:t>
      </w:r>
    </w:p>
    <w:p w14:paraId="2097E925" w14:textId="77777777" w:rsidR="00C22589" w:rsidRPr="00F10460" w:rsidRDefault="00C22589" w:rsidP="00C22589">
      <w:pPr>
        <w:pStyle w:val="SingleTxtG"/>
        <w:rPr>
          <w:lang w:val="fr-FR"/>
        </w:rPr>
      </w:pPr>
      <w:r w:rsidRPr="00F10460">
        <w:rPr>
          <w:lang w:val="fr-FR"/>
        </w:rPr>
        <w:t>64.</w:t>
      </w:r>
      <w:r w:rsidRPr="00F10460">
        <w:rPr>
          <w:lang w:val="fr-FR"/>
        </w:rPr>
        <w:tab/>
        <w:t>À la demande de l</w:t>
      </w:r>
      <w:r>
        <w:rPr>
          <w:lang w:val="fr-FR"/>
        </w:rPr>
        <w:t>’</w:t>
      </w:r>
      <w:r w:rsidRPr="00F10460">
        <w:rPr>
          <w:lang w:val="fr-FR"/>
        </w:rPr>
        <w:t>Allemagne, les Parties contractantes à l</w:t>
      </w:r>
      <w:r>
        <w:rPr>
          <w:lang w:val="fr-FR"/>
        </w:rPr>
        <w:t>’</w:t>
      </w:r>
      <w:r w:rsidRPr="00F10460">
        <w:rPr>
          <w:lang w:val="fr-FR"/>
        </w:rPr>
        <w:t>ADN qui sont également des États membres de l</w:t>
      </w:r>
      <w:r>
        <w:rPr>
          <w:lang w:val="fr-FR"/>
        </w:rPr>
        <w:t>’</w:t>
      </w:r>
      <w:r w:rsidRPr="00F10460">
        <w:rPr>
          <w:lang w:val="fr-FR"/>
        </w:rPr>
        <w:t>UE ont été invitées à donner leur avis sur la manière dont leur gouvernement s</w:t>
      </w:r>
      <w:r>
        <w:rPr>
          <w:lang w:val="fr-FR"/>
        </w:rPr>
        <w:t>’</w:t>
      </w:r>
      <w:r w:rsidRPr="00F10460">
        <w:rPr>
          <w:lang w:val="fr-FR"/>
        </w:rPr>
        <w:t>efforce d</w:t>
      </w:r>
      <w:r>
        <w:rPr>
          <w:lang w:val="fr-FR"/>
        </w:rPr>
        <w:t>’</w:t>
      </w:r>
      <w:r w:rsidRPr="00F10460">
        <w:rPr>
          <w:lang w:val="fr-FR"/>
        </w:rPr>
        <w:t>inscrire dans la loi les exigences de l</w:t>
      </w:r>
      <w:r>
        <w:rPr>
          <w:lang w:val="fr-FR"/>
        </w:rPr>
        <w:t>’</w:t>
      </w:r>
      <w:r w:rsidRPr="00F10460">
        <w:rPr>
          <w:lang w:val="fr-FR"/>
        </w:rPr>
        <w:t>UE en matière de protection des informations personnelles.</w:t>
      </w:r>
    </w:p>
    <w:p w14:paraId="7ED80242" w14:textId="77777777" w:rsidR="00C22589" w:rsidRPr="00F10460" w:rsidRDefault="00C22589" w:rsidP="005F2624">
      <w:pPr>
        <w:pStyle w:val="H23G"/>
        <w:rPr>
          <w:lang w:val="fr-FR"/>
        </w:rPr>
      </w:pPr>
      <w:r w:rsidRPr="00F10460">
        <w:rPr>
          <w:lang w:val="fr-FR"/>
        </w:rPr>
        <w:tab/>
        <w:t>4.</w:t>
      </w:r>
      <w:r w:rsidRPr="00F10460">
        <w:rPr>
          <w:lang w:val="fr-FR"/>
        </w:rPr>
        <w:tab/>
        <w:t>9.3.3.12.8 de l</w:t>
      </w:r>
      <w:r>
        <w:rPr>
          <w:lang w:val="fr-FR"/>
        </w:rPr>
        <w:t>’</w:t>
      </w:r>
      <w:r w:rsidRPr="00F10460">
        <w:rPr>
          <w:lang w:val="fr-FR"/>
        </w:rPr>
        <w:t>ADN</w:t>
      </w:r>
      <w:bookmarkStart w:id="98" w:name="_Toc63762822"/>
      <w:bookmarkStart w:id="99" w:name="_Toc64472474"/>
      <w:bookmarkEnd w:id="98"/>
      <w:bookmarkEnd w:id="99"/>
    </w:p>
    <w:p w14:paraId="3FDBABAB" w14:textId="77777777" w:rsidR="00C22589" w:rsidRPr="00F10460" w:rsidRDefault="00C22589" w:rsidP="005F2624">
      <w:pPr>
        <w:pStyle w:val="SingleTxtG"/>
        <w:tabs>
          <w:tab w:val="left" w:pos="3136"/>
        </w:tabs>
        <w:ind w:left="3136" w:hanging="2002"/>
        <w:jc w:val="left"/>
        <w:rPr>
          <w:lang w:val="fr-FR"/>
        </w:rPr>
      </w:pPr>
      <w:r w:rsidRPr="00F10460">
        <w:rPr>
          <w:i/>
          <w:iCs/>
          <w:lang w:val="fr-FR"/>
        </w:rPr>
        <w:t>Document </w:t>
      </w:r>
      <w:r w:rsidRPr="005F2624">
        <w:rPr>
          <w:lang w:val="fr-FR"/>
        </w:rPr>
        <w:t>:</w:t>
      </w:r>
      <w:r w:rsidRPr="00F10460">
        <w:rPr>
          <w:lang w:val="fr-FR"/>
        </w:rPr>
        <w:tab/>
        <w:t>ECE/TRANS/WP.15/AC.2/2020/28 (Allemagne)</w:t>
      </w:r>
      <w:r>
        <w:rPr>
          <w:lang w:val="fr-FR"/>
        </w:rPr>
        <w:t>.</w:t>
      </w:r>
    </w:p>
    <w:p w14:paraId="6955852D" w14:textId="77777777" w:rsidR="00C22589" w:rsidRPr="00F10460" w:rsidRDefault="00C22589" w:rsidP="00C22589">
      <w:pPr>
        <w:pStyle w:val="SingleTxtG"/>
        <w:rPr>
          <w:lang w:val="fr-FR"/>
        </w:rPr>
      </w:pPr>
      <w:r w:rsidRPr="00F10460">
        <w:rPr>
          <w:lang w:val="fr-FR"/>
        </w:rPr>
        <w:t>65.</w:t>
      </w:r>
      <w:r w:rsidRPr="00F10460">
        <w:rPr>
          <w:lang w:val="fr-FR"/>
        </w:rPr>
        <w:tab/>
        <w:t>Le Comité de sécurité a adopté les amendements proposés (voir annexe I).</w:t>
      </w:r>
    </w:p>
    <w:p w14:paraId="10E3092F" w14:textId="77777777" w:rsidR="00C22589" w:rsidRPr="00F10460" w:rsidRDefault="00C22589" w:rsidP="005F2624">
      <w:pPr>
        <w:pStyle w:val="H23G"/>
        <w:rPr>
          <w:lang w:val="fr-FR"/>
        </w:rPr>
      </w:pPr>
      <w:r w:rsidRPr="00F10460">
        <w:rPr>
          <w:lang w:val="fr-FR"/>
        </w:rPr>
        <w:tab/>
        <w:t>5.</w:t>
      </w:r>
      <w:r w:rsidRPr="00F10460">
        <w:rPr>
          <w:lang w:val="fr-FR"/>
        </w:rPr>
        <w:tab/>
        <w:t>Propositions d</w:t>
      </w:r>
      <w:r>
        <w:rPr>
          <w:lang w:val="fr-FR"/>
        </w:rPr>
        <w:t>’</w:t>
      </w:r>
      <w:r w:rsidRPr="00F10460">
        <w:rPr>
          <w:lang w:val="fr-FR"/>
        </w:rPr>
        <w:t>amendements</w:t>
      </w:r>
      <w:bookmarkStart w:id="100" w:name="_Toc63762823"/>
      <w:bookmarkStart w:id="101" w:name="_Toc64472475"/>
      <w:bookmarkEnd w:id="100"/>
      <w:bookmarkEnd w:id="101"/>
    </w:p>
    <w:p w14:paraId="70E410E2" w14:textId="77777777" w:rsidR="00C22589" w:rsidRPr="00F10460" w:rsidRDefault="00C22589" w:rsidP="005F2624">
      <w:pPr>
        <w:pStyle w:val="SingleTxtG"/>
        <w:tabs>
          <w:tab w:val="left" w:pos="3136"/>
        </w:tabs>
        <w:ind w:left="3136" w:hanging="2002"/>
        <w:jc w:val="left"/>
        <w:rPr>
          <w:lang w:val="fr-FR"/>
        </w:rPr>
      </w:pPr>
      <w:r w:rsidRPr="00F10460">
        <w:rPr>
          <w:i/>
          <w:iCs/>
          <w:lang w:val="fr-FR"/>
        </w:rPr>
        <w:t>Document</w:t>
      </w:r>
      <w:r w:rsidRPr="005F2624">
        <w:rPr>
          <w:lang w:val="fr-FR"/>
        </w:rPr>
        <w:t> :</w:t>
      </w:r>
      <w:r w:rsidRPr="00F10460">
        <w:rPr>
          <w:lang w:val="fr-FR"/>
        </w:rPr>
        <w:tab/>
        <w:t>ECE/TRANS/WP.15/AC.2/2020/30 (Commission du Danube)</w:t>
      </w:r>
      <w:r>
        <w:rPr>
          <w:lang w:val="fr-FR"/>
        </w:rPr>
        <w:t>.</w:t>
      </w:r>
    </w:p>
    <w:p w14:paraId="7868B2DF" w14:textId="77777777" w:rsidR="00C22589" w:rsidRPr="00F10460" w:rsidRDefault="00C22589" w:rsidP="00C22589">
      <w:pPr>
        <w:pStyle w:val="SingleTxtG"/>
        <w:rPr>
          <w:lang w:val="fr-FR"/>
        </w:rPr>
      </w:pPr>
      <w:r w:rsidRPr="00F10460">
        <w:rPr>
          <w:lang w:val="fr-FR"/>
        </w:rPr>
        <w:t>66.</w:t>
      </w:r>
      <w:r w:rsidRPr="00F10460">
        <w:rPr>
          <w:lang w:val="fr-FR"/>
        </w:rPr>
        <w:tab/>
        <w:t>Le Comité de sécurité a pris note de certaines préoccupations, principalement liées au manque de justification des amendements proposés. Le représentant de la Commission du Danube s</w:t>
      </w:r>
      <w:r>
        <w:rPr>
          <w:lang w:val="fr-FR"/>
        </w:rPr>
        <w:t>’</w:t>
      </w:r>
      <w:r w:rsidRPr="00F10460">
        <w:rPr>
          <w:lang w:val="fr-FR"/>
        </w:rPr>
        <w:t>est proposé pour revoir le document et soumettre une nouvelle proposition pour la prochaine session. Le Comité de sécurité a également rappelé le principe selon lequel les modifications qu</w:t>
      </w:r>
      <w:r>
        <w:rPr>
          <w:lang w:val="fr-FR"/>
        </w:rPr>
        <w:t>’</w:t>
      </w:r>
      <w:r w:rsidRPr="00F10460">
        <w:rPr>
          <w:lang w:val="fr-FR"/>
        </w:rPr>
        <w:t>il était proposé d</w:t>
      </w:r>
      <w:r>
        <w:rPr>
          <w:lang w:val="fr-FR"/>
        </w:rPr>
        <w:t>’</w:t>
      </w:r>
      <w:r w:rsidRPr="00F10460">
        <w:rPr>
          <w:lang w:val="fr-FR"/>
        </w:rPr>
        <w:t>apporter au texte devaient être identifiées clairement afin d</w:t>
      </w:r>
      <w:r>
        <w:rPr>
          <w:lang w:val="fr-FR"/>
        </w:rPr>
        <w:t>’</w:t>
      </w:r>
      <w:r w:rsidRPr="00F10460">
        <w:rPr>
          <w:lang w:val="fr-FR"/>
        </w:rPr>
        <w:t>en faciliter l</w:t>
      </w:r>
      <w:r>
        <w:rPr>
          <w:lang w:val="fr-FR"/>
        </w:rPr>
        <w:t>’</w:t>
      </w:r>
      <w:r w:rsidRPr="00F10460">
        <w:rPr>
          <w:lang w:val="fr-FR"/>
        </w:rPr>
        <w:t>examen.</w:t>
      </w:r>
    </w:p>
    <w:p w14:paraId="63A3101E" w14:textId="77777777" w:rsidR="00C22589" w:rsidRPr="00F10460" w:rsidRDefault="00C22589" w:rsidP="005F2624">
      <w:pPr>
        <w:pStyle w:val="H23G"/>
        <w:rPr>
          <w:lang w:val="fr-FR"/>
        </w:rPr>
      </w:pPr>
      <w:r w:rsidRPr="00F10460">
        <w:rPr>
          <w:lang w:val="fr-FR"/>
        </w:rPr>
        <w:tab/>
        <w:t>6.</w:t>
      </w:r>
      <w:r w:rsidRPr="00F10460">
        <w:rPr>
          <w:lang w:val="fr-FR"/>
        </w:rPr>
        <w:tab/>
        <w:t>Soupape basse pression à ressort</w:t>
      </w:r>
      <w:bookmarkStart w:id="102" w:name="_Toc63762824"/>
      <w:bookmarkStart w:id="103" w:name="_Toc64472476"/>
      <w:bookmarkEnd w:id="102"/>
      <w:bookmarkEnd w:id="103"/>
    </w:p>
    <w:p w14:paraId="01AE3987" w14:textId="77777777" w:rsidR="00C22589" w:rsidRPr="00F10460" w:rsidRDefault="00C22589" w:rsidP="005F2624">
      <w:pPr>
        <w:pStyle w:val="SingleTxtG"/>
        <w:tabs>
          <w:tab w:val="left" w:pos="3136"/>
        </w:tabs>
        <w:ind w:left="3136" w:hanging="2002"/>
        <w:jc w:val="left"/>
        <w:rPr>
          <w:lang w:val="fr-FR"/>
        </w:rPr>
      </w:pPr>
      <w:r w:rsidRPr="00F10460">
        <w:rPr>
          <w:i/>
          <w:iCs/>
          <w:lang w:val="fr-FR"/>
        </w:rPr>
        <w:t>Documents </w:t>
      </w:r>
      <w:r w:rsidRPr="005F2624">
        <w:rPr>
          <w:lang w:val="fr-FR"/>
        </w:rPr>
        <w:t>:</w:t>
      </w:r>
      <w:r w:rsidRPr="00F10460">
        <w:rPr>
          <w:lang w:val="fr-FR"/>
        </w:rPr>
        <w:tab/>
        <w:t>ECE/TRANS/WP.15/AC.2/2020/36 (Pays-Bas) ECE/TRANS/WP.15/AC.2/2021/3 (Allemagne)</w:t>
      </w:r>
      <w:r>
        <w:rPr>
          <w:lang w:val="fr-FR"/>
        </w:rPr>
        <w:t>.</w:t>
      </w:r>
    </w:p>
    <w:p w14:paraId="13E18F5E" w14:textId="77777777" w:rsidR="00C22589" w:rsidRPr="00F10460" w:rsidRDefault="00C22589" w:rsidP="005F2624">
      <w:pPr>
        <w:pStyle w:val="SingleTxtG"/>
        <w:tabs>
          <w:tab w:val="left" w:pos="3136"/>
        </w:tabs>
        <w:ind w:left="3136" w:hanging="2002"/>
        <w:jc w:val="left"/>
        <w:rPr>
          <w:lang w:val="fr-FR"/>
        </w:rPr>
      </w:pPr>
      <w:r w:rsidRPr="00F10460">
        <w:rPr>
          <w:i/>
          <w:iCs/>
          <w:lang w:val="fr-FR"/>
        </w:rPr>
        <w:t>Document informel </w:t>
      </w:r>
      <w:r w:rsidRPr="005F2624">
        <w:rPr>
          <w:lang w:val="fr-FR"/>
        </w:rPr>
        <w:t>:</w:t>
      </w:r>
      <w:r w:rsidRPr="00F10460">
        <w:rPr>
          <w:lang w:val="fr-FR"/>
        </w:rPr>
        <w:tab/>
        <w:t>INF.25 (UENF et OEB)</w:t>
      </w:r>
      <w:r>
        <w:rPr>
          <w:lang w:val="fr-FR"/>
        </w:rPr>
        <w:t>.</w:t>
      </w:r>
    </w:p>
    <w:p w14:paraId="4F45B9C7" w14:textId="77777777" w:rsidR="00C22589" w:rsidRPr="00F10460" w:rsidRDefault="00C22589" w:rsidP="00C22589">
      <w:pPr>
        <w:pStyle w:val="SingleTxtG"/>
        <w:rPr>
          <w:lang w:val="fr-FR"/>
        </w:rPr>
      </w:pPr>
      <w:r w:rsidRPr="00F10460">
        <w:rPr>
          <w:lang w:val="fr-FR"/>
        </w:rPr>
        <w:t>67.</w:t>
      </w:r>
      <w:r w:rsidRPr="00F10460">
        <w:rPr>
          <w:lang w:val="fr-FR"/>
        </w:rPr>
        <w:tab/>
        <w:t xml:space="preserve">Le Comité de sécurité a examiné les documents ECE/TRANS/WP.15/AC.2/2020/36 et ECE/TRANS/WP.15/AC.2/2021/3 et a pris note du document informel complémentaire INF.25. </w:t>
      </w:r>
    </w:p>
    <w:p w14:paraId="40F4F3B7" w14:textId="77777777" w:rsidR="00C22589" w:rsidRPr="00F10460" w:rsidRDefault="00C22589" w:rsidP="00C22589">
      <w:pPr>
        <w:pStyle w:val="SingleTxtG"/>
        <w:rPr>
          <w:lang w:val="fr-FR"/>
        </w:rPr>
      </w:pPr>
      <w:r w:rsidRPr="00F10460">
        <w:rPr>
          <w:lang w:val="fr-FR"/>
        </w:rPr>
        <w:t>68.</w:t>
      </w:r>
      <w:r w:rsidRPr="00F10460">
        <w:rPr>
          <w:lang w:val="fr-FR"/>
        </w:rPr>
        <w:tab/>
        <w:t>Le représentant de la Belgique pensait que l</w:t>
      </w:r>
      <w:r>
        <w:rPr>
          <w:lang w:val="fr-FR"/>
        </w:rPr>
        <w:t>’</w:t>
      </w:r>
      <w:r w:rsidRPr="00F10460">
        <w:rPr>
          <w:lang w:val="fr-FR"/>
        </w:rPr>
        <w:t>installation de soupapes basse pression était obligatoire.</w:t>
      </w:r>
    </w:p>
    <w:p w14:paraId="103686F4" w14:textId="77777777" w:rsidR="00C22589" w:rsidRPr="00F10460" w:rsidRDefault="00C22589" w:rsidP="00C22589">
      <w:pPr>
        <w:pStyle w:val="SingleTxtG"/>
        <w:rPr>
          <w:lang w:val="fr-FR"/>
        </w:rPr>
      </w:pPr>
      <w:r w:rsidRPr="00F10460">
        <w:rPr>
          <w:lang w:val="fr-FR"/>
        </w:rPr>
        <w:t>69.</w:t>
      </w:r>
      <w:r w:rsidRPr="00F10460">
        <w:rPr>
          <w:lang w:val="fr-FR"/>
        </w:rPr>
        <w:tab/>
        <w:t>Le Comité de sécurité a estimé que l</w:t>
      </w:r>
      <w:r>
        <w:rPr>
          <w:lang w:val="fr-FR"/>
        </w:rPr>
        <w:t>’</w:t>
      </w:r>
      <w:r w:rsidRPr="00F10460">
        <w:rPr>
          <w:lang w:val="fr-FR"/>
        </w:rPr>
        <w:t>installation de soupapes à basse pression ou de soupapes à vide supplémentaires n</w:t>
      </w:r>
      <w:r>
        <w:rPr>
          <w:lang w:val="fr-FR"/>
        </w:rPr>
        <w:t>’</w:t>
      </w:r>
      <w:r w:rsidRPr="00F10460">
        <w:rPr>
          <w:lang w:val="fr-FR"/>
        </w:rPr>
        <w:t>était</w:t>
      </w:r>
      <w:r w:rsidR="00D45B40">
        <w:rPr>
          <w:lang w:val="fr-FR"/>
        </w:rPr>
        <w:t xml:space="preserve"> </w:t>
      </w:r>
      <w:r w:rsidRPr="00F10460">
        <w:rPr>
          <w:lang w:val="fr-FR"/>
        </w:rPr>
        <w:t>pas une obligation. Le représentant de l</w:t>
      </w:r>
      <w:r>
        <w:rPr>
          <w:lang w:val="fr-FR"/>
        </w:rPr>
        <w:t>’</w:t>
      </w:r>
      <w:r w:rsidRPr="00F10460">
        <w:rPr>
          <w:lang w:val="fr-FR"/>
        </w:rPr>
        <w:t>Allemagne a insisté sur la nécessité de clarifier les dispositions relatives au dégazage des bateaux dans les stations de réception.</w:t>
      </w:r>
    </w:p>
    <w:p w14:paraId="16E3FF75" w14:textId="77777777" w:rsidR="00C22589" w:rsidRPr="00F10460" w:rsidRDefault="00C22589" w:rsidP="00C22589">
      <w:pPr>
        <w:pStyle w:val="SingleTxtG"/>
        <w:rPr>
          <w:lang w:val="fr-FR"/>
        </w:rPr>
      </w:pPr>
      <w:r w:rsidRPr="00F10460">
        <w:rPr>
          <w:lang w:val="fr-FR"/>
        </w:rPr>
        <w:t>70.</w:t>
      </w:r>
      <w:r w:rsidRPr="00F10460">
        <w:rPr>
          <w:lang w:val="fr-FR"/>
        </w:rPr>
        <w:tab/>
        <w:t>Le Comité de sécurité a convenu de procéder à un examen final des propositions à sa prochaine session.</w:t>
      </w:r>
    </w:p>
    <w:p w14:paraId="43CBE38D" w14:textId="77777777" w:rsidR="00C22589" w:rsidRPr="00F10460" w:rsidRDefault="00C22589" w:rsidP="005F2624">
      <w:pPr>
        <w:pStyle w:val="H23G"/>
        <w:rPr>
          <w:lang w:val="fr-FR"/>
        </w:rPr>
      </w:pPr>
      <w:r w:rsidRPr="00F10460">
        <w:rPr>
          <w:lang w:val="fr-FR"/>
        </w:rPr>
        <w:tab/>
        <w:t>7.</w:t>
      </w:r>
      <w:r w:rsidRPr="00F10460">
        <w:rPr>
          <w:lang w:val="fr-FR"/>
        </w:rPr>
        <w:tab/>
        <w:t>Instructions de chargement et de déchargement</w:t>
      </w:r>
      <w:bookmarkStart w:id="104" w:name="_Toc63762825"/>
      <w:bookmarkStart w:id="105" w:name="_Toc64472477"/>
      <w:bookmarkEnd w:id="104"/>
      <w:bookmarkEnd w:id="105"/>
    </w:p>
    <w:p w14:paraId="7FE56CF7" w14:textId="77777777" w:rsidR="00C22589" w:rsidRPr="00F10460" w:rsidRDefault="00C22589" w:rsidP="005F2624">
      <w:pPr>
        <w:pStyle w:val="SingleTxtG"/>
        <w:tabs>
          <w:tab w:val="left" w:pos="3136"/>
        </w:tabs>
        <w:ind w:left="3136" w:hanging="2002"/>
        <w:jc w:val="left"/>
        <w:rPr>
          <w:lang w:val="fr-FR"/>
        </w:rPr>
      </w:pPr>
      <w:r w:rsidRPr="00F10460">
        <w:rPr>
          <w:i/>
          <w:iCs/>
          <w:lang w:val="fr-FR"/>
        </w:rPr>
        <w:t>Document </w:t>
      </w:r>
      <w:r w:rsidRPr="005F2624">
        <w:rPr>
          <w:lang w:val="fr-FR"/>
        </w:rPr>
        <w:t>:</w:t>
      </w:r>
      <w:r w:rsidRPr="00F10460">
        <w:rPr>
          <w:lang w:val="fr-FR"/>
        </w:rPr>
        <w:tab/>
        <w:t>ECE/TRANS/WP.15/AC.2/2020/37 (Pays-Bas)</w:t>
      </w:r>
      <w:r>
        <w:rPr>
          <w:lang w:val="fr-FR"/>
        </w:rPr>
        <w:t>.</w:t>
      </w:r>
    </w:p>
    <w:p w14:paraId="1F922A48" w14:textId="77777777" w:rsidR="00C22589" w:rsidRPr="00F10460" w:rsidRDefault="00C22589" w:rsidP="00C22589">
      <w:pPr>
        <w:pStyle w:val="SingleTxtG"/>
        <w:rPr>
          <w:lang w:val="fr-FR"/>
        </w:rPr>
      </w:pPr>
      <w:r w:rsidRPr="00F10460">
        <w:rPr>
          <w:lang w:val="fr-FR"/>
        </w:rPr>
        <w:t>71.</w:t>
      </w:r>
      <w:r w:rsidRPr="00F10460">
        <w:rPr>
          <w:lang w:val="fr-FR"/>
        </w:rPr>
        <w:tab/>
        <w:t xml:space="preserve">Le représentant de FuelsEurope a fait part de ses préoccupations concernant la détermination de la densité de vapeur, par exemple dans le cas du chargement de mélanges </w:t>
      </w:r>
      <w:r w:rsidRPr="00F10460">
        <w:rPr>
          <w:lang w:val="fr-FR"/>
        </w:rPr>
        <w:lastRenderedPageBreak/>
        <w:t>complexes. Le Comité de sécurité a précisé qu</w:t>
      </w:r>
      <w:r>
        <w:rPr>
          <w:lang w:val="fr-FR"/>
        </w:rPr>
        <w:t>’</w:t>
      </w:r>
      <w:r w:rsidRPr="00F10460">
        <w:rPr>
          <w:lang w:val="fr-FR"/>
        </w:rPr>
        <w:t>en général, les données sur la densité de vapeur étaient fournies par l</w:t>
      </w:r>
      <w:r>
        <w:rPr>
          <w:lang w:val="fr-FR"/>
        </w:rPr>
        <w:t>’</w:t>
      </w:r>
      <w:r w:rsidRPr="00F10460">
        <w:rPr>
          <w:lang w:val="fr-FR"/>
        </w:rPr>
        <w:t>expéditeur ou étaient disponibles dans la fiche de données de sécurité.</w:t>
      </w:r>
    </w:p>
    <w:p w14:paraId="456CCB05" w14:textId="77777777" w:rsidR="00C22589" w:rsidRPr="00F10460" w:rsidRDefault="00C22589" w:rsidP="00C22589">
      <w:pPr>
        <w:pStyle w:val="SingleTxtG"/>
        <w:rPr>
          <w:lang w:val="fr-FR"/>
        </w:rPr>
      </w:pPr>
      <w:r w:rsidRPr="00F10460">
        <w:rPr>
          <w:lang w:val="fr-FR"/>
        </w:rPr>
        <w:t>72.</w:t>
      </w:r>
      <w:r w:rsidRPr="00F10460">
        <w:rPr>
          <w:lang w:val="fr-FR"/>
        </w:rPr>
        <w:tab/>
        <w:t>Le Comité de sécurité a décidé de créer un groupe de travail informel chargé d</w:t>
      </w:r>
      <w:r>
        <w:rPr>
          <w:lang w:val="fr-FR"/>
        </w:rPr>
        <w:t>’</w:t>
      </w:r>
      <w:r w:rsidRPr="00F10460">
        <w:rPr>
          <w:lang w:val="fr-FR"/>
        </w:rPr>
        <w:t>élaborer les amendements proposés et de soumettre une nouvelle proposition à la prochaine session.</w:t>
      </w:r>
    </w:p>
    <w:p w14:paraId="79B567DD" w14:textId="77777777" w:rsidR="00C22589" w:rsidRPr="00F10460" w:rsidRDefault="00C22589" w:rsidP="005F2624">
      <w:pPr>
        <w:pStyle w:val="H23G"/>
        <w:rPr>
          <w:lang w:val="fr-FR"/>
        </w:rPr>
      </w:pPr>
      <w:r w:rsidRPr="00F10460">
        <w:rPr>
          <w:lang w:val="fr-FR"/>
        </w:rPr>
        <w:tab/>
        <w:t>8.</w:t>
      </w:r>
      <w:r w:rsidRPr="00F10460">
        <w:rPr>
          <w:lang w:val="fr-FR"/>
        </w:rPr>
        <w:tab/>
        <w:t>Proposition de correction à la définition de « citerne à membrane »</w:t>
      </w:r>
      <w:bookmarkStart w:id="106" w:name="_Toc63762826"/>
      <w:bookmarkStart w:id="107" w:name="_Toc64472478"/>
      <w:bookmarkEnd w:id="106"/>
      <w:bookmarkEnd w:id="107"/>
    </w:p>
    <w:p w14:paraId="3F5E7C73" w14:textId="77777777" w:rsidR="00C22589" w:rsidRPr="00F10460" w:rsidRDefault="00C22589" w:rsidP="005F2624">
      <w:pPr>
        <w:pStyle w:val="SingleTxtG"/>
        <w:tabs>
          <w:tab w:val="left" w:pos="3136"/>
        </w:tabs>
        <w:ind w:left="3136" w:hanging="2002"/>
        <w:jc w:val="left"/>
        <w:rPr>
          <w:lang w:val="fr-FR"/>
        </w:rPr>
      </w:pPr>
      <w:r w:rsidRPr="00F10460">
        <w:rPr>
          <w:i/>
          <w:iCs/>
          <w:lang w:val="fr-FR"/>
        </w:rPr>
        <w:t>Document </w:t>
      </w:r>
      <w:r w:rsidRPr="005F2624">
        <w:rPr>
          <w:lang w:val="fr-FR"/>
        </w:rPr>
        <w:t>:</w:t>
      </w:r>
      <w:r w:rsidRPr="00F10460">
        <w:rPr>
          <w:lang w:val="fr-FR"/>
        </w:rPr>
        <w:tab/>
        <w:t>ECE/TRANS/WP.15/AC.2/2020/39 (France)</w:t>
      </w:r>
      <w:r>
        <w:rPr>
          <w:lang w:val="fr-FR"/>
        </w:rPr>
        <w:t>.</w:t>
      </w:r>
    </w:p>
    <w:p w14:paraId="26D928A9" w14:textId="77777777" w:rsidR="00C22589" w:rsidRPr="00F10460" w:rsidRDefault="00C22589" w:rsidP="00C22589">
      <w:pPr>
        <w:pStyle w:val="SingleTxtG"/>
        <w:rPr>
          <w:lang w:val="fr-FR"/>
        </w:rPr>
      </w:pPr>
      <w:r w:rsidRPr="00F10460">
        <w:rPr>
          <w:lang w:val="fr-FR"/>
        </w:rPr>
        <w:t>73.</w:t>
      </w:r>
      <w:r w:rsidRPr="00F10460">
        <w:rPr>
          <w:lang w:val="fr-FR"/>
        </w:rPr>
        <w:tab/>
        <w:t>Le Comité de sécurité a noté que les amendements proposés faisaient partie des amendements à l</w:t>
      </w:r>
      <w:r>
        <w:rPr>
          <w:lang w:val="fr-FR"/>
        </w:rPr>
        <w:t>’</w:t>
      </w:r>
      <w:r w:rsidRPr="00F10460">
        <w:rPr>
          <w:lang w:val="fr-FR"/>
        </w:rPr>
        <w:t>ADN adoptés selon la procédure d</w:t>
      </w:r>
      <w:r>
        <w:rPr>
          <w:lang w:val="fr-FR"/>
        </w:rPr>
        <w:t>’</w:t>
      </w:r>
      <w:r w:rsidRPr="00F10460">
        <w:rPr>
          <w:lang w:val="fr-FR"/>
        </w:rPr>
        <w:t>approbation tacite et entrés en vigueur le 1</w:t>
      </w:r>
      <w:r w:rsidRPr="00F10460">
        <w:rPr>
          <w:vertAlign w:val="superscript"/>
          <w:lang w:val="fr-FR"/>
        </w:rPr>
        <w:t>er</w:t>
      </w:r>
      <w:r w:rsidRPr="00F10460">
        <w:rPr>
          <w:lang w:val="fr-FR"/>
        </w:rPr>
        <w:t> janvier</w:t>
      </w:r>
      <w:r w:rsidR="005F2624">
        <w:rPr>
          <w:lang w:val="fr-FR"/>
        </w:rPr>
        <w:t xml:space="preserve"> </w:t>
      </w:r>
      <w:r w:rsidRPr="00F10460">
        <w:rPr>
          <w:lang w:val="fr-FR"/>
        </w:rPr>
        <w:t>2021.</w:t>
      </w:r>
    </w:p>
    <w:p w14:paraId="73F9AFE9" w14:textId="77777777" w:rsidR="00C22589" w:rsidRPr="00F10460" w:rsidRDefault="00C22589" w:rsidP="005F2624">
      <w:pPr>
        <w:pStyle w:val="H23G"/>
        <w:rPr>
          <w:lang w:val="fr-FR"/>
        </w:rPr>
      </w:pPr>
      <w:r w:rsidRPr="00F10460">
        <w:rPr>
          <w:lang w:val="fr-FR"/>
        </w:rPr>
        <w:tab/>
        <w:t>9.</w:t>
      </w:r>
      <w:r w:rsidRPr="00F10460">
        <w:rPr>
          <w:lang w:val="fr-FR"/>
        </w:rPr>
        <w:tab/>
        <w:t>Ajout au 1.16.1.4.2 de la date d</w:t>
      </w:r>
      <w:r>
        <w:rPr>
          <w:lang w:val="fr-FR"/>
        </w:rPr>
        <w:t>’</w:t>
      </w:r>
      <w:r w:rsidRPr="00F10460">
        <w:rPr>
          <w:lang w:val="fr-FR"/>
        </w:rPr>
        <w:t xml:space="preserve">application des dispositions transitoires </w:t>
      </w:r>
      <w:r w:rsidR="005F2624">
        <w:rPr>
          <w:lang w:val="fr-FR"/>
        </w:rPr>
        <w:br/>
      </w:r>
      <w:r w:rsidRPr="00F10460">
        <w:rPr>
          <w:lang w:val="fr-FR"/>
        </w:rPr>
        <w:t>et amendements de conséquence</w:t>
      </w:r>
      <w:bookmarkStart w:id="108" w:name="_Toc63762827"/>
      <w:bookmarkStart w:id="109" w:name="_Toc64472479"/>
      <w:bookmarkEnd w:id="108"/>
      <w:bookmarkEnd w:id="109"/>
    </w:p>
    <w:p w14:paraId="4CDE79A7" w14:textId="77777777" w:rsidR="00C22589" w:rsidRPr="00F10460" w:rsidRDefault="00C22589" w:rsidP="005F2624">
      <w:pPr>
        <w:pStyle w:val="SingleTxtG"/>
        <w:tabs>
          <w:tab w:val="left" w:pos="3136"/>
        </w:tabs>
        <w:ind w:left="3136" w:hanging="2002"/>
        <w:jc w:val="left"/>
        <w:rPr>
          <w:lang w:val="fr-FR"/>
        </w:rPr>
      </w:pPr>
      <w:r w:rsidRPr="00F10460">
        <w:rPr>
          <w:i/>
          <w:iCs/>
          <w:lang w:val="fr-FR"/>
        </w:rPr>
        <w:t>Document </w:t>
      </w:r>
      <w:r w:rsidRPr="005F2624">
        <w:rPr>
          <w:lang w:val="fr-FR"/>
        </w:rPr>
        <w:t>:</w:t>
      </w:r>
      <w:r w:rsidRPr="00F10460">
        <w:rPr>
          <w:lang w:val="fr-FR"/>
        </w:rPr>
        <w:tab/>
        <w:t>ECE/TRANS/WP.15/AC.2/2021/1 (Autriche)</w:t>
      </w:r>
      <w:r>
        <w:rPr>
          <w:lang w:val="fr-FR"/>
        </w:rPr>
        <w:t>.</w:t>
      </w:r>
    </w:p>
    <w:p w14:paraId="0DEDC6D3" w14:textId="77777777" w:rsidR="00C22589" w:rsidRPr="00F10460" w:rsidRDefault="00C22589" w:rsidP="00C22589">
      <w:pPr>
        <w:pStyle w:val="SingleTxtG"/>
        <w:rPr>
          <w:lang w:val="fr-FR"/>
        </w:rPr>
      </w:pPr>
      <w:r w:rsidRPr="00F10460">
        <w:rPr>
          <w:lang w:val="fr-FR"/>
        </w:rPr>
        <w:t>74.</w:t>
      </w:r>
      <w:r w:rsidRPr="00F10460">
        <w:rPr>
          <w:lang w:val="fr-FR"/>
        </w:rPr>
        <w:tab/>
        <w:t>Il a été précisé qu</w:t>
      </w:r>
      <w:r>
        <w:rPr>
          <w:lang w:val="fr-FR"/>
        </w:rPr>
        <w:t>’</w:t>
      </w:r>
      <w:r w:rsidRPr="00F10460">
        <w:rPr>
          <w:lang w:val="fr-FR"/>
        </w:rPr>
        <w:t>au paragraphe 13 du document, il convenait de lire « le certificat d</w:t>
      </w:r>
      <w:r>
        <w:rPr>
          <w:lang w:val="fr-FR"/>
        </w:rPr>
        <w:t>’</w:t>
      </w:r>
      <w:r w:rsidRPr="00F10460">
        <w:rPr>
          <w:lang w:val="fr-FR"/>
        </w:rPr>
        <w:t>agrément sous le numéro 13 ». Le Comité de sécurité a adopté les amendements proposés tels que modifiés (voir annexe I).</w:t>
      </w:r>
    </w:p>
    <w:p w14:paraId="75F1473E" w14:textId="77777777" w:rsidR="00C22589" w:rsidRPr="00F10460" w:rsidRDefault="00C22589" w:rsidP="00C22589">
      <w:pPr>
        <w:pStyle w:val="H23G"/>
        <w:rPr>
          <w:lang w:val="fr-FR"/>
        </w:rPr>
      </w:pPr>
      <w:r w:rsidRPr="00F10460">
        <w:rPr>
          <w:lang w:val="fr-FR"/>
        </w:rPr>
        <w:tab/>
        <w:t>10.</w:t>
      </w:r>
      <w:r w:rsidRPr="00F10460">
        <w:rPr>
          <w:lang w:val="fr-FR"/>
        </w:rPr>
        <w:tab/>
      </w:r>
      <w:r w:rsidRPr="00F10460">
        <w:rPr>
          <w:bCs/>
          <w:lang w:val="fr-FR"/>
        </w:rPr>
        <w:t>Complément aux définitions du 1.2.1</w:t>
      </w:r>
      <w:bookmarkStart w:id="110" w:name="_Toc63762828"/>
      <w:bookmarkStart w:id="111" w:name="_Toc64472480"/>
      <w:bookmarkEnd w:id="110"/>
      <w:bookmarkEnd w:id="111"/>
    </w:p>
    <w:p w14:paraId="44471760" w14:textId="77777777" w:rsidR="00C22589" w:rsidRPr="00F10460" w:rsidRDefault="00C22589" w:rsidP="005F2624">
      <w:pPr>
        <w:pStyle w:val="SingleTxtG"/>
        <w:tabs>
          <w:tab w:val="left" w:pos="3136"/>
        </w:tabs>
        <w:ind w:left="3136" w:hanging="2002"/>
        <w:jc w:val="left"/>
        <w:rPr>
          <w:lang w:val="fr-FR"/>
        </w:rPr>
      </w:pPr>
      <w:r w:rsidRPr="00F10460">
        <w:rPr>
          <w:i/>
          <w:iCs/>
          <w:lang w:val="fr-FR"/>
        </w:rPr>
        <w:t>Document</w:t>
      </w:r>
      <w:r w:rsidRPr="005F2624">
        <w:rPr>
          <w:lang w:val="fr-FR"/>
        </w:rPr>
        <w:t> :</w:t>
      </w:r>
      <w:r w:rsidRPr="00F10460">
        <w:rPr>
          <w:lang w:val="fr-FR"/>
        </w:rPr>
        <w:tab/>
        <w:t>ECE/TRANS/WP.15/AC.2/2021/2 (Autriche)</w:t>
      </w:r>
      <w:r>
        <w:rPr>
          <w:lang w:val="fr-FR"/>
        </w:rPr>
        <w:t>.</w:t>
      </w:r>
    </w:p>
    <w:p w14:paraId="76588F78" w14:textId="77777777" w:rsidR="00C22589" w:rsidRPr="00F10460" w:rsidRDefault="00C22589" w:rsidP="00C22589">
      <w:pPr>
        <w:pStyle w:val="SingleTxtG"/>
        <w:rPr>
          <w:lang w:val="fr-FR"/>
        </w:rPr>
      </w:pPr>
      <w:r w:rsidRPr="00F10460">
        <w:rPr>
          <w:lang w:val="fr-FR"/>
        </w:rPr>
        <w:t>75.</w:t>
      </w:r>
      <w:r w:rsidRPr="00F10460">
        <w:rPr>
          <w:lang w:val="fr-FR"/>
        </w:rPr>
        <w:tab/>
        <w:t>Le Comité de sécurité a adopté les amendements proposés au 1.2.1. Comme les amendements concernent des libellés communs au RID, à l</w:t>
      </w:r>
      <w:r>
        <w:rPr>
          <w:lang w:val="fr-FR"/>
        </w:rPr>
        <w:t>’</w:t>
      </w:r>
      <w:r w:rsidRPr="00F10460">
        <w:rPr>
          <w:lang w:val="fr-FR"/>
        </w:rPr>
        <w:t>ADR et à l</w:t>
      </w:r>
      <w:r>
        <w:rPr>
          <w:lang w:val="fr-FR"/>
        </w:rPr>
        <w:t>’</w:t>
      </w:r>
      <w:r w:rsidRPr="00F10460">
        <w:rPr>
          <w:lang w:val="fr-FR"/>
        </w:rPr>
        <w:t>ADN, le Comité de sécurité a demandé au secrétariat de soumettre les amendements pour examen à la prochaine session de la Réunion commune de la Commission d</w:t>
      </w:r>
      <w:r>
        <w:rPr>
          <w:lang w:val="fr-FR"/>
        </w:rPr>
        <w:t>’</w:t>
      </w:r>
      <w:r w:rsidRPr="00F10460">
        <w:rPr>
          <w:lang w:val="fr-FR"/>
        </w:rPr>
        <w:t>experts du RID et du Groupe de travail des transports de marchandises dangereuses (WP.15/AC.1).</w:t>
      </w:r>
    </w:p>
    <w:p w14:paraId="3E84E761" w14:textId="77777777" w:rsidR="00C22589" w:rsidRPr="00F10460" w:rsidRDefault="00C22589" w:rsidP="005F2624">
      <w:pPr>
        <w:pStyle w:val="H23G"/>
        <w:rPr>
          <w:lang w:val="fr-FR"/>
        </w:rPr>
      </w:pPr>
      <w:r w:rsidRPr="00F10460">
        <w:rPr>
          <w:lang w:val="fr-FR"/>
        </w:rPr>
        <w:tab/>
        <w:t>11.</w:t>
      </w:r>
      <w:r w:rsidRPr="00F10460">
        <w:rPr>
          <w:lang w:val="fr-FR"/>
        </w:rPr>
        <w:tab/>
        <w:t>3.2.1 de l</w:t>
      </w:r>
      <w:r>
        <w:rPr>
          <w:lang w:val="fr-FR"/>
        </w:rPr>
        <w:t>’</w:t>
      </w:r>
      <w:r w:rsidRPr="00F10460">
        <w:rPr>
          <w:lang w:val="fr-FR"/>
        </w:rPr>
        <w:t>ADN</w:t>
      </w:r>
      <w:r w:rsidR="005F2624">
        <w:rPr>
          <w:lang w:val="fr-FR"/>
        </w:rPr>
        <w:t xml:space="preserve"> </w:t>
      </w:r>
      <w:r w:rsidRPr="00F10460">
        <w:rPr>
          <w:lang w:val="fr-FR"/>
        </w:rPr>
        <w:t>− Tableau A</w:t>
      </w:r>
      <w:bookmarkStart w:id="112" w:name="_Toc63762829"/>
      <w:bookmarkStart w:id="113" w:name="_Toc64472481"/>
      <w:bookmarkEnd w:id="112"/>
      <w:bookmarkEnd w:id="113"/>
    </w:p>
    <w:p w14:paraId="0BAD4697" w14:textId="77777777" w:rsidR="00C22589" w:rsidRPr="00F10460" w:rsidRDefault="00C22589" w:rsidP="005F2624">
      <w:pPr>
        <w:pStyle w:val="SingleTxtG"/>
        <w:tabs>
          <w:tab w:val="left" w:pos="3136"/>
        </w:tabs>
        <w:ind w:left="3136" w:hanging="2002"/>
        <w:jc w:val="left"/>
        <w:rPr>
          <w:lang w:val="fr-FR"/>
        </w:rPr>
      </w:pPr>
      <w:r w:rsidRPr="00F10460">
        <w:rPr>
          <w:i/>
          <w:iCs/>
          <w:lang w:val="fr-FR"/>
        </w:rPr>
        <w:t>Document </w:t>
      </w:r>
      <w:r w:rsidRPr="005F2624">
        <w:rPr>
          <w:lang w:val="fr-FR"/>
        </w:rPr>
        <w:t>:</w:t>
      </w:r>
      <w:r w:rsidRPr="00F10460">
        <w:rPr>
          <w:lang w:val="fr-FR"/>
        </w:rPr>
        <w:tab/>
        <w:t>ECE/TRANS/WP.15/AC.2/2021/4 (Allemagne)</w:t>
      </w:r>
      <w:r>
        <w:rPr>
          <w:lang w:val="fr-FR"/>
        </w:rPr>
        <w:t>.</w:t>
      </w:r>
    </w:p>
    <w:p w14:paraId="1179B3E0" w14:textId="77777777" w:rsidR="00C22589" w:rsidRPr="00F10460" w:rsidRDefault="00C22589" w:rsidP="00C22589">
      <w:pPr>
        <w:pStyle w:val="SingleTxtG"/>
        <w:rPr>
          <w:lang w:val="fr-FR"/>
        </w:rPr>
      </w:pPr>
      <w:r w:rsidRPr="00F10460">
        <w:rPr>
          <w:lang w:val="fr-FR"/>
        </w:rPr>
        <w:t>76.</w:t>
      </w:r>
      <w:r w:rsidRPr="00F10460">
        <w:rPr>
          <w:lang w:val="fr-FR"/>
        </w:rPr>
        <w:tab/>
        <w:t>Le Comité de sécurité a adopté les amendements proposés pour les N</w:t>
      </w:r>
      <w:r w:rsidRPr="005F2624">
        <w:rPr>
          <w:vertAlign w:val="superscript"/>
          <w:lang w:val="fr-FR"/>
        </w:rPr>
        <w:t>os</w:t>
      </w:r>
      <w:r w:rsidRPr="00F10460">
        <w:rPr>
          <w:lang w:val="fr-FR"/>
        </w:rPr>
        <w:t> ONU 1408, 1694, 1950, 3206 et 3408 (voir annexe I). Le groupe de travail informel des matières a été chargé de vérifier toutes les rubriques existantes pour lesquelles aucun groupe d</w:t>
      </w:r>
      <w:r>
        <w:rPr>
          <w:lang w:val="fr-FR"/>
        </w:rPr>
        <w:t>’</w:t>
      </w:r>
      <w:r w:rsidRPr="00F10460">
        <w:rPr>
          <w:lang w:val="fr-FR"/>
        </w:rPr>
        <w:t>emballage n</w:t>
      </w:r>
      <w:r>
        <w:rPr>
          <w:lang w:val="fr-FR"/>
        </w:rPr>
        <w:t>’</w:t>
      </w:r>
      <w:r w:rsidRPr="00F10460">
        <w:rPr>
          <w:lang w:val="fr-FR"/>
        </w:rPr>
        <w:t>est attribué mais qui nécessitent néanmoins l</w:t>
      </w:r>
      <w:r>
        <w:rPr>
          <w:lang w:val="fr-FR"/>
        </w:rPr>
        <w:t>’</w:t>
      </w:r>
      <w:r w:rsidRPr="00F10460">
        <w:rPr>
          <w:lang w:val="fr-FR"/>
        </w:rPr>
        <w:t>utilisation de cônes bleus. Il a été décidé de reporter l</w:t>
      </w:r>
      <w:r>
        <w:rPr>
          <w:lang w:val="fr-FR"/>
        </w:rPr>
        <w:t>’</w:t>
      </w:r>
      <w:r w:rsidRPr="00F10460">
        <w:rPr>
          <w:lang w:val="fr-FR"/>
        </w:rPr>
        <w:t>adoption des amendements proposés pour les N</w:t>
      </w:r>
      <w:r w:rsidRPr="005F2624">
        <w:rPr>
          <w:vertAlign w:val="superscript"/>
          <w:lang w:val="fr-FR"/>
        </w:rPr>
        <w:t>os</w:t>
      </w:r>
      <w:r w:rsidRPr="00F10460">
        <w:rPr>
          <w:lang w:val="fr-FR"/>
        </w:rPr>
        <w:t> ONU 3473 et 3540 jusqu</w:t>
      </w:r>
      <w:r>
        <w:rPr>
          <w:lang w:val="fr-FR"/>
        </w:rPr>
        <w:t>’</w:t>
      </w:r>
      <w:r w:rsidRPr="00F10460">
        <w:rPr>
          <w:lang w:val="fr-FR"/>
        </w:rPr>
        <w:t>à ce que cette vérification ait été effectuée.</w:t>
      </w:r>
    </w:p>
    <w:p w14:paraId="04F64184" w14:textId="77777777" w:rsidR="00C22589" w:rsidRPr="00F10460" w:rsidRDefault="00C22589" w:rsidP="00C22589">
      <w:pPr>
        <w:pStyle w:val="H23G"/>
        <w:rPr>
          <w:lang w:val="fr-FR"/>
        </w:rPr>
      </w:pPr>
      <w:r w:rsidRPr="00F10460">
        <w:rPr>
          <w:lang w:val="fr-FR"/>
        </w:rPr>
        <w:tab/>
        <w:t>12.</w:t>
      </w:r>
      <w:r w:rsidRPr="00F10460">
        <w:rPr>
          <w:lang w:val="fr-FR"/>
        </w:rPr>
        <w:tab/>
      </w:r>
      <w:r w:rsidRPr="00F10460">
        <w:rPr>
          <w:bCs/>
          <w:lang w:val="fr-FR"/>
        </w:rPr>
        <w:t>7.1.4.4.4 de l</w:t>
      </w:r>
      <w:r>
        <w:rPr>
          <w:bCs/>
          <w:lang w:val="fr-FR"/>
        </w:rPr>
        <w:t>’</w:t>
      </w:r>
      <w:r w:rsidRPr="00F10460">
        <w:rPr>
          <w:bCs/>
          <w:lang w:val="fr-FR"/>
        </w:rPr>
        <w:t>ADN − Interdiction de chargement en commun et exemples d</w:t>
      </w:r>
      <w:r>
        <w:rPr>
          <w:bCs/>
          <w:lang w:val="fr-FR"/>
        </w:rPr>
        <w:t>’</w:t>
      </w:r>
      <w:r w:rsidRPr="00F10460">
        <w:rPr>
          <w:bCs/>
          <w:lang w:val="fr-FR"/>
        </w:rPr>
        <w:t>entreposage et de séparation des conteneurs</w:t>
      </w:r>
      <w:bookmarkStart w:id="114" w:name="_Toc63762830"/>
      <w:bookmarkStart w:id="115" w:name="_Toc64472482"/>
      <w:bookmarkEnd w:id="114"/>
      <w:bookmarkEnd w:id="115"/>
    </w:p>
    <w:p w14:paraId="763C0DB6" w14:textId="77777777" w:rsidR="00C22589" w:rsidRPr="00F10460" w:rsidRDefault="00C22589" w:rsidP="005F2624">
      <w:pPr>
        <w:pStyle w:val="SingleTxtG"/>
        <w:tabs>
          <w:tab w:val="left" w:pos="3136"/>
        </w:tabs>
        <w:ind w:left="3136" w:hanging="2002"/>
        <w:jc w:val="left"/>
        <w:rPr>
          <w:lang w:val="fr-FR"/>
        </w:rPr>
      </w:pPr>
      <w:r w:rsidRPr="00F10460">
        <w:rPr>
          <w:i/>
          <w:iCs/>
          <w:lang w:val="fr-FR"/>
        </w:rPr>
        <w:t>Document</w:t>
      </w:r>
      <w:r w:rsidRPr="005F2624">
        <w:rPr>
          <w:lang w:val="fr-FR"/>
        </w:rPr>
        <w:t> :</w:t>
      </w:r>
      <w:r w:rsidRPr="00F10460">
        <w:rPr>
          <w:lang w:val="fr-FR"/>
        </w:rPr>
        <w:tab/>
        <w:t>ECE/TRANS/WP.15/AC.2/2021/5 (Allemagne)</w:t>
      </w:r>
      <w:r>
        <w:rPr>
          <w:lang w:val="fr-FR"/>
        </w:rPr>
        <w:t>.</w:t>
      </w:r>
    </w:p>
    <w:p w14:paraId="78E6F820" w14:textId="77777777" w:rsidR="00C22589" w:rsidRPr="00F10460" w:rsidRDefault="00C22589" w:rsidP="00C22589">
      <w:pPr>
        <w:pStyle w:val="SingleTxtG"/>
        <w:rPr>
          <w:lang w:val="fr-FR"/>
        </w:rPr>
      </w:pPr>
      <w:r w:rsidRPr="00F10460">
        <w:rPr>
          <w:lang w:val="fr-FR"/>
        </w:rPr>
        <w:t>77.</w:t>
      </w:r>
      <w:r w:rsidRPr="00F10460">
        <w:rPr>
          <w:lang w:val="fr-FR"/>
        </w:rPr>
        <w:tab/>
        <w:t>Le Comité de sécurité s</w:t>
      </w:r>
      <w:r>
        <w:rPr>
          <w:lang w:val="fr-FR"/>
        </w:rPr>
        <w:t>’</w:t>
      </w:r>
      <w:r w:rsidRPr="00F10460">
        <w:rPr>
          <w:lang w:val="fr-FR"/>
        </w:rPr>
        <w:t>est prononcé en faveur du libellé le plus court pour l</w:t>
      </w:r>
      <w:r>
        <w:rPr>
          <w:lang w:val="fr-FR"/>
        </w:rPr>
        <w:t>’</w:t>
      </w:r>
      <w:r w:rsidRPr="00F10460">
        <w:rPr>
          <w:lang w:val="fr-FR"/>
        </w:rPr>
        <w:t>amendement relatif à la lettre Z et a adopté la proposition telle que modifiée, y compris une formulation adaptée pour la lettre R (voir annexe I).</w:t>
      </w:r>
    </w:p>
    <w:p w14:paraId="4FC9CAF3" w14:textId="77777777" w:rsidR="00C22589" w:rsidRPr="00F10460" w:rsidRDefault="00C22589" w:rsidP="005F2624">
      <w:pPr>
        <w:pStyle w:val="H23G"/>
        <w:rPr>
          <w:lang w:val="fr-FR"/>
        </w:rPr>
      </w:pPr>
      <w:r w:rsidRPr="00F10460">
        <w:rPr>
          <w:lang w:val="fr-FR"/>
        </w:rPr>
        <w:tab/>
        <w:t>13.</w:t>
      </w:r>
      <w:r w:rsidRPr="00F10460">
        <w:rPr>
          <w:lang w:val="fr-FR"/>
        </w:rPr>
        <w:tab/>
        <w:t>Installations de propulsion électrique et stockage d</w:t>
      </w:r>
      <w:r>
        <w:rPr>
          <w:lang w:val="fr-FR"/>
        </w:rPr>
        <w:t>’</w:t>
      </w:r>
      <w:r w:rsidRPr="00F10460">
        <w:rPr>
          <w:lang w:val="fr-FR"/>
        </w:rPr>
        <w:t xml:space="preserve">énergie : Proposition </w:t>
      </w:r>
      <w:r w:rsidR="005F2624">
        <w:rPr>
          <w:lang w:val="fr-FR"/>
        </w:rPr>
        <w:br/>
      </w:r>
      <w:r w:rsidRPr="00F10460">
        <w:rPr>
          <w:lang w:val="fr-FR"/>
        </w:rPr>
        <w:t>d</w:t>
      </w:r>
      <w:r>
        <w:rPr>
          <w:lang w:val="fr-FR"/>
        </w:rPr>
        <w:t>’</w:t>
      </w:r>
      <w:r w:rsidRPr="00F10460">
        <w:rPr>
          <w:lang w:val="fr-FR"/>
        </w:rPr>
        <w:t>évaluation de la nécessité de dispositions supplémentaires de l</w:t>
      </w:r>
      <w:r>
        <w:rPr>
          <w:lang w:val="fr-FR"/>
        </w:rPr>
        <w:t>’</w:t>
      </w:r>
      <w:r w:rsidRPr="00F10460">
        <w:rPr>
          <w:lang w:val="fr-FR"/>
        </w:rPr>
        <w:t xml:space="preserve">ADN </w:t>
      </w:r>
      <w:r w:rsidR="005F2624">
        <w:rPr>
          <w:lang w:val="fr-FR"/>
        </w:rPr>
        <w:br/>
      </w:r>
      <w:r w:rsidRPr="00F10460">
        <w:rPr>
          <w:lang w:val="fr-FR"/>
        </w:rPr>
        <w:t xml:space="preserve">pour le transport de marchandises dangereuses en toute sécurité </w:t>
      </w:r>
      <w:r w:rsidR="005F2624">
        <w:rPr>
          <w:lang w:val="fr-FR"/>
        </w:rPr>
        <w:br/>
      </w:r>
      <w:r w:rsidRPr="00F10460">
        <w:rPr>
          <w:lang w:val="fr-FR"/>
        </w:rPr>
        <w:t>avec des bateaux utilisant des installations de propulsion électrique</w:t>
      </w:r>
      <w:bookmarkStart w:id="116" w:name="_Toc63762831"/>
      <w:bookmarkStart w:id="117" w:name="_Toc64472483"/>
      <w:bookmarkEnd w:id="116"/>
      <w:bookmarkEnd w:id="117"/>
    </w:p>
    <w:p w14:paraId="0B7BB8B4" w14:textId="77777777" w:rsidR="00C22589" w:rsidRPr="00F10460" w:rsidRDefault="00C22589" w:rsidP="005F2624">
      <w:pPr>
        <w:pStyle w:val="SingleTxtG"/>
        <w:tabs>
          <w:tab w:val="left" w:pos="3136"/>
        </w:tabs>
        <w:ind w:left="3136" w:hanging="2002"/>
        <w:jc w:val="left"/>
        <w:rPr>
          <w:lang w:val="fr-FR"/>
        </w:rPr>
      </w:pPr>
      <w:r w:rsidRPr="00F10460">
        <w:rPr>
          <w:i/>
          <w:iCs/>
          <w:lang w:val="fr-FR"/>
        </w:rPr>
        <w:t>Document </w:t>
      </w:r>
      <w:r w:rsidRPr="005F2624">
        <w:rPr>
          <w:lang w:val="fr-FR"/>
        </w:rPr>
        <w:t>:</w:t>
      </w:r>
      <w:r w:rsidRPr="00F10460">
        <w:rPr>
          <w:lang w:val="fr-FR"/>
        </w:rPr>
        <w:tab/>
        <w:t>ECE/TRANS/WP.15/AC.2/2021/6 (CCNR)</w:t>
      </w:r>
      <w:r>
        <w:rPr>
          <w:lang w:val="fr-FR"/>
        </w:rPr>
        <w:t>.</w:t>
      </w:r>
    </w:p>
    <w:p w14:paraId="24697E80" w14:textId="77777777" w:rsidR="00C22589" w:rsidRPr="00F10460" w:rsidRDefault="00C22589" w:rsidP="00C22589">
      <w:pPr>
        <w:pStyle w:val="SingleTxtG"/>
        <w:rPr>
          <w:lang w:val="fr-FR"/>
        </w:rPr>
      </w:pPr>
      <w:r w:rsidRPr="00F10460">
        <w:rPr>
          <w:lang w:val="fr-FR"/>
        </w:rPr>
        <w:t>78.</w:t>
      </w:r>
      <w:r w:rsidRPr="00F10460">
        <w:rPr>
          <w:lang w:val="fr-FR"/>
        </w:rPr>
        <w:tab/>
        <w:t>Le Comité de sécurité a invité les sociétés de classification ADN recommandées à aborder, lors de leur réunion de mars, les conclusions formulées aux paragraphes</w:t>
      </w:r>
      <w:r w:rsidR="005F2624">
        <w:rPr>
          <w:lang w:val="fr-FR"/>
        </w:rPr>
        <w:t> </w:t>
      </w:r>
      <w:r w:rsidRPr="00F10460">
        <w:rPr>
          <w:lang w:val="fr-FR"/>
        </w:rPr>
        <w:t xml:space="preserve">24 à 29 du document et à rendre compte de leurs débats à la prochaine session. Il a été noté que le CESNI </w:t>
      </w:r>
      <w:r w:rsidRPr="00F10460">
        <w:rPr>
          <w:lang w:val="fr-FR"/>
        </w:rPr>
        <w:lastRenderedPageBreak/>
        <w:t>menait actuellement des travaux dont il faudrait tenir compte afin d</w:t>
      </w:r>
      <w:r>
        <w:rPr>
          <w:lang w:val="fr-FR"/>
        </w:rPr>
        <w:t>’</w:t>
      </w:r>
      <w:r w:rsidRPr="00F10460">
        <w:rPr>
          <w:lang w:val="fr-FR"/>
        </w:rPr>
        <w:t>éviter les chevauchements.</w:t>
      </w:r>
    </w:p>
    <w:p w14:paraId="7E26B54F" w14:textId="77777777" w:rsidR="00C22589" w:rsidRPr="00F10460" w:rsidRDefault="00C22589" w:rsidP="00C22589">
      <w:pPr>
        <w:pStyle w:val="SingleTxtG"/>
        <w:rPr>
          <w:lang w:val="fr-FR"/>
        </w:rPr>
      </w:pPr>
      <w:r w:rsidRPr="00F10460">
        <w:rPr>
          <w:lang w:val="fr-FR"/>
        </w:rPr>
        <w:t>79.</w:t>
      </w:r>
      <w:r w:rsidRPr="00F10460">
        <w:rPr>
          <w:lang w:val="fr-FR"/>
        </w:rPr>
        <w:tab/>
        <w:t>En fonction de l</w:t>
      </w:r>
      <w:r>
        <w:rPr>
          <w:lang w:val="fr-FR"/>
        </w:rPr>
        <w:t>’</w:t>
      </w:r>
      <w:r w:rsidRPr="00F10460">
        <w:rPr>
          <w:lang w:val="fr-FR"/>
        </w:rPr>
        <w:t>issue de ces activités, le Comité de sécurité envisagera la possibilité de créer un groupe de travail sur la base d</w:t>
      </w:r>
      <w:r>
        <w:rPr>
          <w:lang w:val="fr-FR"/>
        </w:rPr>
        <w:t>’</w:t>
      </w:r>
      <w:r w:rsidRPr="00F10460">
        <w:rPr>
          <w:lang w:val="fr-FR"/>
        </w:rPr>
        <w:t>un projet de mandat.</w:t>
      </w:r>
    </w:p>
    <w:p w14:paraId="2E069C79" w14:textId="77777777" w:rsidR="00C22589" w:rsidRPr="00F10460" w:rsidRDefault="00C22589" w:rsidP="005F2624">
      <w:pPr>
        <w:pStyle w:val="H23G"/>
        <w:rPr>
          <w:lang w:val="fr-FR"/>
        </w:rPr>
      </w:pPr>
      <w:r w:rsidRPr="00F10460">
        <w:rPr>
          <w:lang w:val="fr-FR"/>
        </w:rPr>
        <w:tab/>
        <w:t>14.</w:t>
      </w:r>
      <w:r w:rsidRPr="00F10460">
        <w:rPr>
          <w:lang w:val="fr-FR"/>
        </w:rPr>
        <w:tab/>
        <w:t xml:space="preserve">Harmonisation de la terminologie utilisée dans le 8.1.2.2 f) et le 8.1.2.3 s) </w:t>
      </w:r>
      <w:r w:rsidR="005F2624">
        <w:rPr>
          <w:lang w:val="fr-FR"/>
        </w:rPr>
        <w:br/>
      </w:r>
      <w:r w:rsidRPr="00F10460">
        <w:rPr>
          <w:lang w:val="fr-FR"/>
        </w:rPr>
        <w:t>de l</w:t>
      </w:r>
      <w:r>
        <w:rPr>
          <w:lang w:val="fr-FR"/>
        </w:rPr>
        <w:t>’</w:t>
      </w:r>
      <w:r w:rsidRPr="00F10460">
        <w:rPr>
          <w:lang w:val="fr-FR"/>
        </w:rPr>
        <w:t>ADN 2019</w:t>
      </w:r>
      <w:r w:rsidR="005F2624">
        <w:rPr>
          <w:lang w:val="fr-FR"/>
        </w:rPr>
        <w:t xml:space="preserve"> </w:t>
      </w:r>
      <w:r w:rsidRPr="00F10460">
        <w:rPr>
          <w:lang w:val="fr-FR"/>
        </w:rPr>
        <w:t xml:space="preserve">− Documents supplémentaires devant être présents à bord </w:t>
      </w:r>
      <w:r w:rsidR="005F2624">
        <w:rPr>
          <w:lang w:val="fr-FR"/>
        </w:rPr>
        <w:br/>
      </w:r>
      <w:r w:rsidRPr="00F10460">
        <w:rPr>
          <w:lang w:val="fr-FR"/>
        </w:rPr>
        <w:t>des bateaux à marchandises sèches et des bateaux-citernes</w:t>
      </w:r>
      <w:bookmarkStart w:id="118" w:name="_Toc63762832"/>
      <w:bookmarkStart w:id="119" w:name="_Toc64472484"/>
      <w:bookmarkEnd w:id="118"/>
      <w:bookmarkEnd w:id="119"/>
    </w:p>
    <w:p w14:paraId="4EADA2B3" w14:textId="77777777" w:rsidR="00C22589" w:rsidRPr="00F10460" w:rsidRDefault="00C22589" w:rsidP="005F2624">
      <w:pPr>
        <w:pStyle w:val="SingleTxtG"/>
        <w:tabs>
          <w:tab w:val="left" w:pos="3136"/>
        </w:tabs>
        <w:ind w:left="3136" w:hanging="2002"/>
        <w:jc w:val="left"/>
        <w:rPr>
          <w:lang w:val="fr-FR"/>
        </w:rPr>
      </w:pPr>
      <w:r w:rsidRPr="00F10460">
        <w:rPr>
          <w:i/>
          <w:iCs/>
          <w:lang w:val="fr-FR"/>
        </w:rPr>
        <w:t>Document </w:t>
      </w:r>
      <w:r w:rsidRPr="005F2624">
        <w:rPr>
          <w:lang w:val="fr-FR"/>
        </w:rPr>
        <w:t>:</w:t>
      </w:r>
      <w:r w:rsidRPr="00F10460">
        <w:rPr>
          <w:lang w:val="fr-FR"/>
        </w:rPr>
        <w:tab/>
        <w:t>ECE/TRANS/WP.15/AC.2/2021/7 (CCNR)</w:t>
      </w:r>
      <w:r>
        <w:rPr>
          <w:lang w:val="fr-FR"/>
        </w:rPr>
        <w:t>.</w:t>
      </w:r>
    </w:p>
    <w:p w14:paraId="76479793" w14:textId="77777777" w:rsidR="00C22589" w:rsidRPr="00F10460" w:rsidRDefault="00C22589" w:rsidP="00C22589">
      <w:pPr>
        <w:pStyle w:val="SingleTxtG"/>
        <w:rPr>
          <w:lang w:val="fr-FR"/>
        </w:rPr>
      </w:pPr>
      <w:r w:rsidRPr="00F10460">
        <w:rPr>
          <w:lang w:val="fr-FR"/>
        </w:rPr>
        <w:t>80.</w:t>
      </w:r>
      <w:r w:rsidRPr="00F10460">
        <w:rPr>
          <w:lang w:val="fr-FR"/>
        </w:rPr>
        <w:tab/>
        <w:t>Le Comité de sécurité a apporté son soutien au travail effectué par la CCNR, tout en constatant que des changements pourraient également être nécessaires ailleurs dans l</w:t>
      </w:r>
      <w:r>
        <w:rPr>
          <w:lang w:val="fr-FR"/>
        </w:rPr>
        <w:t>’</w:t>
      </w:r>
      <w:r w:rsidRPr="00F10460">
        <w:rPr>
          <w:lang w:val="fr-FR"/>
        </w:rPr>
        <w:t>ADN. Les membres ont été invités à envoyer leurs commentaires au représentant de la CCNR. Il a été décidé de reprendre l</w:t>
      </w:r>
      <w:r>
        <w:rPr>
          <w:lang w:val="fr-FR"/>
        </w:rPr>
        <w:t>’</w:t>
      </w:r>
      <w:r w:rsidRPr="00F10460">
        <w:rPr>
          <w:lang w:val="fr-FR"/>
        </w:rPr>
        <w:t>examen de cette question à la session suivante, sur la base d</w:t>
      </w:r>
      <w:r>
        <w:rPr>
          <w:lang w:val="fr-FR"/>
        </w:rPr>
        <w:t>’</w:t>
      </w:r>
      <w:r w:rsidRPr="00F10460">
        <w:rPr>
          <w:lang w:val="fr-FR"/>
        </w:rPr>
        <w:t>un nouveau document qui serait établi par la CCNR en tenant compte des observations reçues.</w:t>
      </w:r>
    </w:p>
    <w:p w14:paraId="338EC77B" w14:textId="77777777" w:rsidR="00C22589" w:rsidRPr="00F10460" w:rsidRDefault="00C22589" w:rsidP="005F2624">
      <w:pPr>
        <w:pStyle w:val="H23G"/>
        <w:rPr>
          <w:lang w:val="fr-FR"/>
        </w:rPr>
      </w:pPr>
      <w:r w:rsidRPr="00F10460">
        <w:rPr>
          <w:lang w:val="fr-FR"/>
        </w:rPr>
        <w:tab/>
        <w:t>15.</w:t>
      </w:r>
      <w:r w:rsidRPr="00F10460">
        <w:rPr>
          <w:lang w:val="fr-FR"/>
        </w:rPr>
        <w:tab/>
        <w:t>Tableaux A et C de l</w:t>
      </w:r>
      <w:r>
        <w:rPr>
          <w:lang w:val="fr-FR"/>
        </w:rPr>
        <w:t>’</w:t>
      </w:r>
      <w:r w:rsidRPr="00F10460">
        <w:rPr>
          <w:lang w:val="fr-FR"/>
        </w:rPr>
        <w:t>ADN</w:t>
      </w:r>
      <w:r w:rsidR="005F2624">
        <w:rPr>
          <w:lang w:val="fr-FR"/>
        </w:rPr>
        <w:t xml:space="preserve"> </w:t>
      </w:r>
      <w:r w:rsidRPr="00F10460">
        <w:rPr>
          <w:lang w:val="fr-FR"/>
        </w:rPr>
        <w:t>− Entrées relatives au N</w:t>
      </w:r>
      <w:r w:rsidRPr="005F2624">
        <w:rPr>
          <w:vertAlign w:val="superscript"/>
          <w:lang w:val="fr-FR"/>
        </w:rPr>
        <w:t>o</w:t>
      </w:r>
      <w:r w:rsidRPr="00F10460">
        <w:rPr>
          <w:lang w:val="fr-FR"/>
        </w:rPr>
        <w:t> ONU 1010 BUTADIÈNES</w:t>
      </w:r>
      <w:bookmarkStart w:id="120" w:name="_Toc63762833"/>
      <w:bookmarkStart w:id="121" w:name="_Toc64472485"/>
      <w:bookmarkEnd w:id="120"/>
      <w:bookmarkEnd w:id="121"/>
    </w:p>
    <w:p w14:paraId="078794E0" w14:textId="77777777" w:rsidR="00C22589" w:rsidRPr="00F10460" w:rsidRDefault="00C22589" w:rsidP="005F2624">
      <w:pPr>
        <w:pStyle w:val="SingleTxtG"/>
        <w:tabs>
          <w:tab w:val="left" w:pos="3136"/>
        </w:tabs>
        <w:ind w:left="3136" w:hanging="2002"/>
        <w:jc w:val="left"/>
        <w:rPr>
          <w:lang w:val="fr-FR"/>
        </w:rPr>
      </w:pPr>
      <w:r w:rsidRPr="00F10460">
        <w:rPr>
          <w:i/>
          <w:iCs/>
          <w:lang w:val="fr-FR"/>
        </w:rPr>
        <w:t>Document</w:t>
      </w:r>
      <w:r w:rsidRPr="005F2624">
        <w:rPr>
          <w:lang w:val="fr-FR"/>
        </w:rPr>
        <w:t> :</w:t>
      </w:r>
      <w:r w:rsidRPr="00F10460">
        <w:rPr>
          <w:lang w:val="fr-FR"/>
        </w:rPr>
        <w:tab/>
        <w:t>ECE/TRANS/WP.15/AC.2/2021/8 (Allemagne)</w:t>
      </w:r>
      <w:r>
        <w:rPr>
          <w:lang w:val="fr-FR"/>
        </w:rPr>
        <w:t>.</w:t>
      </w:r>
    </w:p>
    <w:p w14:paraId="77670B05" w14:textId="77777777" w:rsidR="00C22589" w:rsidRPr="00F10460" w:rsidRDefault="00C22589" w:rsidP="005F2624">
      <w:pPr>
        <w:pStyle w:val="SingleTxtG"/>
        <w:tabs>
          <w:tab w:val="left" w:pos="3136"/>
        </w:tabs>
        <w:ind w:left="3136" w:hanging="2002"/>
        <w:jc w:val="left"/>
        <w:rPr>
          <w:lang w:val="fr-FR"/>
        </w:rPr>
      </w:pPr>
      <w:r w:rsidRPr="00F10460">
        <w:rPr>
          <w:i/>
          <w:iCs/>
          <w:lang w:val="fr-FR"/>
        </w:rPr>
        <w:t>Document informel</w:t>
      </w:r>
      <w:r w:rsidRPr="005F2624">
        <w:rPr>
          <w:lang w:val="fr-FR"/>
        </w:rPr>
        <w:t> :</w:t>
      </w:r>
      <w:r w:rsidRPr="00F10460">
        <w:rPr>
          <w:lang w:val="fr-FR"/>
        </w:rPr>
        <w:tab/>
        <w:t>INF.28 (CEFIC)</w:t>
      </w:r>
      <w:r>
        <w:rPr>
          <w:lang w:val="fr-FR"/>
        </w:rPr>
        <w:t>.</w:t>
      </w:r>
    </w:p>
    <w:p w14:paraId="471EC11E" w14:textId="77777777" w:rsidR="00C22589" w:rsidRPr="00F10460" w:rsidRDefault="00C22589" w:rsidP="00C22589">
      <w:pPr>
        <w:pStyle w:val="SingleTxtG"/>
        <w:rPr>
          <w:lang w:val="fr-FR"/>
        </w:rPr>
      </w:pPr>
      <w:r w:rsidRPr="00F10460">
        <w:rPr>
          <w:lang w:val="fr-FR"/>
        </w:rPr>
        <w:t>81.</w:t>
      </w:r>
      <w:r w:rsidRPr="00F10460">
        <w:rPr>
          <w:lang w:val="fr-FR"/>
        </w:rPr>
        <w:tab/>
        <w:t>Le Comité de sécurité a adopté les amendements proposés dans le document ECE/TRANS/WP.15/AC.2/2021/8, tel que modifié (voir annexe I).</w:t>
      </w:r>
    </w:p>
    <w:p w14:paraId="01E370F2" w14:textId="77777777" w:rsidR="00C22589" w:rsidRPr="00F10460" w:rsidRDefault="00C22589" w:rsidP="00C22589">
      <w:pPr>
        <w:pStyle w:val="SingleTxtG"/>
        <w:rPr>
          <w:lang w:val="fr-FR"/>
        </w:rPr>
      </w:pPr>
      <w:r w:rsidRPr="00F10460">
        <w:rPr>
          <w:lang w:val="fr-FR"/>
        </w:rPr>
        <w:t>82.</w:t>
      </w:r>
      <w:r w:rsidRPr="00F10460">
        <w:rPr>
          <w:lang w:val="fr-FR"/>
        </w:rPr>
        <w:tab/>
        <w:t>Le représentant du CEFIC a proposé, dans le document informel INF.28, des modifications supplémentaires pour le N</w:t>
      </w:r>
      <w:r w:rsidRPr="005F2624">
        <w:rPr>
          <w:vertAlign w:val="superscript"/>
          <w:lang w:val="fr-FR"/>
        </w:rPr>
        <w:t>o</w:t>
      </w:r>
      <w:r w:rsidRPr="00F10460">
        <w:rPr>
          <w:lang w:val="fr-FR"/>
        </w:rPr>
        <w:t> ONU 1010. Le Comité de sécurité a recommandé au CEFIC de soulever ce point à la prochaine session de la Réunion commune (WP.15/AC.1), en mars 2021, en vue de régler le problème au moyen d</w:t>
      </w:r>
      <w:r>
        <w:rPr>
          <w:lang w:val="fr-FR"/>
        </w:rPr>
        <w:t>’</w:t>
      </w:r>
      <w:r w:rsidRPr="00F10460">
        <w:rPr>
          <w:lang w:val="fr-FR"/>
        </w:rPr>
        <w:t>un accord multilatéral, étant entendu que le Sous-Comité d</w:t>
      </w:r>
      <w:r>
        <w:rPr>
          <w:lang w:val="fr-FR"/>
        </w:rPr>
        <w:t>’</w:t>
      </w:r>
      <w:r w:rsidRPr="00F10460">
        <w:rPr>
          <w:lang w:val="fr-FR"/>
        </w:rPr>
        <w:t>experts du transport des marchandises dangereuses du Conseil économique et social devra également être saisi de la question.</w:t>
      </w:r>
    </w:p>
    <w:p w14:paraId="0D70AD9D" w14:textId="77777777" w:rsidR="00C22589" w:rsidRPr="00F10460" w:rsidRDefault="00C22589" w:rsidP="005F2624">
      <w:pPr>
        <w:pStyle w:val="H23G"/>
        <w:rPr>
          <w:lang w:val="fr-FR"/>
        </w:rPr>
      </w:pPr>
      <w:r w:rsidRPr="00F10460">
        <w:rPr>
          <w:lang w:val="fr-FR"/>
        </w:rPr>
        <w:tab/>
        <w:t>16.</w:t>
      </w:r>
      <w:r w:rsidRPr="00F10460">
        <w:rPr>
          <w:lang w:val="fr-FR"/>
        </w:rPr>
        <w:tab/>
        <w:t>Correction à apporter au 8.1.2.9</w:t>
      </w:r>
      <w:bookmarkStart w:id="122" w:name="_Toc63762834"/>
      <w:bookmarkStart w:id="123" w:name="_Toc64472486"/>
      <w:bookmarkEnd w:id="122"/>
      <w:bookmarkEnd w:id="123"/>
    </w:p>
    <w:p w14:paraId="36C10E45" w14:textId="77777777" w:rsidR="00C22589" w:rsidRPr="00F10460" w:rsidRDefault="00C22589" w:rsidP="005F2624">
      <w:pPr>
        <w:pStyle w:val="SingleTxtG"/>
        <w:tabs>
          <w:tab w:val="left" w:pos="3136"/>
        </w:tabs>
        <w:ind w:left="3136" w:hanging="2002"/>
        <w:jc w:val="left"/>
        <w:rPr>
          <w:lang w:val="fr-FR"/>
        </w:rPr>
      </w:pPr>
      <w:r w:rsidRPr="00F10460">
        <w:rPr>
          <w:i/>
          <w:iCs/>
          <w:lang w:val="fr-FR"/>
        </w:rPr>
        <w:t>Document </w:t>
      </w:r>
      <w:r w:rsidRPr="00F10460">
        <w:rPr>
          <w:lang w:val="fr-FR"/>
        </w:rPr>
        <w:t>:</w:t>
      </w:r>
      <w:r w:rsidRPr="00F10460">
        <w:rPr>
          <w:lang w:val="fr-FR"/>
        </w:rPr>
        <w:tab/>
        <w:t>ECE/TRANS/WP.15/AC.2/2021/9 (sociétés de classification ADN recommandées)</w:t>
      </w:r>
      <w:r>
        <w:rPr>
          <w:lang w:val="fr-FR"/>
        </w:rPr>
        <w:t>.</w:t>
      </w:r>
    </w:p>
    <w:p w14:paraId="274D3A52" w14:textId="77777777" w:rsidR="00C22589" w:rsidRPr="00F10460" w:rsidRDefault="00C22589" w:rsidP="00C22589">
      <w:pPr>
        <w:pStyle w:val="SingleTxtG"/>
        <w:rPr>
          <w:lang w:val="fr-FR"/>
        </w:rPr>
      </w:pPr>
      <w:r w:rsidRPr="00F10460">
        <w:rPr>
          <w:lang w:val="fr-FR"/>
        </w:rPr>
        <w:t>83.</w:t>
      </w:r>
      <w:r w:rsidRPr="00F10460">
        <w:rPr>
          <w:lang w:val="fr-FR"/>
        </w:rPr>
        <w:tab/>
        <w:t>Le Comité de sécurité a adopté les modifications proposées (voir annexe I).</w:t>
      </w:r>
    </w:p>
    <w:p w14:paraId="58C319AE" w14:textId="77777777" w:rsidR="00C22589" w:rsidRPr="00F10460" w:rsidRDefault="00C22589" w:rsidP="005F2624">
      <w:pPr>
        <w:pStyle w:val="H23G"/>
        <w:rPr>
          <w:lang w:val="fr-FR"/>
        </w:rPr>
      </w:pPr>
      <w:r w:rsidRPr="00F10460">
        <w:rPr>
          <w:lang w:val="fr-FR"/>
        </w:rPr>
        <w:tab/>
        <w:t>17.</w:t>
      </w:r>
      <w:r w:rsidRPr="00F10460">
        <w:rPr>
          <w:lang w:val="fr-FR"/>
        </w:rPr>
        <w:tab/>
        <w:t>Corrections</w:t>
      </w:r>
      <w:bookmarkStart w:id="124" w:name="_Toc63762835"/>
      <w:bookmarkStart w:id="125" w:name="_Toc64472487"/>
      <w:bookmarkEnd w:id="124"/>
      <w:bookmarkEnd w:id="125"/>
    </w:p>
    <w:p w14:paraId="4FBD0366" w14:textId="77777777" w:rsidR="00C22589" w:rsidRPr="00F10460" w:rsidRDefault="00C22589" w:rsidP="005F2624">
      <w:pPr>
        <w:pStyle w:val="SingleTxtG"/>
        <w:tabs>
          <w:tab w:val="left" w:pos="3136"/>
        </w:tabs>
        <w:ind w:left="3136" w:hanging="2002"/>
        <w:jc w:val="left"/>
        <w:rPr>
          <w:lang w:val="fr-FR"/>
        </w:rPr>
      </w:pPr>
      <w:r w:rsidRPr="00F10460">
        <w:rPr>
          <w:i/>
          <w:iCs/>
          <w:lang w:val="fr-FR"/>
        </w:rPr>
        <w:t>Document informel </w:t>
      </w:r>
      <w:r w:rsidRPr="005F2624">
        <w:rPr>
          <w:lang w:val="fr-FR"/>
        </w:rPr>
        <w:t>:</w:t>
      </w:r>
      <w:r w:rsidRPr="00F10460">
        <w:rPr>
          <w:lang w:val="fr-FR"/>
        </w:rPr>
        <w:tab/>
        <w:t>INF.8 (secrétariat)</w:t>
      </w:r>
      <w:r>
        <w:rPr>
          <w:lang w:val="fr-FR"/>
        </w:rPr>
        <w:t>.</w:t>
      </w:r>
    </w:p>
    <w:p w14:paraId="21383C12" w14:textId="77777777" w:rsidR="00C22589" w:rsidRPr="00F10460" w:rsidRDefault="00C22589" w:rsidP="00C22589">
      <w:pPr>
        <w:pStyle w:val="SingleTxtG"/>
        <w:rPr>
          <w:lang w:val="fr-FR"/>
        </w:rPr>
      </w:pPr>
      <w:r w:rsidRPr="00F10460">
        <w:rPr>
          <w:lang w:val="fr-FR"/>
        </w:rPr>
        <w:t>84.</w:t>
      </w:r>
      <w:r w:rsidRPr="00F10460">
        <w:rPr>
          <w:lang w:val="fr-FR"/>
        </w:rPr>
        <w:tab/>
        <w:t>Le Comité de sécurité a adopté les corrections proposées (voir annexes II et III).</w:t>
      </w:r>
    </w:p>
    <w:p w14:paraId="0565341E" w14:textId="77777777" w:rsidR="00C22589" w:rsidRPr="00F10460" w:rsidRDefault="00C22589" w:rsidP="005F2624">
      <w:pPr>
        <w:pStyle w:val="HChG"/>
        <w:rPr>
          <w:lang w:val="fr-FR"/>
        </w:rPr>
      </w:pPr>
      <w:r w:rsidRPr="00F10460">
        <w:rPr>
          <w:lang w:val="fr-FR"/>
        </w:rPr>
        <w:tab/>
        <w:t>VII.</w:t>
      </w:r>
      <w:r w:rsidRPr="00F10460">
        <w:rPr>
          <w:lang w:val="fr-FR"/>
        </w:rPr>
        <w:tab/>
        <w:t xml:space="preserve">Rapports des groupes de travail informels </w:t>
      </w:r>
      <w:r w:rsidR="005F2624">
        <w:rPr>
          <w:lang w:val="fr-FR"/>
        </w:rPr>
        <w:br/>
      </w:r>
      <w:r w:rsidRPr="00F10460">
        <w:rPr>
          <w:lang w:val="fr-FR"/>
        </w:rPr>
        <w:t>(point 6 de l</w:t>
      </w:r>
      <w:r>
        <w:rPr>
          <w:lang w:val="fr-FR"/>
        </w:rPr>
        <w:t>’</w:t>
      </w:r>
      <w:r w:rsidRPr="00F10460">
        <w:rPr>
          <w:lang w:val="fr-FR"/>
        </w:rPr>
        <w:t>ordre du jour)</w:t>
      </w:r>
      <w:bookmarkStart w:id="126" w:name="_Toc64472488"/>
      <w:bookmarkEnd w:id="126"/>
    </w:p>
    <w:p w14:paraId="168D1182" w14:textId="77777777" w:rsidR="00C22589" w:rsidRPr="00F10460" w:rsidRDefault="00C22589" w:rsidP="005F2624">
      <w:pPr>
        <w:pStyle w:val="H1G"/>
        <w:rPr>
          <w:lang w:val="fr-FR"/>
        </w:rPr>
      </w:pPr>
      <w:r w:rsidRPr="00F10460">
        <w:rPr>
          <w:lang w:val="fr-FR"/>
        </w:rPr>
        <w:tab/>
      </w:r>
      <w:r w:rsidRPr="00F10460">
        <w:rPr>
          <w:lang w:val="fr-FR"/>
        </w:rPr>
        <w:tab/>
        <w:t xml:space="preserve">Rapports des dix-neuvième et vingtième réunions du groupe </w:t>
      </w:r>
      <w:r w:rsidR="005F2624">
        <w:rPr>
          <w:lang w:val="fr-FR"/>
        </w:rPr>
        <w:br/>
      </w:r>
      <w:r w:rsidRPr="00F10460">
        <w:rPr>
          <w:lang w:val="fr-FR"/>
        </w:rPr>
        <w:t xml:space="preserve">de travail informel des sociétés de classification ADN </w:t>
      </w:r>
      <w:r w:rsidR="005F2624">
        <w:rPr>
          <w:lang w:val="fr-FR"/>
        </w:rPr>
        <w:br/>
      </w:r>
      <w:r w:rsidRPr="00F10460">
        <w:rPr>
          <w:lang w:val="fr-FR"/>
        </w:rPr>
        <w:t>recommandées (13 août et 29 octobre</w:t>
      </w:r>
      <w:r w:rsidR="005F2624">
        <w:rPr>
          <w:lang w:val="fr-FR"/>
        </w:rPr>
        <w:t xml:space="preserve"> </w:t>
      </w:r>
      <w:r w:rsidRPr="00F10460">
        <w:rPr>
          <w:lang w:val="fr-FR"/>
        </w:rPr>
        <w:t>2020 respectivement)</w:t>
      </w:r>
      <w:bookmarkStart w:id="127" w:name="_Toc64472489"/>
      <w:bookmarkEnd w:id="127"/>
    </w:p>
    <w:p w14:paraId="3CE55AF4" w14:textId="77777777" w:rsidR="00C22589" w:rsidRPr="00F10460" w:rsidRDefault="00C22589" w:rsidP="005F2624">
      <w:pPr>
        <w:pStyle w:val="SingleTxtG"/>
        <w:tabs>
          <w:tab w:val="left" w:pos="3136"/>
        </w:tabs>
        <w:ind w:left="3136" w:hanging="2002"/>
        <w:jc w:val="left"/>
        <w:rPr>
          <w:lang w:val="fr-FR"/>
        </w:rPr>
      </w:pPr>
      <w:r w:rsidRPr="00F10460">
        <w:rPr>
          <w:i/>
          <w:iCs/>
          <w:lang w:val="fr-FR"/>
        </w:rPr>
        <w:t>Documents informels </w:t>
      </w:r>
      <w:r w:rsidRPr="005F2624">
        <w:rPr>
          <w:lang w:val="fr-FR"/>
        </w:rPr>
        <w:t>:</w:t>
      </w:r>
      <w:r w:rsidRPr="00F10460">
        <w:rPr>
          <w:lang w:val="fr-FR"/>
        </w:rPr>
        <w:tab/>
        <w:t>INF.4 et INF.6 (sociétés de classification ADN recommandées)</w:t>
      </w:r>
      <w:r>
        <w:rPr>
          <w:lang w:val="fr-FR"/>
        </w:rPr>
        <w:t>.</w:t>
      </w:r>
    </w:p>
    <w:p w14:paraId="45DF1B5B" w14:textId="77777777" w:rsidR="00C22589" w:rsidRPr="00F10460" w:rsidRDefault="00C22589" w:rsidP="00C22589">
      <w:pPr>
        <w:pStyle w:val="SingleTxtG"/>
        <w:rPr>
          <w:lang w:val="fr-FR"/>
        </w:rPr>
      </w:pPr>
      <w:r w:rsidRPr="00F10460">
        <w:rPr>
          <w:lang w:val="fr-FR"/>
        </w:rPr>
        <w:t>85.</w:t>
      </w:r>
      <w:r w:rsidRPr="00F10460">
        <w:rPr>
          <w:lang w:val="fr-FR"/>
        </w:rPr>
        <w:tab/>
        <w:t>Le Comité de sécurité s</w:t>
      </w:r>
      <w:r>
        <w:rPr>
          <w:lang w:val="fr-FR"/>
        </w:rPr>
        <w:t>’</w:t>
      </w:r>
      <w:r w:rsidRPr="00F10460">
        <w:rPr>
          <w:lang w:val="fr-FR"/>
        </w:rPr>
        <w:t>est félicité des résultats des dix-neuvième et vingtième réunions du groupe de travail informel. La prochaine réunion du groupe de travail doit se tenir le 17 mars</w:t>
      </w:r>
      <w:r w:rsidR="005F2624">
        <w:rPr>
          <w:lang w:val="fr-FR"/>
        </w:rPr>
        <w:t xml:space="preserve"> </w:t>
      </w:r>
      <w:r w:rsidRPr="00F10460">
        <w:rPr>
          <w:lang w:val="fr-FR"/>
        </w:rPr>
        <w:t>2021.</w:t>
      </w:r>
    </w:p>
    <w:p w14:paraId="1B294E4C" w14:textId="77777777" w:rsidR="00C22589" w:rsidRPr="00F10460" w:rsidRDefault="00C22589" w:rsidP="00C22589">
      <w:pPr>
        <w:pStyle w:val="SingleTxtG"/>
        <w:rPr>
          <w:lang w:val="fr-FR"/>
        </w:rPr>
      </w:pPr>
      <w:r w:rsidRPr="00F10460">
        <w:rPr>
          <w:lang w:val="fr-FR"/>
        </w:rPr>
        <w:t>86.</w:t>
      </w:r>
      <w:r w:rsidRPr="00F10460">
        <w:rPr>
          <w:lang w:val="fr-FR"/>
        </w:rPr>
        <w:tab/>
        <w:t>À la demande de l</w:t>
      </w:r>
      <w:r>
        <w:rPr>
          <w:lang w:val="fr-FR"/>
        </w:rPr>
        <w:t>’</w:t>
      </w:r>
      <w:r w:rsidRPr="00F10460">
        <w:rPr>
          <w:lang w:val="fr-FR"/>
        </w:rPr>
        <w:t>Allemagne, le Comité de sécurité a invité les sociétés de classification ADN recommandées à communiquer, en vue de la prochaine session en août, des informations plus détaillées sur les points 5 à</w:t>
      </w:r>
      <w:r w:rsidR="005F2624">
        <w:rPr>
          <w:lang w:val="fr-FR"/>
        </w:rPr>
        <w:t xml:space="preserve"> </w:t>
      </w:r>
      <w:r w:rsidRPr="00F10460">
        <w:rPr>
          <w:lang w:val="fr-FR"/>
        </w:rPr>
        <w:t>8 de l</w:t>
      </w:r>
      <w:r>
        <w:rPr>
          <w:lang w:val="fr-FR"/>
        </w:rPr>
        <w:t>’</w:t>
      </w:r>
      <w:r w:rsidRPr="00F10460">
        <w:rPr>
          <w:lang w:val="fr-FR"/>
        </w:rPr>
        <w:t xml:space="preserve">annexe du document informel INF.6. </w:t>
      </w:r>
    </w:p>
    <w:p w14:paraId="1AAD8417" w14:textId="77777777" w:rsidR="00C22589" w:rsidRPr="00F10460" w:rsidRDefault="00C22589" w:rsidP="005F2624">
      <w:pPr>
        <w:pStyle w:val="HChG"/>
        <w:rPr>
          <w:lang w:val="fr-FR"/>
        </w:rPr>
      </w:pPr>
      <w:r w:rsidRPr="00F10460">
        <w:rPr>
          <w:lang w:val="fr-FR"/>
        </w:rPr>
        <w:lastRenderedPageBreak/>
        <w:tab/>
        <w:t>VIII.</w:t>
      </w:r>
      <w:r w:rsidRPr="00F10460">
        <w:rPr>
          <w:lang w:val="fr-FR"/>
        </w:rPr>
        <w:tab/>
        <w:t xml:space="preserve">Programme de travail et calendrier des réunions </w:t>
      </w:r>
      <w:r w:rsidR="005F2624">
        <w:rPr>
          <w:lang w:val="fr-FR"/>
        </w:rPr>
        <w:br/>
      </w:r>
      <w:r w:rsidRPr="00F10460">
        <w:rPr>
          <w:lang w:val="fr-FR"/>
        </w:rPr>
        <w:t>(point 7 de l</w:t>
      </w:r>
      <w:r>
        <w:rPr>
          <w:lang w:val="fr-FR"/>
        </w:rPr>
        <w:t>’</w:t>
      </w:r>
      <w:r w:rsidRPr="00F10460">
        <w:rPr>
          <w:lang w:val="fr-FR"/>
        </w:rPr>
        <w:t>ordre de jour)</w:t>
      </w:r>
      <w:bookmarkStart w:id="128" w:name="_Toc64472490"/>
      <w:bookmarkEnd w:id="128"/>
    </w:p>
    <w:p w14:paraId="0DB12EF7" w14:textId="77777777" w:rsidR="00C22589" w:rsidRPr="00F10460" w:rsidRDefault="00C22589" w:rsidP="00C22589">
      <w:pPr>
        <w:pStyle w:val="SingleTxtG"/>
        <w:rPr>
          <w:lang w:val="fr-FR"/>
        </w:rPr>
      </w:pPr>
      <w:r w:rsidRPr="00F10460">
        <w:rPr>
          <w:lang w:val="fr-FR"/>
        </w:rPr>
        <w:t>87.</w:t>
      </w:r>
      <w:r w:rsidRPr="00F10460">
        <w:rPr>
          <w:lang w:val="fr-FR"/>
        </w:rPr>
        <w:tab/>
        <w:t>La vingt-cinquième session du Comité d</w:t>
      </w:r>
      <w:r>
        <w:rPr>
          <w:lang w:val="fr-FR"/>
        </w:rPr>
        <w:t>’</w:t>
      </w:r>
      <w:r w:rsidRPr="00F10460">
        <w:rPr>
          <w:lang w:val="fr-FR"/>
        </w:rPr>
        <w:t>administration de l</w:t>
      </w:r>
      <w:r>
        <w:rPr>
          <w:lang w:val="fr-FR"/>
        </w:rPr>
        <w:t>’</w:t>
      </w:r>
      <w:r w:rsidRPr="00F10460">
        <w:rPr>
          <w:lang w:val="fr-FR"/>
        </w:rPr>
        <w:t>ADN s</w:t>
      </w:r>
      <w:r>
        <w:rPr>
          <w:lang w:val="fr-FR"/>
        </w:rPr>
        <w:t>’</w:t>
      </w:r>
      <w:r w:rsidRPr="00F10460">
        <w:rPr>
          <w:lang w:val="fr-FR"/>
        </w:rPr>
        <w:t>ouvrira le 29 janvier</w:t>
      </w:r>
      <w:r w:rsidR="005F2624">
        <w:rPr>
          <w:lang w:val="fr-FR"/>
        </w:rPr>
        <w:t xml:space="preserve"> </w:t>
      </w:r>
      <w:r w:rsidRPr="00F10460">
        <w:rPr>
          <w:lang w:val="fr-FR"/>
        </w:rPr>
        <w:t>2021 à midi.</w:t>
      </w:r>
      <w:bookmarkStart w:id="129" w:name="_Hlk516584624"/>
      <w:bookmarkEnd w:id="129"/>
    </w:p>
    <w:p w14:paraId="61636D94" w14:textId="77777777" w:rsidR="00C22589" w:rsidRPr="00F10460" w:rsidRDefault="00C22589" w:rsidP="00C22589">
      <w:pPr>
        <w:pStyle w:val="SingleTxtG"/>
        <w:rPr>
          <w:lang w:val="fr-FR"/>
        </w:rPr>
      </w:pPr>
      <w:r w:rsidRPr="00F10460">
        <w:rPr>
          <w:lang w:val="fr-FR"/>
        </w:rPr>
        <w:t>88.</w:t>
      </w:r>
      <w:r w:rsidRPr="00F10460">
        <w:rPr>
          <w:lang w:val="fr-FR"/>
        </w:rPr>
        <w:tab/>
        <w:t>Le Comité de sécurité a noté que sa prochaine session se tiendrait à Genève du 23 au 27 août</w:t>
      </w:r>
      <w:r w:rsidR="005F2624">
        <w:rPr>
          <w:lang w:val="fr-FR"/>
        </w:rPr>
        <w:t xml:space="preserve"> </w:t>
      </w:r>
      <w:r w:rsidRPr="00F10460">
        <w:rPr>
          <w:lang w:val="fr-FR"/>
        </w:rPr>
        <w:t>2021 et que la vingt-sixième session du Comité d</w:t>
      </w:r>
      <w:r>
        <w:rPr>
          <w:lang w:val="fr-FR"/>
        </w:rPr>
        <w:t>’</w:t>
      </w:r>
      <w:r w:rsidRPr="00F10460">
        <w:rPr>
          <w:lang w:val="fr-FR"/>
        </w:rPr>
        <w:t>administration de l</w:t>
      </w:r>
      <w:r>
        <w:rPr>
          <w:lang w:val="fr-FR"/>
        </w:rPr>
        <w:t>’</w:t>
      </w:r>
      <w:r w:rsidRPr="00F10460">
        <w:rPr>
          <w:lang w:val="fr-FR"/>
        </w:rPr>
        <w:t>ADN se tiendrait en principe à Genève le 27 août</w:t>
      </w:r>
      <w:r w:rsidR="005F2624">
        <w:rPr>
          <w:lang w:val="fr-FR"/>
        </w:rPr>
        <w:t xml:space="preserve"> </w:t>
      </w:r>
      <w:r w:rsidRPr="00F10460">
        <w:rPr>
          <w:lang w:val="fr-FR"/>
        </w:rPr>
        <w:t>2021. La date limite pour la soumission de documents en vue de ces sessions a été fixée au 28 mai</w:t>
      </w:r>
      <w:r w:rsidR="005F2624">
        <w:rPr>
          <w:lang w:val="fr-FR"/>
        </w:rPr>
        <w:t xml:space="preserve"> </w:t>
      </w:r>
      <w:r w:rsidRPr="00F10460">
        <w:rPr>
          <w:lang w:val="fr-FR"/>
        </w:rPr>
        <w:t>2021. Des informations actualisées sur les prochaines sessions seront publiées en temps utile sur le site Web de la CEE.</w:t>
      </w:r>
    </w:p>
    <w:p w14:paraId="3E6FBB48" w14:textId="77777777" w:rsidR="00C22589" w:rsidRPr="00F10460" w:rsidRDefault="00C22589" w:rsidP="005F2624">
      <w:pPr>
        <w:pStyle w:val="HChG"/>
        <w:rPr>
          <w:lang w:val="fr-FR"/>
        </w:rPr>
      </w:pPr>
      <w:r w:rsidRPr="00F10460">
        <w:rPr>
          <w:lang w:val="fr-FR"/>
        </w:rPr>
        <w:tab/>
        <w:t>IX.</w:t>
      </w:r>
      <w:r w:rsidRPr="00F10460">
        <w:rPr>
          <w:lang w:val="fr-FR"/>
        </w:rPr>
        <w:tab/>
        <w:t>Questions diverses (point 8 de l</w:t>
      </w:r>
      <w:r>
        <w:rPr>
          <w:lang w:val="fr-FR"/>
        </w:rPr>
        <w:t>’</w:t>
      </w:r>
      <w:r w:rsidRPr="00F10460">
        <w:rPr>
          <w:lang w:val="fr-FR"/>
        </w:rPr>
        <w:t>ordre du jour)</w:t>
      </w:r>
      <w:bookmarkStart w:id="130" w:name="_Toc505688456"/>
      <w:bookmarkStart w:id="131" w:name="_Toc32481678"/>
      <w:bookmarkStart w:id="132" w:name="_Toc63762836"/>
      <w:bookmarkStart w:id="133" w:name="_Toc64472491"/>
      <w:bookmarkEnd w:id="130"/>
      <w:bookmarkEnd w:id="131"/>
      <w:bookmarkEnd w:id="132"/>
      <w:bookmarkEnd w:id="133"/>
    </w:p>
    <w:p w14:paraId="5F707DF0" w14:textId="77777777" w:rsidR="00C22589" w:rsidRPr="00F10460" w:rsidRDefault="00C22589" w:rsidP="005F2624">
      <w:pPr>
        <w:pStyle w:val="H1G"/>
        <w:rPr>
          <w:lang w:val="fr-FR"/>
        </w:rPr>
      </w:pPr>
      <w:r w:rsidRPr="00F10460">
        <w:rPr>
          <w:lang w:val="fr-FR"/>
        </w:rPr>
        <w:tab/>
        <w:t>A.</w:t>
      </w:r>
      <w:r w:rsidRPr="00F10460">
        <w:rPr>
          <w:lang w:val="fr-FR"/>
        </w:rPr>
        <w:tab/>
        <w:t>Règlement intérieur du Comité de sécurité</w:t>
      </w:r>
      <w:bookmarkStart w:id="134" w:name="_Toc63762837"/>
      <w:bookmarkStart w:id="135" w:name="_Toc64472492"/>
      <w:bookmarkEnd w:id="134"/>
      <w:bookmarkEnd w:id="135"/>
    </w:p>
    <w:p w14:paraId="799C56A5" w14:textId="77777777" w:rsidR="00C22589" w:rsidRPr="00F10460" w:rsidRDefault="00C22589" w:rsidP="005F2624">
      <w:pPr>
        <w:pStyle w:val="SingleTxtG"/>
        <w:tabs>
          <w:tab w:val="left" w:pos="3136"/>
        </w:tabs>
        <w:ind w:left="3136" w:hanging="2002"/>
        <w:jc w:val="left"/>
        <w:rPr>
          <w:lang w:val="fr-FR"/>
        </w:rPr>
      </w:pPr>
      <w:r w:rsidRPr="00F10460">
        <w:rPr>
          <w:i/>
          <w:iCs/>
          <w:lang w:val="fr-FR"/>
        </w:rPr>
        <w:t>Document informel </w:t>
      </w:r>
      <w:r w:rsidRPr="005F2624">
        <w:rPr>
          <w:lang w:val="fr-FR"/>
        </w:rPr>
        <w:t>:</w:t>
      </w:r>
      <w:r w:rsidRPr="00F10460">
        <w:rPr>
          <w:lang w:val="fr-FR"/>
        </w:rPr>
        <w:tab/>
        <w:t>INF.2 (Allemagne, Autriche et Pays-Bas)</w:t>
      </w:r>
      <w:r>
        <w:rPr>
          <w:lang w:val="fr-FR"/>
        </w:rPr>
        <w:t>.</w:t>
      </w:r>
    </w:p>
    <w:p w14:paraId="7DB4FECF" w14:textId="77777777" w:rsidR="00C22589" w:rsidRPr="00F10460" w:rsidRDefault="00C22589" w:rsidP="00C22589">
      <w:pPr>
        <w:pStyle w:val="SingleTxtG"/>
        <w:rPr>
          <w:lang w:val="fr-FR"/>
        </w:rPr>
      </w:pPr>
      <w:r w:rsidRPr="00F10460">
        <w:rPr>
          <w:lang w:val="fr-FR"/>
        </w:rPr>
        <w:t>89.</w:t>
      </w:r>
      <w:r w:rsidRPr="00F10460">
        <w:rPr>
          <w:lang w:val="fr-FR"/>
        </w:rPr>
        <w:tab/>
        <w:t>Dans le prolongement des discussions du CTI et du WP.15 (voir le paragraphe 10 ci</w:t>
      </w:r>
      <w:r w:rsidR="005F2624">
        <w:rPr>
          <w:lang w:val="fr-FR"/>
        </w:rPr>
        <w:noBreakHyphen/>
      </w:r>
      <w:r w:rsidRPr="00F10460">
        <w:rPr>
          <w:lang w:val="fr-FR"/>
        </w:rPr>
        <w:t>dessus), le Comité de sécurité a examiné les options relatives au projet de règlement intérieur du Comité. Il a été convenu de retenir la première option, consistant à établir un règlement intérieur approprié pour le Comité, et de mettre sur pied un groupe de travail par correspondance chargé d</w:t>
      </w:r>
      <w:r>
        <w:rPr>
          <w:lang w:val="fr-FR"/>
        </w:rPr>
        <w:t>’</w:t>
      </w:r>
      <w:r w:rsidRPr="00F10460">
        <w:rPr>
          <w:lang w:val="fr-FR"/>
        </w:rPr>
        <w:t>élaborer une proposition qui serait examinée à la prochaine session.</w:t>
      </w:r>
    </w:p>
    <w:p w14:paraId="23A0499B" w14:textId="77777777" w:rsidR="00C22589" w:rsidRPr="00F10460" w:rsidRDefault="00C22589" w:rsidP="00C22589">
      <w:pPr>
        <w:pStyle w:val="SingleTxtG"/>
        <w:rPr>
          <w:lang w:val="fr-FR"/>
        </w:rPr>
      </w:pPr>
      <w:r w:rsidRPr="00F10460">
        <w:rPr>
          <w:lang w:val="fr-FR"/>
        </w:rPr>
        <w:t>90.</w:t>
      </w:r>
      <w:r w:rsidRPr="00F10460">
        <w:rPr>
          <w:lang w:val="fr-FR"/>
        </w:rPr>
        <w:tab/>
        <w:t>Le représentant de FuelsEurope a dit préférer que l</w:t>
      </w:r>
      <w:r>
        <w:rPr>
          <w:lang w:val="fr-FR"/>
        </w:rPr>
        <w:t>’</w:t>
      </w:r>
      <w:r w:rsidRPr="00F10460">
        <w:rPr>
          <w:lang w:val="fr-FR"/>
        </w:rPr>
        <w:t>on maintienne les conditions actuelles de participation aux sessions pour les organisations non gouvernementales, indépendamment de leur statut</w:t>
      </w:r>
      <w:r>
        <w:rPr>
          <w:lang w:val="fr-FR"/>
        </w:rPr>
        <w:t>,</w:t>
      </w:r>
      <w:r w:rsidRPr="00F10460">
        <w:rPr>
          <w:lang w:val="fr-FR"/>
        </w:rPr>
        <w:t xml:space="preserve"> consultatif </w:t>
      </w:r>
      <w:r>
        <w:rPr>
          <w:lang w:val="fr-FR"/>
        </w:rPr>
        <w:t xml:space="preserve">ou non, </w:t>
      </w:r>
      <w:r w:rsidRPr="00F10460">
        <w:rPr>
          <w:lang w:val="fr-FR"/>
        </w:rPr>
        <w:t>auprès du Conseil économique et social.</w:t>
      </w:r>
    </w:p>
    <w:p w14:paraId="57348344" w14:textId="77777777" w:rsidR="00C22589" w:rsidRPr="00F10460" w:rsidRDefault="00C22589" w:rsidP="005F2624">
      <w:pPr>
        <w:pStyle w:val="H1G"/>
        <w:rPr>
          <w:lang w:val="fr-FR"/>
        </w:rPr>
      </w:pPr>
      <w:r w:rsidRPr="00F10460">
        <w:rPr>
          <w:lang w:val="fr-FR"/>
        </w:rPr>
        <w:tab/>
        <w:t>B.</w:t>
      </w:r>
      <w:r w:rsidRPr="00F10460">
        <w:rPr>
          <w:lang w:val="fr-FR"/>
        </w:rPr>
        <w:tab/>
        <w:t xml:space="preserve">Groupe de travail informel du mélange de cargaisons </w:t>
      </w:r>
      <w:r w:rsidR="005F2624">
        <w:rPr>
          <w:lang w:val="fr-FR"/>
        </w:rPr>
        <w:br/>
      </w:r>
      <w:r w:rsidRPr="00F10460">
        <w:rPr>
          <w:lang w:val="fr-FR"/>
        </w:rPr>
        <w:t>à bord des barges</w:t>
      </w:r>
      <w:bookmarkStart w:id="136" w:name="_Toc63762838"/>
      <w:bookmarkStart w:id="137" w:name="_Toc64472493"/>
      <w:bookmarkEnd w:id="136"/>
      <w:bookmarkEnd w:id="137"/>
    </w:p>
    <w:p w14:paraId="149CBE3E" w14:textId="77777777" w:rsidR="00C22589" w:rsidRPr="00F10460" w:rsidRDefault="00C22589" w:rsidP="00C22589">
      <w:pPr>
        <w:pStyle w:val="SingleTxtG"/>
        <w:rPr>
          <w:lang w:val="fr-FR"/>
        </w:rPr>
      </w:pPr>
      <w:r w:rsidRPr="00F10460">
        <w:rPr>
          <w:lang w:val="fr-FR"/>
        </w:rPr>
        <w:t>91.</w:t>
      </w:r>
      <w:r w:rsidRPr="00F10460">
        <w:rPr>
          <w:lang w:val="fr-FR"/>
        </w:rPr>
        <w:tab/>
        <w:t>Le représentant des Pays-Bas a annoncé que le groupe de travail informel se réunirait de nouveau en ligne ou en présentiel au cours des prochains mois et s</w:t>
      </w:r>
      <w:r>
        <w:rPr>
          <w:lang w:val="fr-FR"/>
        </w:rPr>
        <w:t>’</w:t>
      </w:r>
      <w:r w:rsidRPr="00F10460">
        <w:rPr>
          <w:lang w:val="fr-FR"/>
        </w:rPr>
        <w:t>est porté volontaire pour rendre compte des résultats de cette réunion à la prochaine session.</w:t>
      </w:r>
    </w:p>
    <w:p w14:paraId="5C3B11A2" w14:textId="77777777" w:rsidR="00C22589" w:rsidRPr="00F10460" w:rsidRDefault="00C22589" w:rsidP="005F2624">
      <w:pPr>
        <w:pStyle w:val="HChG"/>
        <w:rPr>
          <w:lang w:val="fr-FR"/>
        </w:rPr>
      </w:pPr>
      <w:r w:rsidRPr="00F10460">
        <w:rPr>
          <w:lang w:val="fr-FR"/>
        </w:rPr>
        <w:tab/>
        <w:t>X.</w:t>
      </w:r>
      <w:r w:rsidRPr="00F10460">
        <w:rPr>
          <w:lang w:val="fr-FR"/>
        </w:rPr>
        <w:tab/>
        <w:t>Adoption du rapport (point 9 de l</w:t>
      </w:r>
      <w:r>
        <w:rPr>
          <w:lang w:val="fr-FR"/>
        </w:rPr>
        <w:t>’</w:t>
      </w:r>
      <w:r w:rsidRPr="00F10460">
        <w:rPr>
          <w:lang w:val="fr-FR"/>
        </w:rPr>
        <w:t>ordre du jour)</w:t>
      </w:r>
      <w:bookmarkStart w:id="138" w:name="_Toc505688457"/>
      <w:bookmarkStart w:id="139" w:name="_Toc32481679"/>
      <w:bookmarkStart w:id="140" w:name="_Toc63762839"/>
      <w:bookmarkStart w:id="141" w:name="_Toc64472494"/>
      <w:bookmarkEnd w:id="138"/>
      <w:bookmarkEnd w:id="139"/>
      <w:bookmarkEnd w:id="140"/>
      <w:bookmarkEnd w:id="141"/>
    </w:p>
    <w:p w14:paraId="61206E22" w14:textId="77777777" w:rsidR="00C22589" w:rsidRPr="00F10460" w:rsidRDefault="00C22589" w:rsidP="00C22589">
      <w:pPr>
        <w:pStyle w:val="SingleTxtG"/>
        <w:rPr>
          <w:lang w:val="fr-FR"/>
        </w:rPr>
      </w:pPr>
      <w:r w:rsidRPr="00F10460">
        <w:rPr>
          <w:lang w:val="fr-FR"/>
        </w:rPr>
        <w:t>92.</w:t>
      </w:r>
      <w:r w:rsidRPr="00F10460">
        <w:rPr>
          <w:lang w:val="fr-FR"/>
        </w:rPr>
        <w:tab/>
        <w:t>Le Comité de sécurité a adopté le rapport de sa trente-septième session sur la base d</w:t>
      </w:r>
      <w:r>
        <w:rPr>
          <w:lang w:val="fr-FR"/>
        </w:rPr>
        <w:t>’</w:t>
      </w:r>
      <w:r w:rsidRPr="00F10460">
        <w:rPr>
          <w:lang w:val="fr-FR"/>
        </w:rPr>
        <w:t>un projet établi par le secrétariat.</w:t>
      </w:r>
    </w:p>
    <w:p w14:paraId="342DF8FA" w14:textId="77777777" w:rsidR="00C22589" w:rsidRPr="00F10460" w:rsidRDefault="00C22589" w:rsidP="00C22589">
      <w:pPr>
        <w:suppressAutoHyphens w:val="0"/>
        <w:spacing w:line="240" w:lineRule="auto"/>
        <w:rPr>
          <w:u w:val="single"/>
          <w:lang w:val="fr-FR"/>
        </w:rPr>
      </w:pPr>
      <w:r w:rsidRPr="00F10460">
        <w:rPr>
          <w:u w:val="single"/>
          <w:lang w:val="fr-FR"/>
        </w:rPr>
        <w:br w:type="page"/>
      </w:r>
    </w:p>
    <w:p w14:paraId="62B55480" w14:textId="77777777" w:rsidR="005F2624" w:rsidRDefault="00C22589" w:rsidP="005F2624">
      <w:pPr>
        <w:pStyle w:val="HChG"/>
        <w:rPr>
          <w:lang w:val="fr-FR"/>
        </w:rPr>
      </w:pPr>
      <w:r w:rsidRPr="00F10460">
        <w:rPr>
          <w:lang w:val="fr-FR"/>
        </w:rPr>
        <w:lastRenderedPageBreak/>
        <w:t>Annexe I</w:t>
      </w:r>
    </w:p>
    <w:p w14:paraId="6177AFDA" w14:textId="77777777" w:rsidR="00C22589" w:rsidRPr="00D77BF1" w:rsidRDefault="00C22589" w:rsidP="005F2624">
      <w:pPr>
        <w:pStyle w:val="SingleTxtG"/>
        <w:jc w:val="right"/>
        <w:rPr>
          <w:lang w:val="fr-FR"/>
        </w:rPr>
      </w:pPr>
      <w:r w:rsidRPr="00D77BF1">
        <w:t>[Original : anglais et français]</w:t>
      </w:r>
    </w:p>
    <w:p w14:paraId="47A239FA" w14:textId="77777777" w:rsidR="00C22589" w:rsidRPr="00F10460" w:rsidRDefault="00C22589" w:rsidP="005F2624">
      <w:pPr>
        <w:pStyle w:val="HChG"/>
        <w:rPr>
          <w:lang w:val="fr-FR"/>
        </w:rPr>
      </w:pPr>
      <w:r w:rsidRPr="00F10460">
        <w:rPr>
          <w:lang w:val="fr-FR"/>
        </w:rPr>
        <w:tab/>
      </w:r>
      <w:r w:rsidRPr="00F10460">
        <w:rPr>
          <w:lang w:val="fr-FR"/>
        </w:rPr>
        <w:tab/>
      </w:r>
      <w:r w:rsidRPr="00F10460">
        <w:rPr>
          <w:lang w:val="fr-FR"/>
        </w:rPr>
        <w:tab/>
        <w:t>Propositions d</w:t>
      </w:r>
      <w:r>
        <w:rPr>
          <w:lang w:val="fr-FR"/>
        </w:rPr>
        <w:t>’</w:t>
      </w:r>
      <w:r w:rsidRPr="00F10460">
        <w:rPr>
          <w:lang w:val="fr-FR"/>
        </w:rPr>
        <w:t>amendements au Règlement annexé à l</w:t>
      </w:r>
      <w:r>
        <w:rPr>
          <w:lang w:val="fr-FR"/>
        </w:rPr>
        <w:t>’</w:t>
      </w:r>
      <w:r w:rsidRPr="00F10460">
        <w:rPr>
          <w:lang w:val="fr-FR"/>
        </w:rPr>
        <w:t>ADN pour entrée en vigueur le 1</w:t>
      </w:r>
      <w:r w:rsidRPr="00F10460">
        <w:rPr>
          <w:vertAlign w:val="superscript"/>
          <w:lang w:val="fr-FR"/>
        </w:rPr>
        <w:t>er</w:t>
      </w:r>
      <w:r w:rsidRPr="00F10460">
        <w:rPr>
          <w:lang w:val="fr-FR"/>
        </w:rPr>
        <w:t> janvier</w:t>
      </w:r>
      <w:r w:rsidR="00D77BF1">
        <w:rPr>
          <w:lang w:val="fr-FR"/>
        </w:rPr>
        <w:t xml:space="preserve"> </w:t>
      </w:r>
      <w:r w:rsidRPr="00F10460">
        <w:rPr>
          <w:lang w:val="fr-FR"/>
        </w:rPr>
        <w:t>2023</w:t>
      </w:r>
    </w:p>
    <w:p w14:paraId="3597085C" w14:textId="77777777" w:rsidR="00C22589" w:rsidRPr="00F10460" w:rsidRDefault="00C22589" w:rsidP="005F2624">
      <w:pPr>
        <w:pStyle w:val="H23G"/>
        <w:rPr>
          <w:i/>
          <w:iCs/>
          <w:lang w:val="fr-FR"/>
        </w:rPr>
      </w:pPr>
      <w:r w:rsidRPr="00F10460">
        <w:rPr>
          <w:lang w:val="fr-FR"/>
        </w:rPr>
        <w:tab/>
      </w:r>
      <w:r w:rsidRPr="00F10460">
        <w:rPr>
          <w:lang w:val="fr-FR"/>
        </w:rPr>
        <w:tab/>
      </w:r>
      <w:r w:rsidRPr="00F10460">
        <w:rPr>
          <w:lang w:val="fr-FR"/>
        </w:rPr>
        <w:tab/>
        <w:t>Chapitre 1.6</w:t>
      </w:r>
    </w:p>
    <w:p w14:paraId="7E287168" w14:textId="77777777" w:rsidR="00C22589" w:rsidRPr="00F10460" w:rsidRDefault="00C22589" w:rsidP="005F2624">
      <w:pPr>
        <w:pStyle w:val="SingleTxtG"/>
        <w:rPr>
          <w:lang w:val="fr-FR"/>
        </w:rPr>
      </w:pPr>
      <w:r w:rsidRPr="00F10460">
        <w:rPr>
          <w:lang w:val="fr-FR"/>
        </w:rPr>
        <w:t>1.6.7.2.2.2</w:t>
      </w:r>
      <w:r w:rsidRPr="00F10460">
        <w:rPr>
          <w:lang w:val="fr-FR"/>
        </w:rPr>
        <w:tab/>
        <w:t>Ajouter deux nouvelles dispositions transitoires, libellées comme suit :</w:t>
      </w:r>
    </w:p>
    <w:tbl>
      <w:tblPr>
        <w:tblW w:w="737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2"/>
        <w:gridCol w:w="3223"/>
        <w:gridCol w:w="2396"/>
      </w:tblGrid>
      <w:tr w:rsidR="00C22589" w:rsidRPr="005F2624" w14:paraId="40DD00EE" w14:textId="77777777" w:rsidTr="005F2624">
        <w:trPr>
          <w:trHeight w:val="200"/>
        </w:trPr>
        <w:tc>
          <w:tcPr>
            <w:tcW w:w="1696" w:type="dxa"/>
          </w:tcPr>
          <w:p w14:paraId="7093A7A0" w14:textId="77777777" w:rsidR="00C22589" w:rsidRPr="005F2624" w:rsidRDefault="00C22589" w:rsidP="005F2624">
            <w:pPr>
              <w:suppressAutoHyphens w:val="0"/>
              <w:kinsoku/>
              <w:overflowPunct/>
              <w:snapToGrid/>
              <w:spacing w:before="60" w:after="60"/>
              <w:ind w:left="57" w:right="57"/>
              <w:rPr>
                <w:rFonts w:eastAsia="SimSun"/>
                <w:lang w:eastAsia="zh-CN"/>
              </w:rPr>
            </w:pPr>
            <w:r w:rsidRPr="005F2624">
              <w:rPr>
                <w:rFonts w:eastAsia="SimSun"/>
                <w:lang w:val="fr-FR" w:eastAsia="zh-CN"/>
              </w:rPr>
              <w:t xml:space="preserve">1.6.7.5.1 d) </w:t>
            </w:r>
          </w:p>
        </w:tc>
        <w:tc>
          <w:tcPr>
            <w:tcW w:w="3119" w:type="dxa"/>
          </w:tcPr>
          <w:p w14:paraId="6B92A746" w14:textId="77777777" w:rsidR="00C22589" w:rsidRPr="005F2624" w:rsidRDefault="00C22589" w:rsidP="005F2624">
            <w:pPr>
              <w:suppressAutoHyphens w:val="0"/>
              <w:kinsoku/>
              <w:overflowPunct/>
              <w:snapToGrid/>
              <w:spacing w:before="60" w:after="60"/>
              <w:ind w:left="57" w:right="57"/>
              <w:rPr>
                <w:rFonts w:eastAsia="SimSun"/>
                <w:lang w:val="fr-FR" w:eastAsia="zh-CN"/>
              </w:rPr>
            </w:pPr>
            <w:r w:rsidRPr="005F2624">
              <w:rPr>
                <w:rFonts w:eastAsia="SimSun"/>
                <w:lang w:val="fr-FR" w:eastAsia="zh-CN"/>
              </w:rPr>
              <w:t xml:space="preserve">Mention des dispositions transitoires effectivement appliquées </w:t>
            </w:r>
          </w:p>
        </w:tc>
        <w:tc>
          <w:tcPr>
            <w:tcW w:w="2319" w:type="dxa"/>
          </w:tcPr>
          <w:p w14:paraId="742815E6" w14:textId="77777777" w:rsidR="00C22589" w:rsidRPr="005F2624" w:rsidRDefault="00C22589" w:rsidP="005F2624">
            <w:pPr>
              <w:suppressAutoHyphens w:val="0"/>
              <w:kinsoku/>
              <w:overflowPunct/>
              <w:snapToGrid/>
              <w:spacing w:before="60" w:after="60"/>
              <w:ind w:left="57" w:right="57"/>
              <w:rPr>
                <w:rFonts w:eastAsia="SimSun"/>
                <w:lang w:val="fr-FR" w:eastAsia="zh-CN"/>
              </w:rPr>
            </w:pPr>
            <w:r w:rsidRPr="005F2624">
              <w:rPr>
                <w:rFonts w:eastAsia="SimSun"/>
                <w:lang w:val="fr-FR" w:eastAsia="zh-CN"/>
              </w:rPr>
              <w:t>Renouvellement du certificat d’agrément après le 31</w:t>
            </w:r>
            <w:r w:rsidR="005F2624">
              <w:rPr>
                <w:rFonts w:eastAsia="SimSun"/>
                <w:lang w:val="fr-FR" w:eastAsia="zh-CN"/>
              </w:rPr>
              <w:t> </w:t>
            </w:r>
            <w:r w:rsidRPr="005F2624">
              <w:rPr>
                <w:rFonts w:eastAsia="SimSun"/>
                <w:lang w:val="fr-FR" w:eastAsia="zh-CN"/>
              </w:rPr>
              <w:t xml:space="preserve">décembre 2022 </w:t>
            </w:r>
          </w:p>
        </w:tc>
      </w:tr>
      <w:tr w:rsidR="00C22589" w:rsidRPr="005F2624" w14:paraId="7A8C5BF1" w14:textId="77777777" w:rsidTr="005F2624">
        <w:trPr>
          <w:trHeight w:val="531"/>
        </w:trPr>
        <w:tc>
          <w:tcPr>
            <w:tcW w:w="1696" w:type="dxa"/>
          </w:tcPr>
          <w:p w14:paraId="79798559" w14:textId="77777777" w:rsidR="00C22589" w:rsidRPr="005F2624" w:rsidRDefault="00C22589" w:rsidP="005F2624">
            <w:pPr>
              <w:suppressAutoHyphens w:val="0"/>
              <w:kinsoku/>
              <w:overflowPunct/>
              <w:snapToGrid/>
              <w:spacing w:before="60" w:after="60"/>
              <w:ind w:left="57" w:right="57"/>
              <w:rPr>
                <w:rFonts w:eastAsia="SimSun"/>
                <w:lang w:eastAsia="zh-CN"/>
              </w:rPr>
            </w:pPr>
            <w:r w:rsidRPr="005F2624">
              <w:rPr>
                <w:rFonts w:eastAsia="SimSun"/>
                <w:lang w:val="fr-FR" w:eastAsia="zh-CN"/>
              </w:rPr>
              <w:t xml:space="preserve">1.16.1.4.2 e) </w:t>
            </w:r>
          </w:p>
        </w:tc>
        <w:tc>
          <w:tcPr>
            <w:tcW w:w="3119" w:type="dxa"/>
          </w:tcPr>
          <w:p w14:paraId="45FD8DD5" w14:textId="77777777" w:rsidR="00C22589" w:rsidRPr="005F2624" w:rsidRDefault="00C22589" w:rsidP="005F2624">
            <w:pPr>
              <w:suppressAutoHyphens w:val="0"/>
              <w:kinsoku/>
              <w:overflowPunct/>
              <w:snapToGrid/>
              <w:spacing w:before="60" w:after="60"/>
              <w:ind w:left="57" w:right="57"/>
              <w:rPr>
                <w:rFonts w:eastAsia="SimSun"/>
                <w:lang w:val="fr-FR" w:eastAsia="zh-CN"/>
              </w:rPr>
            </w:pPr>
            <w:r w:rsidRPr="005F2624">
              <w:rPr>
                <w:rFonts w:eastAsia="SimSun"/>
                <w:lang w:val="fr-FR" w:eastAsia="zh-CN"/>
              </w:rPr>
              <w:t xml:space="preserve">Date d’applicabilité des dispositions transitoires dans l’annexe au certificat d’agrément en cas de transformation </w:t>
            </w:r>
          </w:p>
        </w:tc>
        <w:tc>
          <w:tcPr>
            <w:tcW w:w="2319" w:type="dxa"/>
          </w:tcPr>
          <w:p w14:paraId="2B3710CD" w14:textId="77777777" w:rsidR="00C22589" w:rsidRPr="005F2624" w:rsidRDefault="00C22589" w:rsidP="005F2624">
            <w:pPr>
              <w:suppressAutoHyphens w:val="0"/>
              <w:kinsoku/>
              <w:overflowPunct/>
              <w:snapToGrid/>
              <w:spacing w:before="60" w:after="60"/>
              <w:ind w:left="57" w:right="57"/>
              <w:rPr>
                <w:rFonts w:eastAsia="SimSun"/>
                <w:lang w:val="fr-FR" w:eastAsia="zh-CN"/>
              </w:rPr>
            </w:pPr>
            <w:r w:rsidRPr="005F2624">
              <w:rPr>
                <w:rFonts w:eastAsia="SimSun"/>
                <w:lang w:val="fr-FR" w:eastAsia="zh-CN"/>
              </w:rPr>
              <w:t>Renouvellement du certificat d’agrément après le 31</w:t>
            </w:r>
            <w:r w:rsidR="005F2624">
              <w:rPr>
                <w:rFonts w:eastAsia="SimSun"/>
                <w:lang w:val="fr-FR" w:eastAsia="zh-CN"/>
              </w:rPr>
              <w:t> </w:t>
            </w:r>
            <w:r w:rsidRPr="005F2624">
              <w:rPr>
                <w:rFonts w:eastAsia="SimSun"/>
                <w:lang w:val="fr-FR" w:eastAsia="zh-CN"/>
              </w:rPr>
              <w:t xml:space="preserve">décembre 2022 </w:t>
            </w:r>
          </w:p>
        </w:tc>
      </w:tr>
    </w:tbl>
    <w:p w14:paraId="75B013B9" w14:textId="77777777" w:rsidR="00C22589" w:rsidRPr="00F10460" w:rsidRDefault="00C22589" w:rsidP="00D45B40">
      <w:pPr>
        <w:pStyle w:val="SingleTxtG"/>
        <w:spacing w:before="240"/>
        <w:rPr>
          <w:rFonts w:eastAsia="Calibri"/>
          <w:lang w:val="fr-FR"/>
        </w:rPr>
      </w:pPr>
      <w:r w:rsidRPr="00F10460">
        <w:rPr>
          <w:rFonts w:eastAsia="Calibri"/>
          <w:i/>
          <w:iCs/>
          <w:lang w:val="fr-FR"/>
        </w:rPr>
        <w:t>(Document de référence : ECE/TRANS/WP.15/AC.2/2021/1)</w:t>
      </w:r>
    </w:p>
    <w:p w14:paraId="7EF1A50D" w14:textId="77777777" w:rsidR="00C22589" w:rsidRPr="00F10460" w:rsidRDefault="00C22589" w:rsidP="00D45B40">
      <w:pPr>
        <w:pStyle w:val="SingleTxtG"/>
        <w:keepNext/>
        <w:rPr>
          <w:rFonts w:eastAsia="Calibri"/>
          <w:lang w:val="fr-FR"/>
        </w:rPr>
      </w:pPr>
      <w:r w:rsidRPr="00F10460">
        <w:rPr>
          <w:rFonts w:eastAsia="Calibri"/>
          <w:lang w:val="fr-FR"/>
        </w:rPr>
        <w:t>1.6.7.5.1 d)</w:t>
      </w:r>
      <w:r w:rsidRPr="00F10460">
        <w:rPr>
          <w:rFonts w:eastAsia="Calibri"/>
          <w:lang w:val="fr-FR"/>
        </w:rPr>
        <w:tab/>
        <w:t>Modifier le début pour lire comme suit :</w:t>
      </w:r>
    </w:p>
    <w:p w14:paraId="1755E5E0" w14:textId="77777777" w:rsidR="00C22589" w:rsidRPr="00F10460" w:rsidRDefault="00C22589" w:rsidP="00D45B40">
      <w:pPr>
        <w:pStyle w:val="SingleTxtG"/>
        <w:ind w:left="2268"/>
        <w:rPr>
          <w:lang w:val="fr-FR"/>
        </w:rPr>
      </w:pPr>
      <w:r w:rsidRPr="00F10460">
        <w:rPr>
          <w:lang w:val="fr-FR"/>
        </w:rPr>
        <w:t>« L</w:t>
      </w:r>
      <w:r>
        <w:rPr>
          <w:lang w:val="fr-FR"/>
        </w:rPr>
        <w:t>’</w:t>
      </w:r>
      <w:r w:rsidRPr="00F10460">
        <w:rPr>
          <w:lang w:val="fr-FR"/>
        </w:rPr>
        <w:t>application de la présente sous-section, y compris les dispositions transitoires effectivement appliquées, doit être consignée... ». Le reste demeure inchangé.</w:t>
      </w:r>
    </w:p>
    <w:p w14:paraId="5560897B" w14:textId="77777777" w:rsidR="00C22589" w:rsidRPr="00F10460" w:rsidRDefault="00C22589" w:rsidP="00D45B40">
      <w:pPr>
        <w:pStyle w:val="SingleTxtG"/>
        <w:rPr>
          <w:rFonts w:eastAsia="Calibri"/>
          <w:lang w:val="fr-FR"/>
        </w:rPr>
      </w:pPr>
      <w:r w:rsidRPr="00F10460">
        <w:rPr>
          <w:rFonts w:eastAsia="Calibri"/>
          <w:i/>
          <w:iCs/>
          <w:lang w:val="fr-FR"/>
        </w:rPr>
        <w:t>(Document de référence : ECE/TRANS/WP.15/AC.2/2021/1)</w:t>
      </w:r>
    </w:p>
    <w:p w14:paraId="73871BFB" w14:textId="77777777" w:rsidR="00C22589" w:rsidRPr="00F10460" w:rsidRDefault="00C22589" w:rsidP="00D45B40">
      <w:pPr>
        <w:pStyle w:val="H23G"/>
        <w:rPr>
          <w:i/>
          <w:iCs/>
          <w:lang w:val="fr-FR"/>
        </w:rPr>
      </w:pPr>
      <w:r w:rsidRPr="00F10460">
        <w:rPr>
          <w:lang w:val="fr-FR"/>
        </w:rPr>
        <w:tab/>
      </w:r>
      <w:r w:rsidRPr="00F10460">
        <w:rPr>
          <w:lang w:val="fr-FR"/>
        </w:rPr>
        <w:tab/>
      </w:r>
      <w:r w:rsidRPr="00F10460">
        <w:rPr>
          <w:lang w:val="fr-FR"/>
        </w:rPr>
        <w:tab/>
        <w:t>Chapitre 1.16</w:t>
      </w:r>
    </w:p>
    <w:p w14:paraId="21496665" w14:textId="77777777" w:rsidR="00C22589" w:rsidRPr="00F10460" w:rsidRDefault="00C22589" w:rsidP="00D45B40">
      <w:pPr>
        <w:pStyle w:val="SingleTxtG"/>
        <w:keepNext/>
        <w:rPr>
          <w:rFonts w:eastAsia="Calibri"/>
          <w:lang w:val="fr-FR"/>
        </w:rPr>
      </w:pPr>
      <w:r w:rsidRPr="00F10460">
        <w:rPr>
          <w:rFonts w:eastAsia="Calibri"/>
          <w:lang w:val="fr-FR"/>
        </w:rPr>
        <w:t>1.16.1.4.2</w:t>
      </w:r>
      <w:r w:rsidRPr="00F10460">
        <w:rPr>
          <w:rFonts w:eastAsia="Calibri"/>
          <w:lang w:val="fr-FR"/>
        </w:rPr>
        <w:tab/>
        <w:t>Insérer un nouveau sous-paragraphe e), libellé comme suit :</w:t>
      </w:r>
    </w:p>
    <w:p w14:paraId="17E9EE0F" w14:textId="77777777" w:rsidR="00C22589" w:rsidRPr="00F10460" w:rsidRDefault="00C22589" w:rsidP="00D45B40">
      <w:pPr>
        <w:pStyle w:val="SingleTxtG"/>
        <w:ind w:left="2835" w:hanging="567"/>
        <w:rPr>
          <w:rFonts w:eastAsia="Calibri"/>
          <w:lang w:val="fr-FR"/>
        </w:rPr>
      </w:pPr>
      <w:r w:rsidRPr="00F10460">
        <w:rPr>
          <w:rFonts w:eastAsia="Calibri"/>
          <w:lang w:val="fr-FR"/>
        </w:rPr>
        <w:t>« e)</w:t>
      </w:r>
      <w:r w:rsidRPr="00F10460">
        <w:rPr>
          <w:rFonts w:eastAsia="Calibri"/>
          <w:lang w:val="fr-FR"/>
        </w:rPr>
        <w:tab/>
        <w:t>Par dérogation aux dispositions des sous-paragraphes</w:t>
      </w:r>
      <w:r w:rsidR="00D45B40">
        <w:rPr>
          <w:rFonts w:eastAsia="Calibri"/>
          <w:lang w:val="fr-FR"/>
        </w:rPr>
        <w:t> </w:t>
      </w:r>
      <w:r w:rsidRPr="00F10460">
        <w:rPr>
          <w:rFonts w:eastAsia="Calibri"/>
          <w:lang w:val="fr-FR"/>
        </w:rPr>
        <w:t>a) à d), la date de présentation pour la première visite aux fins de la délivrance d</w:t>
      </w:r>
      <w:r>
        <w:rPr>
          <w:rFonts w:eastAsia="Calibri"/>
          <w:lang w:val="fr-FR"/>
        </w:rPr>
        <w:t>’</w:t>
      </w:r>
      <w:r w:rsidRPr="00F10460">
        <w:rPr>
          <w:rFonts w:eastAsia="Calibri"/>
          <w:lang w:val="fr-FR"/>
        </w:rPr>
        <w:t>un nouveau certificat d</w:t>
      </w:r>
      <w:r>
        <w:rPr>
          <w:rFonts w:eastAsia="Calibri"/>
          <w:lang w:val="fr-FR"/>
        </w:rPr>
        <w:t>’</w:t>
      </w:r>
      <w:r w:rsidRPr="00F10460">
        <w:rPr>
          <w:rFonts w:eastAsia="Calibri"/>
          <w:lang w:val="fr-FR"/>
        </w:rPr>
        <w:t>agrément après une modification d</w:t>
      </w:r>
      <w:r>
        <w:rPr>
          <w:rFonts w:eastAsia="Calibri"/>
          <w:lang w:val="fr-FR"/>
        </w:rPr>
        <w:t>’</w:t>
      </w:r>
      <w:r w:rsidRPr="00F10460">
        <w:rPr>
          <w:rFonts w:eastAsia="Calibri"/>
          <w:lang w:val="fr-FR"/>
        </w:rPr>
        <w:t>un type de bateau-citerne, d</w:t>
      </w:r>
      <w:r>
        <w:rPr>
          <w:rFonts w:eastAsia="Calibri"/>
          <w:lang w:val="fr-FR"/>
        </w:rPr>
        <w:t>’</w:t>
      </w:r>
      <w:r w:rsidRPr="00F10460">
        <w:rPr>
          <w:rFonts w:eastAsia="Calibri"/>
          <w:lang w:val="fr-FR"/>
        </w:rPr>
        <w:t>un type de citerne à cargaison ou d</w:t>
      </w:r>
      <w:r>
        <w:rPr>
          <w:rFonts w:eastAsia="Calibri"/>
          <w:lang w:val="fr-FR"/>
        </w:rPr>
        <w:t>’</w:t>
      </w:r>
      <w:r w:rsidRPr="00F10460">
        <w:rPr>
          <w:rFonts w:eastAsia="Calibri"/>
          <w:lang w:val="fr-FR"/>
        </w:rPr>
        <w:t>une conception de citerne à cargaison existants en un autre type ou conception plus élevé. ».</w:t>
      </w:r>
    </w:p>
    <w:p w14:paraId="045E863A" w14:textId="77777777" w:rsidR="00C22589" w:rsidRPr="00F10460" w:rsidRDefault="00C22589" w:rsidP="00D45B40">
      <w:pPr>
        <w:pStyle w:val="SingleTxtG"/>
        <w:rPr>
          <w:rFonts w:eastAsia="Calibri"/>
          <w:lang w:val="fr-FR"/>
        </w:rPr>
      </w:pPr>
      <w:r w:rsidRPr="00F10460">
        <w:rPr>
          <w:rFonts w:eastAsia="Calibri"/>
          <w:i/>
          <w:iCs/>
          <w:lang w:val="fr-FR"/>
        </w:rPr>
        <w:t>(Document de référence : ECE/TRANS/WP.15/AC.2/2021/1)</w:t>
      </w:r>
    </w:p>
    <w:p w14:paraId="39500B34" w14:textId="77777777" w:rsidR="00C22589" w:rsidRPr="00F10460" w:rsidRDefault="00C22589" w:rsidP="00D45B40">
      <w:pPr>
        <w:pStyle w:val="H23G"/>
        <w:rPr>
          <w:i/>
          <w:iCs/>
          <w:lang w:val="fr-FR"/>
        </w:rPr>
      </w:pPr>
      <w:r w:rsidRPr="00F10460">
        <w:rPr>
          <w:lang w:val="fr-FR"/>
        </w:rPr>
        <w:tab/>
      </w:r>
      <w:r w:rsidRPr="00F10460">
        <w:rPr>
          <w:lang w:val="fr-FR"/>
        </w:rPr>
        <w:tab/>
      </w:r>
      <w:r w:rsidRPr="00F10460">
        <w:rPr>
          <w:lang w:val="fr-FR"/>
        </w:rPr>
        <w:tab/>
        <w:t>Chapitre 3.2, tableau A</w:t>
      </w:r>
    </w:p>
    <w:p w14:paraId="4ECAA334" w14:textId="77777777" w:rsidR="00C22589" w:rsidRPr="00F10460" w:rsidRDefault="00C22589" w:rsidP="00D45B40">
      <w:pPr>
        <w:pStyle w:val="SingleTxtG"/>
        <w:rPr>
          <w:lang w:val="fr-FR"/>
        </w:rPr>
      </w:pPr>
      <w:r w:rsidRPr="00F10460">
        <w:rPr>
          <w:lang w:val="fr-FR"/>
        </w:rPr>
        <w:t>Pour le N</w:t>
      </w:r>
      <w:r w:rsidRPr="00D45B40">
        <w:rPr>
          <w:vertAlign w:val="superscript"/>
          <w:lang w:val="fr-FR"/>
        </w:rPr>
        <w:t>o</w:t>
      </w:r>
      <w:r w:rsidR="00D45B40">
        <w:rPr>
          <w:lang w:val="fr-FR"/>
        </w:rPr>
        <w:t> </w:t>
      </w:r>
      <w:r w:rsidRPr="00F10460">
        <w:rPr>
          <w:lang w:val="fr-FR"/>
        </w:rPr>
        <w:t>ONU 1408, dans la colonne (6), insérer « 802 ».</w:t>
      </w:r>
    </w:p>
    <w:p w14:paraId="4EE3EF83" w14:textId="77777777" w:rsidR="00C22589" w:rsidRPr="00F10460" w:rsidRDefault="00C22589" w:rsidP="00D45B40">
      <w:pPr>
        <w:pStyle w:val="SingleTxtG"/>
        <w:rPr>
          <w:rFonts w:eastAsia="Calibri"/>
          <w:i/>
          <w:lang w:val="fr-FR"/>
        </w:rPr>
      </w:pPr>
      <w:r w:rsidRPr="00F10460">
        <w:rPr>
          <w:rFonts w:eastAsia="Calibri"/>
          <w:i/>
          <w:iCs/>
          <w:lang w:val="fr-FR"/>
        </w:rPr>
        <w:t>(Document de référence : ECE/TRANS/WP.15/AC.2/2021/4)</w:t>
      </w:r>
    </w:p>
    <w:p w14:paraId="19684477" w14:textId="77777777" w:rsidR="00C22589" w:rsidRPr="00F10460" w:rsidRDefault="00C22589" w:rsidP="00D45B40">
      <w:pPr>
        <w:pStyle w:val="SingleTxtG"/>
        <w:rPr>
          <w:rFonts w:eastAsia="Calibri"/>
          <w:lang w:val="fr-FR"/>
        </w:rPr>
      </w:pPr>
      <w:r w:rsidRPr="00F10460">
        <w:rPr>
          <w:rFonts w:eastAsia="Calibri"/>
          <w:lang w:val="fr-FR"/>
        </w:rPr>
        <w:t>Pour le N</w:t>
      </w:r>
      <w:r w:rsidRPr="00D45B40">
        <w:rPr>
          <w:rFonts w:eastAsia="Calibri"/>
          <w:vertAlign w:val="superscript"/>
          <w:lang w:val="fr-FR"/>
        </w:rPr>
        <w:t>o</w:t>
      </w:r>
      <w:r w:rsidR="00D45B40">
        <w:rPr>
          <w:rFonts w:eastAsia="Calibri"/>
          <w:lang w:val="fr-FR"/>
        </w:rPr>
        <w:t> </w:t>
      </w:r>
      <w:r w:rsidRPr="00F10460">
        <w:rPr>
          <w:rFonts w:eastAsia="Calibri"/>
          <w:lang w:val="fr-FR"/>
        </w:rPr>
        <w:t>ONU 1694, dans la colonne (6), supprimer « 302 » et insérer « 802 ».</w:t>
      </w:r>
    </w:p>
    <w:p w14:paraId="501754D5" w14:textId="77777777" w:rsidR="00C22589" w:rsidRPr="00F10460" w:rsidRDefault="00C22589" w:rsidP="00D45B40">
      <w:pPr>
        <w:pStyle w:val="SingleTxtG"/>
        <w:rPr>
          <w:rFonts w:eastAsia="Calibri"/>
          <w:lang w:val="fr-FR"/>
        </w:rPr>
      </w:pPr>
      <w:r w:rsidRPr="00F10460">
        <w:rPr>
          <w:rFonts w:eastAsia="Calibri"/>
          <w:i/>
          <w:iCs/>
          <w:lang w:val="fr-FR"/>
        </w:rPr>
        <w:t>(Document de référence : ECE/TRANS/WP.15/AC.2/2021/4)</w:t>
      </w:r>
    </w:p>
    <w:p w14:paraId="2A1E53C9" w14:textId="77777777" w:rsidR="00C22589" w:rsidRPr="00F10460" w:rsidRDefault="00C22589" w:rsidP="00D45B40">
      <w:pPr>
        <w:pStyle w:val="SingleTxtG"/>
        <w:rPr>
          <w:rFonts w:eastAsia="Calibri"/>
          <w:lang w:val="fr-FR"/>
        </w:rPr>
      </w:pPr>
      <w:r w:rsidRPr="00F10460">
        <w:rPr>
          <w:rFonts w:eastAsia="Calibri"/>
          <w:lang w:val="fr-FR"/>
        </w:rPr>
        <w:t>Pour le N</w:t>
      </w:r>
      <w:r w:rsidRPr="00D45B40">
        <w:rPr>
          <w:rFonts w:eastAsia="Calibri"/>
          <w:vertAlign w:val="superscript"/>
          <w:lang w:val="fr-FR"/>
        </w:rPr>
        <w:t>o</w:t>
      </w:r>
      <w:r w:rsidR="00D45B40">
        <w:rPr>
          <w:rFonts w:eastAsia="Calibri"/>
          <w:lang w:val="fr-FR"/>
        </w:rPr>
        <w:t> </w:t>
      </w:r>
      <w:r w:rsidRPr="00F10460">
        <w:rPr>
          <w:rFonts w:eastAsia="Calibri"/>
          <w:lang w:val="fr-FR"/>
        </w:rPr>
        <w:t>ONU 1872 : dans la colonne (6), supprimer « 802 » ; dans la colonne (9), supprimer « EP ».</w:t>
      </w:r>
    </w:p>
    <w:p w14:paraId="688108C7" w14:textId="77777777" w:rsidR="00C22589" w:rsidRPr="00F10460" w:rsidRDefault="00C22589" w:rsidP="00D45B40">
      <w:pPr>
        <w:pStyle w:val="SingleTxtG"/>
        <w:rPr>
          <w:rFonts w:eastAsia="Calibri"/>
          <w:i/>
          <w:iCs/>
          <w:lang w:val="fr-FR"/>
        </w:rPr>
      </w:pPr>
      <w:r w:rsidRPr="00F10460">
        <w:rPr>
          <w:rFonts w:eastAsia="Calibri"/>
          <w:b/>
          <w:bCs/>
          <w:i/>
          <w:iCs/>
          <w:lang w:val="fr-FR"/>
        </w:rPr>
        <w:t>Note du secrétariat</w:t>
      </w:r>
      <w:r w:rsidRPr="00F10460">
        <w:rPr>
          <w:rFonts w:eastAsia="Calibri"/>
          <w:i/>
          <w:iCs/>
          <w:lang w:val="fr-FR"/>
        </w:rPr>
        <w:t> : Amendement de conséquence sous réserve de l</w:t>
      </w:r>
      <w:r>
        <w:rPr>
          <w:rFonts w:eastAsia="Calibri"/>
          <w:i/>
          <w:iCs/>
          <w:lang w:val="fr-FR"/>
        </w:rPr>
        <w:t>’</w:t>
      </w:r>
      <w:r w:rsidRPr="00F10460">
        <w:rPr>
          <w:rFonts w:eastAsia="Calibri"/>
          <w:i/>
          <w:iCs/>
          <w:lang w:val="fr-FR"/>
        </w:rPr>
        <w:t>adoption de l</w:t>
      </w:r>
      <w:r>
        <w:rPr>
          <w:rFonts w:eastAsia="Calibri"/>
          <w:i/>
          <w:iCs/>
          <w:lang w:val="fr-FR"/>
        </w:rPr>
        <w:t>’</w:t>
      </w:r>
      <w:r w:rsidRPr="00F10460">
        <w:rPr>
          <w:rFonts w:eastAsia="Calibri"/>
          <w:i/>
          <w:iCs/>
          <w:lang w:val="fr-FR"/>
        </w:rPr>
        <w:t>amendement adopté par la Réunion commune pour le N</w:t>
      </w:r>
      <w:r w:rsidRPr="00D45B40">
        <w:rPr>
          <w:rFonts w:eastAsia="Calibri"/>
          <w:i/>
          <w:iCs/>
          <w:vertAlign w:val="superscript"/>
          <w:lang w:val="fr-FR"/>
        </w:rPr>
        <w:t>o</w:t>
      </w:r>
      <w:r w:rsidR="00D45B40">
        <w:rPr>
          <w:rFonts w:eastAsia="Calibri"/>
          <w:i/>
          <w:iCs/>
          <w:lang w:val="fr-FR"/>
        </w:rPr>
        <w:t> </w:t>
      </w:r>
      <w:r w:rsidRPr="00F10460">
        <w:rPr>
          <w:rFonts w:eastAsia="Calibri"/>
          <w:i/>
          <w:iCs/>
          <w:lang w:val="fr-FR"/>
        </w:rPr>
        <w:t>ONU 1872, qui sera soumis au Comité de sécurité à sa session de janvier</w:t>
      </w:r>
      <w:r w:rsidR="00D45B40">
        <w:rPr>
          <w:rFonts w:eastAsia="Calibri"/>
          <w:i/>
          <w:iCs/>
          <w:lang w:val="fr-FR"/>
        </w:rPr>
        <w:t xml:space="preserve"> </w:t>
      </w:r>
      <w:r w:rsidRPr="00F10460">
        <w:rPr>
          <w:rFonts w:eastAsia="Calibri"/>
          <w:i/>
          <w:iCs/>
          <w:lang w:val="fr-FR"/>
        </w:rPr>
        <w:t>2022.</w:t>
      </w:r>
    </w:p>
    <w:p w14:paraId="393AB46D" w14:textId="77777777" w:rsidR="00C22589" w:rsidRPr="00F10460" w:rsidRDefault="00C22589" w:rsidP="00D45B40">
      <w:pPr>
        <w:pStyle w:val="SingleTxtG"/>
        <w:rPr>
          <w:rFonts w:eastAsia="Calibri"/>
          <w:i/>
          <w:lang w:val="fr-FR"/>
        </w:rPr>
      </w:pPr>
      <w:r w:rsidRPr="00F10460">
        <w:rPr>
          <w:rFonts w:eastAsia="Calibri"/>
          <w:i/>
          <w:iCs/>
          <w:lang w:val="fr-FR"/>
        </w:rPr>
        <w:t>(Document de référence : document informel INF.18)</w:t>
      </w:r>
    </w:p>
    <w:p w14:paraId="1C289649" w14:textId="77777777" w:rsidR="00C22589" w:rsidRPr="00F10460" w:rsidRDefault="00C22589" w:rsidP="00D45B40">
      <w:pPr>
        <w:pStyle w:val="SingleTxtG"/>
        <w:rPr>
          <w:rFonts w:eastAsia="Calibri"/>
          <w:lang w:val="fr-FR"/>
        </w:rPr>
      </w:pPr>
      <w:r w:rsidRPr="00F10460">
        <w:rPr>
          <w:rFonts w:eastAsia="Calibri"/>
          <w:lang w:val="fr-FR"/>
        </w:rPr>
        <w:t>Pour le N</w:t>
      </w:r>
      <w:r w:rsidRPr="00D45B40">
        <w:rPr>
          <w:rFonts w:eastAsia="Calibri"/>
          <w:vertAlign w:val="superscript"/>
          <w:lang w:val="fr-FR"/>
        </w:rPr>
        <w:t>o</w:t>
      </w:r>
      <w:r w:rsidR="00D45B40">
        <w:rPr>
          <w:rFonts w:eastAsia="Calibri"/>
          <w:lang w:val="fr-FR"/>
        </w:rPr>
        <w:t> </w:t>
      </w:r>
      <w:r w:rsidRPr="00F10460">
        <w:rPr>
          <w:rFonts w:eastAsia="Calibri"/>
          <w:lang w:val="fr-FR"/>
        </w:rPr>
        <w:t>ONU 1950, dans la colonne (10), insérer « VE04 ».</w:t>
      </w:r>
    </w:p>
    <w:p w14:paraId="5C1A3C72" w14:textId="77777777" w:rsidR="00C22589" w:rsidRPr="00F10460" w:rsidRDefault="00C22589" w:rsidP="00D45B40">
      <w:pPr>
        <w:pStyle w:val="SingleTxtG"/>
        <w:rPr>
          <w:rFonts w:eastAsia="Calibri"/>
          <w:i/>
          <w:lang w:val="fr-FR"/>
        </w:rPr>
      </w:pPr>
      <w:r w:rsidRPr="00F10460">
        <w:rPr>
          <w:rFonts w:eastAsia="Calibri"/>
          <w:i/>
          <w:iCs/>
          <w:lang w:val="fr-FR"/>
        </w:rPr>
        <w:t>(Document de référence : ECE/TRANS/WP.15/AC.2/2021/4)</w:t>
      </w:r>
    </w:p>
    <w:p w14:paraId="758DB7A7" w14:textId="77777777" w:rsidR="00C22589" w:rsidRPr="00F10460" w:rsidRDefault="00C22589" w:rsidP="00D45B40">
      <w:pPr>
        <w:pStyle w:val="SingleTxtG"/>
        <w:keepNext/>
        <w:rPr>
          <w:rFonts w:eastAsia="Calibri"/>
          <w:lang w:val="fr-FR"/>
        </w:rPr>
      </w:pPr>
      <w:r w:rsidRPr="00F10460">
        <w:rPr>
          <w:rFonts w:eastAsia="Calibri"/>
          <w:lang w:val="fr-FR"/>
        </w:rPr>
        <w:lastRenderedPageBreak/>
        <w:t>Pour le N</w:t>
      </w:r>
      <w:r w:rsidRPr="00D45B40">
        <w:rPr>
          <w:rFonts w:eastAsia="Calibri"/>
          <w:vertAlign w:val="superscript"/>
          <w:lang w:val="fr-FR"/>
        </w:rPr>
        <w:t>o</w:t>
      </w:r>
      <w:r w:rsidR="00D45B40">
        <w:rPr>
          <w:rFonts w:eastAsia="Calibri"/>
          <w:lang w:val="fr-FR"/>
        </w:rPr>
        <w:t> </w:t>
      </w:r>
      <w:r w:rsidRPr="00F10460">
        <w:rPr>
          <w:rFonts w:eastAsia="Calibri"/>
          <w:lang w:val="fr-FR"/>
        </w:rPr>
        <w:t>ONU 3206, dans la colonne (6), supprimer « 183 » et insérer « 182 ».</w:t>
      </w:r>
    </w:p>
    <w:p w14:paraId="58CB847E" w14:textId="77777777" w:rsidR="00C22589" w:rsidRPr="00F10460" w:rsidRDefault="00C22589" w:rsidP="00D45B40">
      <w:pPr>
        <w:pStyle w:val="SingleTxtG"/>
        <w:rPr>
          <w:rFonts w:eastAsia="Calibri"/>
          <w:i/>
          <w:lang w:val="fr-FR"/>
        </w:rPr>
      </w:pPr>
      <w:r w:rsidRPr="00F10460">
        <w:rPr>
          <w:rFonts w:eastAsia="Calibri"/>
          <w:i/>
          <w:iCs/>
          <w:lang w:val="fr-FR"/>
        </w:rPr>
        <w:t>(Document de référence : ECE/TRANS/WP.15/AC.2/2021/4)</w:t>
      </w:r>
    </w:p>
    <w:p w14:paraId="12A6B54F" w14:textId="77777777" w:rsidR="00C22589" w:rsidRPr="00F10460" w:rsidRDefault="00C22589" w:rsidP="00D45B40">
      <w:pPr>
        <w:pStyle w:val="SingleTxtG"/>
        <w:rPr>
          <w:rFonts w:eastAsia="Calibri"/>
          <w:lang w:val="fr-FR"/>
        </w:rPr>
      </w:pPr>
      <w:r w:rsidRPr="00F10460">
        <w:rPr>
          <w:rFonts w:eastAsia="Calibri"/>
          <w:lang w:val="fr-FR"/>
        </w:rPr>
        <w:t>Pour le N</w:t>
      </w:r>
      <w:r w:rsidRPr="00D45B40">
        <w:rPr>
          <w:rFonts w:eastAsia="Calibri"/>
          <w:vertAlign w:val="superscript"/>
          <w:lang w:val="fr-FR"/>
        </w:rPr>
        <w:t>o</w:t>
      </w:r>
      <w:r w:rsidR="00D45B40">
        <w:rPr>
          <w:rFonts w:eastAsia="Calibri"/>
          <w:lang w:val="fr-FR"/>
        </w:rPr>
        <w:t> </w:t>
      </w:r>
      <w:r w:rsidRPr="00F10460">
        <w:rPr>
          <w:rFonts w:eastAsia="Calibri"/>
          <w:lang w:val="fr-FR"/>
        </w:rPr>
        <w:t>ONU 3408, dans la colonne (6), insérer « 802 ».</w:t>
      </w:r>
    </w:p>
    <w:p w14:paraId="208661E1" w14:textId="77777777" w:rsidR="00C22589" w:rsidRPr="00F10460" w:rsidRDefault="00C22589" w:rsidP="00D45B40">
      <w:pPr>
        <w:pStyle w:val="SingleTxtG"/>
        <w:rPr>
          <w:rFonts w:eastAsia="Calibri"/>
          <w:i/>
          <w:lang w:val="fr-FR"/>
        </w:rPr>
      </w:pPr>
      <w:r w:rsidRPr="00F10460">
        <w:rPr>
          <w:rFonts w:eastAsia="Calibri"/>
          <w:i/>
          <w:iCs/>
          <w:lang w:val="fr-FR"/>
        </w:rPr>
        <w:t>(Document de référence : ECE/TRANS/WP.15/AC.2/2021/4)</w:t>
      </w:r>
    </w:p>
    <w:p w14:paraId="5E65C7D5" w14:textId="77777777" w:rsidR="00C22589" w:rsidRPr="00F10460" w:rsidRDefault="00C22589" w:rsidP="00D45B40">
      <w:pPr>
        <w:pStyle w:val="H23G"/>
        <w:rPr>
          <w:lang w:val="fr-FR"/>
        </w:rPr>
      </w:pPr>
      <w:r w:rsidRPr="00F10460">
        <w:rPr>
          <w:lang w:val="fr-FR"/>
        </w:rPr>
        <w:tab/>
      </w:r>
      <w:r w:rsidRPr="00F10460">
        <w:rPr>
          <w:lang w:val="fr-FR"/>
        </w:rPr>
        <w:tab/>
      </w:r>
      <w:r w:rsidRPr="00F10460">
        <w:rPr>
          <w:lang w:val="fr-FR"/>
        </w:rPr>
        <w:tab/>
        <w:t>Chapitre 3.2, tableau C</w:t>
      </w:r>
    </w:p>
    <w:p w14:paraId="01B02115" w14:textId="77777777" w:rsidR="00C22589" w:rsidRPr="00F10460" w:rsidRDefault="00C22589" w:rsidP="00D45B40">
      <w:pPr>
        <w:pStyle w:val="SingleTxtG"/>
        <w:rPr>
          <w:rFonts w:eastAsia="Calibri"/>
          <w:lang w:val="fr-FR"/>
        </w:rPr>
      </w:pPr>
      <w:r w:rsidRPr="00F10460">
        <w:rPr>
          <w:rFonts w:eastAsia="Calibri"/>
          <w:lang w:val="fr-FR"/>
        </w:rPr>
        <w:t>Pour le N</w:t>
      </w:r>
      <w:r w:rsidRPr="00D45B40">
        <w:rPr>
          <w:rFonts w:eastAsia="Calibri"/>
          <w:vertAlign w:val="superscript"/>
          <w:lang w:val="fr-FR"/>
        </w:rPr>
        <w:t>o</w:t>
      </w:r>
      <w:r w:rsidR="00D45B40">
        <w:rPr>
          <w:rFonts w:eastAsia="Calibri"/>
          <w:lang w:val="fr-FR"/>
        </w:rPr>
        <w:t> </w:t>
      </w:r>
      <w:r w:rsidRPr="00F10460">
        <w:rPr>
          <w:rFonts w:eastAsia="Calibri"/>
          <w:lang w:val="fr-FR"/>
        </w:rPr>
        <w:t>ONU 1010, BUTADIÈNE-1-2 STABILISÉ, RÉFRIGÉRÉ, modifier la colonne (2) pour lire comme suit : « BUTADIÈNES (BUTADIÈNE-1-2) STABILISÉS, RÉFRIGÉRÉS ».</w:t>
      </w:r>
    </w:p>
    <w:p w14:paraId="5CF1C8EA" w14:textId="77777777" w:rsidR="00C22589" w:rsidRPr="00F10460" w:rsidRDefault="00C22589" w:rsidP="00D45B40">
      <w:pPr>
        <w:pStyle w:val="SingleTxtG"/>
        <w:rPr>
          <w:rFonts w:eastAsia="Calibri"/>
          <w:i/>
          <w:lang w:val="fr-FR"/>
        </w:rPr>
      </w:pPr>
      <w:r w:rsidRPr="00F10460">
        <w:rPr>
          <w:rFonts w:eastAsia="Calibri"/>
          <w:i/>
          <w:iCs/>
          <w:lang w:val="fr-FR"/>
        </w:rPr>
        <w:t>(Document de référence : ECE/TRANS/WP.15/AC.2/2021/8)</w:t>
      </w:r>
    </w:p>
    <w:p w14:paraId="42B5B23F" w14:textId="77777777" w:rsidR="00C22589" w:rsidRPr="00F10460" w:rsidRDefault="00C22589" w:rsidP="00D45B40">
      <w:pPr>
        <w:pStyle w:val="SingleTxtG"/>
        <w:rPr>
          <w:rFonts w:eastAsia="Calibri"/>
          <w:lang w:val="fr-FR"/>
        </w:rPr>
      </w:pPr>
      <w:r w:rsidRPr="00F10460">
        <w:rPr>
          <w:rFonts w:eastAsia="Calibri"/>
          <w:lang w:val="fr-FR"/>
        </w:rPr>
        <w:t>Pour le N</w:t>
      </w:r>
      <w:r w:rsidRPr="00D45B40">
        <w:rPr>
          <w:rFonts w:eastAsia="Calibri"/>
          <w:vertAlign w:val="superscript"/>
          <w:lang w:val="fr-FR"/>
        </w:rPr>
        <w:t>o</w:t>
      </w:r>
      <w:r w:rsidR="00D45B40">
        <w:rPr>
          <w:rFonts w:eastAsia="Calibri"/>
          <w:lang w:val="fr-FR"/>
        </w:rPr>
        <w:t> </w:t>
      </w:r>
      <w:r w:rsidRPr="00F10460">
        <w:rPr>
          <w:rFonts w:eastAsia="Calibri"/>
          <w:lang w:val="fr-FR"/>
        </w:rPr>
        <w:t>ONU 1010, BUTADIÈNE-1-3 STABILISÉ, RÉFRIGÉRÉ, modifier la colonne (2) pour lire comme suit : « BUTADIÈNES (BUTADIÈNE-1-3) STABILISÉS, RÉFRIGÉRÉS ».</w:t>
      </w:r>
    </w:p>
    <w:p w14:paraId="4F83E152" w14:textId="77777777" w:rsidR="00C22589" w:rsidRPr="00F10460" w:rsidRDefault="00C22589" w:rsidP="00D45B40">
      <w:pPr>
        <w:pStyle w:val="SingleTxtG"/>
        <w:rPr>
          <w:rFonts w:eastAsia="Calibri"/>
          <w:lang w:val="fr-FR"/>
        </w:rPr>
      </w:pPr>
      <w:r w:rsidRPr="00F10460">
        <w:rPr>
          <w:rFonts w:eastAsia="Calibri"/>
          <w:i/>
          <w:iCs/>
          <w:lang w:val="fr-FR"/>
        </w:rPr>
        <w:t>(Document de référence : ECE/TRANS/WP.15/AC.2/2021/8)</w:t>
      </w:r>
      <w:r w:rsidRPr="00F10460">
        <w:rPr>
          <w:rFonts w:eastAsia="Calibri"/>
          <w:lang w:val="fr-FR"/>
        </w:rPr>
        <w:t xml:space="preserve"> </w:t>
      </w:r>
    </w:p>
    <w:p w14:paraId="1167D6BE" w14:textId="77777777" w:rsidR="00C22589" w:rsidRPr="00F10460" w:rsidRDefault="00C22589" w:rsidP="00D45B40">
      <w:pPr>
        <w:pStyle w:val="SingleTxtG"/>
        <w:rPr>
          <w:rFonts w:eastAsia="Calibri"/>
          <w:lang w:val="fr-FR"/>
        </w:rPr>
      </w:pPr>
      <w:r w:rsidRPr="00F10460">
        <w:rPr>
          <w:rFonts w:eastAsia="Calibri"/>
          <w:lang w:val="fr-FR"/>
        </w:rPr>
        <w:t>Pour le N</w:t>
      </w:r>
      <w:r w:rsidRPr="00D45B40">
        <w:rPr>
          <w:rFonts w:eastAsia="Calibri"/>
          <w:vertAlign w:val="superscript"/>
          <w:lang w:val="fr-FR"/>
        </w:rPr>
        <w:t>o</w:t>
      </w:r>
      <w:r w:rsidR="00D45B40">
        <w:rPr>
          <w:rFonts w:eastAsia="Calibri"/>
          <w:lang w:val="fr-FR"/>
        </w:rPr>
        <w:t> </w:t>
      </w:r>
      <w:r w:rsidRPr="00F10460">
        <w:rPr>
          <w:rFonts w:eastAsia="Calibri"/>
          <w:lang w:val="fr-FR"/>
        </w:rPr>
        <w:t>ONU 1010, BUTADIÈNES STABILISÉS ou BUTADIÈNES ET HYDROCARBURES EN MÉLANGE STABILISÉ, qui, à 70 °C, ont une pression de vapeur ne dépassant pas 1,1 MPa (11 bar) et dont la masse volumique à 50 °C n</w:t>
      </w:r>
      <w:r>
        <w:rPr>
          <w:rFonts w:eastAsia="Calibri"/>
          <w:lang w:val="fr-FR"/>
        </w:rPr>
        <w:t>’</w:t>
      </w:r>
      <w:r w:rsidRPr="00F10460">
        <w:rPr>
          <w:rFonts w:eastAsia="Calibri"/>
          <w:lang w:val="fr-FR"/>
        </w:rPr>
        <w:t>est pas inférieure à 0,525 kg/l (contient moins de 0,1 % de butadiène-1-3) :</w:t>
      </w:r>
    </w:p>
    <w:p w14:paraId="57A5E33B" w14:textId="77777777" w:rsidR="00C22589" w:rsidRPr="00F10460" w:rsidRDefault="00C22589" w:rsidP="00D45B40">
      <w:pPr>
        <w:pStyle w:val="SingleTxtG"/>
        <w:rPr>
          <w:rFonts w:eastAsia="Calibri"/>
          <w:lang w:val="fr-FR"/>
        </w:rPr>
      </w:pPr>
      <w:r w:rsidRPr="00F10460">
        <w:rPr>
          <w:rFonts w:eastAsia="Calibri"/>
          <w:lang w:val="fr-FR"/>
        </w:rPr>
        <w:t>Modifier la colonne (2) pour lire : « BUTADIÈNES STABILISÉS, ou BUTADIÈNES ET HYDROCARBURES EN MÉLANGE STABILISÉ, contenant plus de 40 % de butadiènes (contient moins de 0,1 % de butadiène-1-3). ».</w:t>
      </w:r>
    </w:p>
    <w:p w14:paraId="120B2EB8" w14:textId="77777777" w:rsidR="00C22589" w:rsidRPr="00F10460" w:rsidRDefault="00C22589" w:rsidP="00D45B40">
      <w:pPr>
        <w:pStyle w:val="SingleTxtG"/>
        <w:rPr>
          <w:rFonts w:eastAsia="Calibri"/>
          <w:lang w:val="fr-FR"/>
        </w:rPr>
      </w:pPr>
      <w:r w:rsidRPr="00F10460">
        <w:rPr>
          <w:rFonts w:eastAsia="Calibri"/>
          <w:i/>
          <w:iCs/>
          <w:lang w:val="fr-FR"/>
        </w:rPr>
        <w:t>(Document de référence : ECE/TRANS/WP.15/AC.2/2021/8)</w:t>
      </w:r>
      <w:r w:rsidRPr="00F10460">
        <w:rPr>
          <w:rFonts w:eastAsia="Calibri"/>
          <w:lang w:val="fr-FR"/>
        </w:rPr>
        <w:t xml:space="preserve"> </w:t>
      </w:r>
    </w:p>
    <w:p w14:paraId="520C0BFB" w14:textId="77777777" w:rsidR="00C22589" w:rsidRPr="00F10460" w:rsidRDefault="00C22589" w:rsidP="00D45B40">
      <w:pPr>
        <w:pStyle w:val="SingleTxtG"/>
        <w:rPr>
          <w:rFonts w:eastAsia="Calibri"/>
          <w:lang w:val="fr-FR"/>
        </w:rPr>
      </w:pPr>
      <w:r w:rsidRPr="00F10460">
        <w:rPr>
          <w:rFonts w:eastAsia="Calibri"/>
          <w:lang w:val="fr-FR"/>
        </w:rPr>
        <w:t>Pour le N</w:t>
      </w:r>
      <w:r w:rsidRPr="00D45B40">
        <w:rPr>
          <w:rFonts w:eastAsia="Calibri"/>
          <w:vertAlign w:val="superscript"/>
          <w:lang w:val="fr-FR"/>
        </w:rPr>
        <w:t>o</w:t>
      </w:r>
      <w:r w:rsidR="00D45B40">
        <w:rPr>
          <w:rFonts w:eastAsia="Calibri"/>
          <w:lang w:val="fr-FR"/>
        </w:rPr>
        <w:t> </w:t>
      </w:r>
      <w:r w:rsidRPr="00F10460">
        <w:rPr>
          <w:rFonts w:eastAsia="Calibri"/>
          <w:lang w:val="fr-FR"/>
        </w:rPr>
        <w:t>ONU 1010, BUTADIÈNES STABILISÉS ou BUTADIÈNES ET HYDROCARBURES EN MÉLANGE STABILISÉ, RÉFRIGÉRÉS, qui, à 70 °C, ont une pression de vapeur ne dépassant pas 1,1 MPa (11 bar) et dont la masse volumique à 50 °C n</w:t>
      </w:r>
      <w:r>
        <w:rPr>
          <w:rFonts w:eastAsia="Calibri"/>
          <w:lang w:val="fr-FR"/>
        </w:rPr>
        <w:t>’</w:t>
      </w:r>
      <w:r w:rsidRPr="00F10460">
        <w:rPr>
          <w:rFonts w:eastAsia="Calibri"/>
          <w:lang w:val="fr-FR"/>
        </w:rPr>
        <w:t xml:space="preserve">est pas inférieure à 0,525 kg/l (contient moins de 0,1 % de butadiène-1-3) : </w:t>
      </w:r>
    </w:p>
    <w:p w14:paraId="33346C6F" w14:textId="77777777" w:rsidR="00C22589" w:rsidRPr="00F10460" w:rsidRDefault="00C22589" w:rsidP="00D45B40">
      <w:pPr>
        <w:pStyle w:val="SingleTxtG"/>
        <w:rPr>
          <w:rFonts w:eastAsia="Calibri"/>
          <w:lang w:val="fr-FR"/>
        </w:rPr>
      </w:pPr>
      <w:r w:rsidRPr="00F10460">
        <w:rPr>
          <w:rFonts w:eastAsia="Calibri"/>
          <w:lang w:val="fr-FR"/>
        </w:rPr>
        <w:t>Modifier la colonne (2) pour lire : « BUTADIÈNES STABILISÉS, ou BUTADIÈNES ET HYDROCARBURES EN MÉLANGE STABILISÉ, RÉFRIGÉRÉS, contenant plus de 40 % de butadiènes (contient moins de 0,1 % de butadiène-1-3). ».</w:t>
      </w:r>
    </w:p>
    <w:p w14:paraId="7D30A667" w14:textId="77777777" w:rsidR="00C22589" w:rsidRPr="00F10460" w:rsidRDefault="00C22589" w:rsidP="00D45B40">
      <w:pPr>
        <w:pStyle w:val="SingleTxtG"/>
        <w:rPr>
          <w:rFonts w:eastAsia="Calibri"/>
          <w:lang w:val="fr-FR"/>
        </w:rPr>
      </w:pPr>
      <w:r w:rsidRPr="00F10460">
        <w:rPr>
          <w:rFonts w:eastAsia="Calibri"/>
          <w:i/>
          <w:iCs/>
          <w:lang w:val="fr-FR"/>
        </w:rPr>
        <w:t>(Document de référence : ECE/TRANS/WP.15/AC.2/2021/8)</w:t>
      </w:r>
      <w:r w:rsidRPr="00F10460">
        <w:rPr>
          <w:rFonts w:eastAsia="Calibri"/>
          <w:lang w:val="fr-FR"/>
        </w:rPr>
        <w:t xml:space="preserve"> </w:t>
      </w:r>
    </w:p>
    <w:p w14:paraId="4E6CB394" w14:textId="77777777" w:rsidR="00C22589" w:rsidRPr="00F10460" w:rsidRDefault="00C22589" w:rsidP="00D45B40">
      <w:pPr>
        <w:pStyle w:val="SingleTxtG"/>
        <w:rPr>
          <w:rFonts w:eastAsia="Calibri"/>
          <w:lang w:val="fr-FR"/>
        </w:rPr>
      </w:pPr>
      <w:r w:rsidRPr="00F10460">
        <w:rPr>
          <w:rFonts w:eastAsia="Calibri"/>
          <w:lang w:val="fr-FR"/>
        </w:rPr>
        <w:t>Pour le N</w:t>
      </w:r>
      <w:r w:rsidRPr="00D45B40">
        <w:rPr>
          <w:rFonts w:eastAsia="Calibri"/>
          <w:vertAlign w:val="superscript"/>
          <w:lang w:val="fr-FR"/>
        </w:rPr>
        <w:t>o</w:t>
      </w:r>
      <w:r w:rsidR="00D45B40">
        <w:rPr>
          <w:rFonts w:eastAsia="Calibri"/>
          <w:lang w:val="fr-FR"/>
        </w:rPr>
        <w:t> </w:t>
      </w:r>
      <w:r w:rsidRPr="00F10460">
        <w:rPr>
          <w:rFonts w:eastAsia="Calibri"/>
          <w:lang w:val="fr-FR"/>
        </w:rPr>
        <w:t>ONU 1010, BUTADIÈNES STABILISÉS ou BUTADIÈNES ET HYDROCARBURES EN MÉLANGE STABILISÉ, qui, à 70 °C, ont une pression de vapeur ne dépassant pas 1,1 MPa (11 bar) et dont la masse volumique à 50 °C n</w:t>
      </w:r>
      <w:r>
        <w:rPr>
          <w:rFonts w:eastAsia="Calibri"/>
          <w:lang w:val="fr-FR"/>
        </w:rPr>
        <w:t>’</w:t>
      </w:r>
      <w:r w:rsidRPr="00F10460">
        <w:rPr>
          <w:rFonts w:eastAsia="Calibri"/>
          <w:lang w:val="fr-FR"/>
        </w:rPr>
        <w:t>est pas inférieure à 0,525 kg/l (contient au moins 0,1 % de butadiène-1-3) :</w:t>
      </w:r>
    </w:p>
    <w:p w14:paraId="3B321FD7" w14:textId="77777777" w:rsidR="00C22589" w:rsidRPr="00F10460" w:rsidRDefault="00C22589" w:rsidP="00D45B40">
      <w:pPr>
        <w:pStyle w:val="SingleTxtG"/>
        <w:rPr>
          <w:rFonts w:eastAsia="Calibri"/>
          <w:lang w:val="fr-FR"/>
        </w:rPr>
      </w:pPr>
      <w:r w:rsidRPr="00F10460">
        <w:rPr>
          <w:rFonts w:eastAsia="Calibri"/>
          <w:lang w:val="fr-FR"/>
        </w:rPr>
        <w:t>Modifier la colonne (2) pour lire : « BUTADIÈNES STABILISÉS, ou BUTADIÈNES ET HYDROCARBURES EN MÉLANGE STABILISÉ, contenant plus de 40 % de butadiènes (contient au moins 0,1 % de butadiène-1-3). ».</w:t>
      </w:r>
    </w:p>
    <w:p w14:paraId="0CFC443D" w14:textId="77777777" w:rsidR="00C22589" w:rsidRPr="00F10460" w:rsidRDefault="00C22589" w:rsidP="00D45B40">
      <w:pPr>
        <w:pStyle w:val="SingleTxtG"/>
        <w:rPr>
          <w:rFonts w:eastAsia="Calibri"/>
          <w:lang w:val="fr-FR"/>
        </w:rPr>
      </w:pPr>
      <w:r w:rsidRPr="00F10460">
        <w:rPr>
          <w:rFonts w:eastAsia="Calibri"/>
          <w:i/>
          <w:iCs/>
          <w:lang w:val="fr-FR"/>
        </w:rPr>
        <w:t>(Document de référence : ECE/TRANS/WP.15/AC.2/2021/8)</w:t>
      </w:r>
      <w:r w:rsidRPr="00F10460">
        <w:rPr>
          <w:rFonts w:eastAsia="Calibri"/>
          <w:lang w:val="fr-FR"/>
        </w:rPr>
        <w:t xml:space="preserve"> </w:t>
      </w:r>
    </w:p>
    <w:p w14:paraId="44D2966D" w14:textId="77777777" w:rsidR="00C22589" w:rsidRPr="00F10460" w:rsidRDefault="00C22589" w:rsidP="00D45B40">
      <w:pPr>
        <w:pStyle w:val="SingleTxtG"/>
        <w:rPr>
          <w:rFonts w:eastAsia="Calibri"/>
          <w:lang w:val="fr-FR"/>
        </w:rPr>
      </w:pPr>
      <w:r w:rsidRPr="00F10460">
        <w:rPr>
          <w:rFonts w:eastAsia="Calibri"/>
          <w:lang w:val="fr-FR"/>
        </w:rPr>
        <w:t>Pour le N</w:t>
      </w:r>
      <w:r w:rsidRPr="00D45B40">
        <w:rPr>
          <w:rFonts w:eastAsia="Calibri"/>
          <w:vertAlign w:val="superscript"/>
          <w:lang w:val="fr-FR"/>
        </w:rPr>
        <w:t>o</w:t>
      </w:r>
      <w:r w:rsidR="00D45B40">
        <w:rPr>
          <w:rFonts w:eastAsia="Calibri"/>
          <w:lang w:val="fr-FR"/>
        </w:rPr>
        <w:t> </w:t>
      </w:r>
      <w:r w:rsidRPr="00F10460">
        <w:rPr>
          <w:rFonts w:eastAsia="Calibri"/>
          <w:lang w:val="fr-FR"/>
        </w:rPr>
        <w:t>ONU 1010, BUTADIÈNES STABILISÉS ou BUTADIÈNES ET HYDROCARBURES EN MÉLANGE STABILISÉ, RÉFRIGÉRÉS, qui, à 70 °C, ont une pression de vapeur ne dépassant pas 1,1 MPa (11 bar) et dont la masse volumique à 50 °C n</w:t>
      </w:r>
      <w:r>
        <w:rPr>
          <w:rFonts w:eastAsia="Calibri"/>
          <w:lang w:val="fr-FR"/>
        </w:rPr>
        <w:t>’</w:t>
      </w:r>
      <w:r w:rsidRPr="00F10460">
        <w:rPr>
          <w:rFonts w:eastAsia="Calibri"/>
          <w:lang w:val="fr-FR"/>
        </w:rPr>
        <w:t>est pas inférieure à 0,525 kg/l (contient au moins 0,1 % de butadiène-1-3) :</w:t>
      </w:r>
    </w:p>
    <w:p w14:paraId="5DE1AB43" w14:textId="77777777" w:rsidR="00C22589" w:rsidRPr="00F10460" w:rsidRDefault="00C22589" w:rsidP="00D45B40">
      <w:pPr>
        <w:pStyle w:val="SingleTxtG"/>
        <w:rPr>
          <w:rFonts w:eastAsia="Calibri"/>
          <w:lang w:val="fr-FR"/>
        </w:rPr>
      </w:pPr>
      <w:r w:rsidRPr="00F10460">
        <w:rPr>
          <w:rFonts w:eastAsia="Calibri"/>
          <w:lang w:val="fr-FR"/>
        </w:rPr>
        <w:t>Modifier la colonne (2) pour lire : « BUTADIÈNES STABILISÉS, ou BUTADIÈNES ET HYDROCARBURES EN MÉLANGE STABILISÉ, RÉFRIGÉRÉS, contenant plus de 40 % de butadiènes (contient au moins 0,1 % de butadiène-1-3). ».</w:t>
      </w:r>
    </w:p>
    <w:p w14:paraId="3574171C" w14:textId="77777777" w:rsidR="00C22589" w:rsidRPr="00F10460" w:rsidRDefault="00C22589" w:rsidP="00D45B40">
      <w:pPr>
        <w:pStyle w:val="SingleTxtG"/>
        <w:rPr>
          <w:rFonts w:eastAsia="Calibri"/>
          <w:i/>
          <w:lang w:val="fr-FR"/>
        </w:rPr>
      </w:pPr>
      <w:r w:rsidRPr="00F10460">
        <w:rPr>
          <w:rFonts w:eastAsia="Calibri"/>
          <w:i/>
          <w:iCs/>
          <w:lang w:val="fr-FR"/>
        </w:rPr>
        <w:t>(Document de référence : ECE/TRANS/WP.15/AC.2/2021/8)</w:t>
      </w:r>
    </w:p>
    <w:p w14:paraId="41A76AFB" w14:textId="77777777" w:rsidR="00C22589" w:rsidRPr="00F10460" w:rsidRDefault="00C22589" w:rsidP="00D45B40">
      <w:pPr>
        <w:pStyle w:val="H23G"/>
        <w:rPr>
          <w:i/>
          <w:iCs/>
          <w:lang w:val="fr-FR"/>
        </w:rPr>
      </w:pPr>
      <w:r w:rsidRPr="00F10460">
        <w:rPr>
          <w:lang w:val="fr-FR"/>
        </w:rPr>
        <w:lastRenderedPageBreak/>
        <w:tab/>
      </w:r>
      <w:r w:rsidRPr="00F10460">
        <w:rPr>
          <w:lang w:val="fr-FR"/>
        </w:rPr>
        <w:tab/>
        <w:t>Chapitre 7.4</w:t>
      </w:r>
    </w:p>
    <w:p w14:paraId="4EC008E8" w14:textId="77777777" w:rsidR="00C22589" w:rsidRPr="00F10460" w:rsidRDefault="00C22589" w:rsidP="00D45B40">
      <w:pPr>
        <w:pStyle w:val="SingleTxtG"/>
        <w:keepNext/>
        <w:ind w:left="2268" w:hanging="1134"/>
        <w:rPr>
          <w:lang w:val="fr-FR"/>
        </w:rPr>
      </w:pPr>
      <w:r w:rsidRPr="00F10460">
        <w:rPr>
          <w:lang w:val="fr-FR"/>
        </w:rPr>
        <w:t>7.1.4.4.4</w:t>
      </w:r>
      <w:r w:rsidRPr="00F10460">
        <w:rPr>
          <w:lang w:val="fr-FR"/>
        </w:rPr>
        <w:tab/>
        <w:t>Sous « Exemples d</w:t>
      </w:r>
      <w:r>
        <w:rPr>
          <w:lang w:val="fr-FR"/>
        </w:rPr>
        <w:t>’</w:t>
      </w:r>
      <w:r w:rsidRPr="00F10460">
        <w:rPr>
          <w:lang w:val="fr-FR"/>
        </w:rPr>
        <w:t>entreposage et de séparation des conteneurs », « R », modifier la légende comme suit :</w:t>
      </w:r>
    </w:p>
    <w:p w14:paraId="3822916F" w14:textId="77777777" w:rsidR="00C22589" w:rsidRPr="00F10460" w:rsidRDefault="00C22589" w:rsidP="00D45B40">
      <w:pPr>
        <w:pStyle w:val="SingleTxtG"/>
        <w:ind w:left="2268"/>
        <w:rPr>
          <w:lang w:val="fr-FR"/>
        </w:rPr>
      </w:pPr>
      <w:r w:rsidRPr="00F10460">
        <w:rPr>
          <w:lang w:val="fr-FR"/>
        </w:rPr>
        <w:t>« </w:t>
      </w:r>
      <w:r w:rsidRPr="00F10460">
        <w:rPr>
          <w:i/>
          <w:iCs/>
          <w:lang w:val="fr-FR"/>
        </w:rPr>
        <w:t>R</w:t>
      </w:r>
      <w:r w:rsidRPr="00F10460">
        <w:rPr>
          <w:lang w:val="fr-FR"/>
        </w:rPr>
        <w:tab/>
        <w:t>Conteneur (frigorifique par exemple) avec un équipement électrique qui ne satisfait pas aux prescriptions énoncées au 7.1.4.4.4 a). ».</w:t>
      </w:r>
    </w:p>
    <w:p w14:paraId="21323168" w14:textId="77777777" w:rsidR="00C22589" w:rsidRPr="00F10460" w:rsidRDefault="00C22589" w:rsidP="00D45B40">
      <w:pPr>
        <w:pStyle w:val="SingleTxtG"/>
        <w:rPr>
          <w:rFonts w:eastAsia="Calibri"/>
          <w:lang w:val="fr-FR"/>
        </w:rPr>
      </w:pPr>
      <w:r w:rsidRPr="00F10460">
        <w:rPr>
          <w:rFonts w:eastAsia="Calibri"/>
          <w:i/>
          <w:iCs/>
          <w:lang w:val="fr-FR"/>
        </w:rPr>
        <w:t>(Document de référence : ECE/TRANS/WP.15/AC.2/2021/5, tel que modifié)</w:t>
      </w:r>
    </w:p>
    <w:p w14:paraId="1D9E33B5" w14:textId="77777777" w:rsidR="00C22589" w:rsidRPr="00F10460" w:rsidRDefault="00C22589" w:rsidP="00D45B40">
      <w:pPr>
        <w:pStyle w:val="SingleTxtG"/>
        <w:keepNext/>
        <w:ind w:left="2268" w:hanging="1134"/>
        <w:rPr>
          <w:rFonts w:eastAsia="Calibri"/>
          <w:lang w:val="fr-FR"/>
        </w:rPr>
      </w:pPr>
      <w:r w:rsidRPr="00F10460">
        <w:rPr>
          <w:rFonts w:eastAsia="Calibri"/>
          <w:lang w:val="fr-FR"/>
        </w:rPr>
        <w:t>7.1.4.4.4</w:t>
      </w:r>
      <w:r w:rsidRPr="00F10460">
        <w:rPr>
          <w:rFonts w:eastAsia="Calibri"/>
          <w:lang w:val="fr-FR"/>
        </w:rPr>
        <w:tab/>
        <w:t>Sous « Exemples d</w:t>
      </w:r>
      <w:r>
        <w:rPr>
          <w:rFonts w:eastAsia="Calibri"/>
          <w:lang w:val="fr-FR"/>
        </w:rPr>
        <w:t>’</w:t>
      </w:r>
      <w:r w:rsidRPr="00F10460">
        <w:rPr>
          <w:rFonts w:eastAsia="Calibri"/>
          <w:lang w:val="fr-FR"/>
        </w:rPr>
        <w:t>entreposage et de séparation des conteneurs », « Z », modifier la légende comme suit :</w:t>
      </w:r>
    </w:p>
    <w:p w14:paraId="593260D2" w14:textId="77777777" w:rsidR="00C22589" w:rsidRPr="00F10460" w:rsidRDefault="00C22589" w:rsidP="00D45B40">
      <w:pPr>
        <w:pStyle w:val="SingleTxtG"/>
        <w:ind w:left="2268"/>
        <w:rPr>
          <w:rFonts w:eastAsia="Calibri"/>
          <w:lang w:val="fr-FR"/>
        </w:rPr>
      </w:pPr>
      <w:r w:rsidRPr="00F10460">
        <w:rPr>
          <w:rFonts w:eastAsia="Calibri"/>
          <w:lang w:val="fr-FR"/>
        </w:rPr>
        <w:t>« </w:t>
      </w:r>
      <w:r w:rsidRPr="00F10460">
        <w:rPr>
          <w:rFonts w:eastAsia="Calibri"/>
          <w:i/>
          <w:iCs/>
          <w:lang w:val="fr-FR"/>
        </w:rPr>
        <w:t>Z</w:t>
      </w:r>
      <w:r w:rsidRPr="00F10460">
        <w:rPr>
          <w:rFonts w:eastAsia="Calibri"/>
          <w:lang w:val="fr-FR"/>
        </w:rPr>
        <w:tab/>
        <w:t>Installations et équipements électriques qui ne satisfont pas aux prescriptions énoncées au 7.1.4.4.4 a). ».</w:t>
      </w:r>
    </w:p>
    <w:p w14:paraId="7CB94FB9" w14:textId="77777777" w:rsidR="00C22589" w:rsidRPr="00F10460" w:rsidRDefault="00C22589" w:rsidP="00D45B40">
      <w:pPr>
        <w:pStyle w:val="SingleTxtG"/>
        <w:rPr>
          <w:rFonts w:eastAsia="Calibri"/>
          <w:i/>
          <w:lang w:val="fr-FR"/>
        </w:rPr>
      </w:pPr>
      <w:r w:rsidRPr="00F10460">
        <w:rPr>
          <w:rFonts w:eastAsia="Calibri"/>
          <w:i/>
          <w:iCs/>
          <w:lang w:val="fr-FR"/>
        </w:rPr>
        <w:t>(Document de référence : ECE/TRANS/WP.15/AC.2/2021/5)</w:t>
      </w:r>
    </w:p>
    <w:p w14:paraId="6C345A93" w14:textId="77777777" w:rsidR="00C22589" w:rsidRPr="00F10460" w:rsidRDefault="00C22589" w:rsidP="00D45B40">
      <w:pPr>
        <w:pStyle w:val="H23G"/>
        <w:rPr>
          <w:i/>
          <w:iCs/>
          <w:lang w:val="fr-FR"/>
        </w:rPr>
      </w:pPr>
      <w:r w:rsidRPr="00F10460">
        <w:rPr>
          <w:lang w:val="fr-FR"/>
        </w:rPr>
        <w:tab/>
      </w:r>
      <w:r w:rsidRPr="00F10460">
        <w:rPr>
          <w:lang w:val="fr-FR"/>
        </w:rPr>
        <w:tab/>
      </w:r>
      <w:r w:rsidRPr="00F10460">
        <w:rPr>
          <w:lang w:val="fr-FR"/>
        </w:rPr>
        <w:tab/>
        <w:t>Chapitre 8.1</w:t>
      </w:r>
    </w:p>
    <w:p w14:paraId="2F83A8AC" w14:textId="77777777" w:rsidR="00C22589" w:rsidRPr="00F10460" w:rsidRDefault="00C22589" w:rsidP="00D45B40">
      <w:pPr>
        <w:pStyle w:val="SingleTxtG"/>
        <w:keepNext/>
        <w:ind w:left="2268" w:hanging="1134"/>
        <w:rPr>
          <w:rFonts w:eastAsia="Calibri"/>
          <w:lang w:val="fr-FR"/>
        </w:rPr>
      </w:pPr>
      <w:r w:rsidRPr="00F10460">
        <w:rPr>
          <w:rFonts w:eastAsia="Calibri"/>
          <w:lang w:val="fr-FR"/>
        </w:rPr>
        <w:t>8.1.2.9</w:t>
      </w:r>
      <w:r w:rsidRPr="00F10460">
        <w:rPr>
          <w:rFonts w:eastAsia="Calibri"/>
          <w:lang w:val="fr-FR"/>
        </w:rPr>
        <w:tab/>
      </w:r>
      <w:r w:rsidRPr="00F10460">
        <w:rPr>
          <w:rFonts w:eastAsia="Calibri"/>
          <w:lang w:val="fr-FR"/>
        </w:rPr>
        <w:tab/>
      </w:r>
      <w:bookmarkStart w:id="142" w:name="_Hlk63247669"/>
      <w:r w:rsidRPr="00F10460">
        <w:rPr>
          <w:rFonts w:eastAsia="Calibri"/>
          <w:lang w:val="fr-FR"/>
        </w:rPr>
        <w:t>Modifier le début pour lire comme suit :</w:t>
      </w:r>
      <w:bookmarkEnd w:id="142"/>
    </w:p>
    <w:p w14:paraId="68EA9E48" w14:textId="77777777" w:rsidR="00C22589" w:rsidRPr="00F10460" w:rsidRDefault="00C22589" w:rsidP="00D45B40">
      <w:pPr>
        <w:pStyle w:val="SingleTxtG"/>
        <w:ind w:left="2268" w:hanging="1134"/>
        <w:rPr>
          <w:rFonts w:eastAsia="Calibri"/>
          <w:lang w:val="fr-FR"/>
        </w:rPr>
      </w:pPr>
      <w:r w:rsidRPr="00F10460">
        <w:rPr>
          <w:rFonts w:eastAsia="Calibri"/>
          <w:lang w:val="fr-FR"/>
        </w:rPr>
        <w:t>« 8.1.2.9</w:t>
      </w:r>
      <w:r w:rsidRPr="00F10460">
        <w:rPr>
          <w:rFonts w:eastAsia="Calibri"/>
          <w:lang w:val="fr-FR"/>
        </w:rPr>
        <w:tab/>
        <w:t>Les prescriptions du 8.1.2.1 b), du 8.1.2.1 g) et du 8.1.2.4 ne sont pas applicables aux bateaux déshuileurs... ». Le reste demeure inchangé.</w:t>
      </w:r>
    </w:p>
    <w:p w14:paraId="0BC71B28" w14:textId="77777777" w:rsidR="00C22589" w:rsidRPr="00F10460" w:rsidRDefault="00C22589" w:rsidP="00D45B40">
      <w:pPr>
        <w:pStyle w:val="SingleTxtG"/>
        <w:rPr>
          <w:rFonts w:eastAsia="Calibri"/>
          <w:lang w:val="fr-FR"/>
        </w:rPr>
      </w:pPr>
      <w:r w:rsidRPr="00F10460">
        <w:rPr>
          <w:rFonts w:eastAsia="Calibri"/>
          <w:i/>
          <w:iCs/>
          <w:lang w:val="fr-FR"/>
        </w:rPr>
        <w:t>(Document de référence : ECE/TRANS/WP.15/AC.2/2021/9)</w:t>
      </w:r>
    </w:p>
    <w:p w14:paraId="70698FB1" w14:textId="77777777" w:rsidR="00C22589" w:rsidRPr="00F10460" w:rsidRDefault="00C22589" w:rsidP="00D45B40">
      <w:pPr>
        <w:pStyle w:val="H23G"/>
        <w:rPr>
          <w:i/>
          <w:iCs/>
          <w:lang w:val="fr-FR"/>
        </w:rPr>
      </w:pPr>
      <w:r w:rsidRPr="00F10460">
        <w:rPr>
          <w:lang w:val="fr-FR"/>
        </w:rPr>
        <w:tab/>
      </w:r>
      <w:r w:rsidRPr="00F10460">
        <w:rPr>
          <w:lang w:val="fr-FR"/>
        </w:rPr>
        <w:tab/>
      </w:r>
      <w:r w:rsidRPr="00F10460">
        <w:rPr>
          <w:lang w:val="fr-FR"/>
        </w:rPr>
        <w:tab/>
        <w:t>Chapitre 9.3</w:t>
      </w:r>
    </w:p>
    <w:p w14:paraId="1CBA620E" w14:textId="77777777" w:rsidR="00C22589" w:rsidRPr="00F10460" w:rsidRDefault="00C22589" w:rsidP="00D45B40">
      <w:pPr>
        <w:pStyle w:val="SingleTxtG"/>
        <w:keepNext/>
        <w:ind w:left="2268" w:hanging="1134"/>
        <w:rPr>
          <w:rFonts w:eastAsia="Calibri"/>
          <w:lang w:val="fr-FR"/>
        </w:rPr>
      </w:pPr>
      <w:bookmarkStart w:id="143" w:name="_Hlk5615972"/>
      <w:r w:rsidRPr="00F10460">
        <w:rPr>
          <w:rFonts w:eastAsia="Calibri"/>
          <w:lang w:val="fr-FR"/>
        </w:rPr>
        <w:t>9.3.3.12.8</w:t>
      </w:r>
      <w:r w:rsidRPr="00F10460">
        <w:rPr>
          <w:rFonts w:eastAsia="Calibri"/>
          <w:lang w:val="fr-FR"/>
        </w:rPr>
        <w:tab/>
        <w:t>Modifier pour lire comme suit :</w:t>
      </w:r>
    </w:p>
    <w:p w14:paraId="3550642A" w14:textId="77777777" w:rsidR="00C22589" w:rsidRPr="00F10460" w:rsidRDefault="00C22589" w:rsidP="00D45B40">
      <w:pPr>
        <w:pStyle w:val="SingleTxtG"/>
        <w:ind w:left="2268" w:hanging="1134"/>
        <w:rPr>
          <w:rFonts w:eastAsia="Calibri"/>
          <w:lang w:val="fr-FR"/>
        </w:rPr>
      </w:pPr>
      <w:r w:rsidRPr="00F10460">
        <w:rPr>
          <w:rFonts w:eastAsia="Calibri"/>
          <w:lang w:val="fr-FR"/>
        </w:rPr>
        <w:t>« 9.3.3.12.8</w:t>
      </w:r>
      <w:r w:rsidRPr="00F10460">
        <w:rPr>
          <w:rFonts w:eastAsia="Calibri"/>
          <w:lang w:val="fr-FR"/>
        </w:rPr>
        <w:tab/>
        <w:t>Le 9.3.3.12.6 ne s</w:t>
      </w:r>
      <w:r>
        <w:rPr>
          <w:rFonts w:eastAsia="Calibri"/>
          <w:lang w:val="fr-FR"/>
        </w:rPr>
        <w:t>’</w:t>
      </w:r>
      <w:r w:rsidRPr="00F10460">
        <w:rPr>
          <w:rFonts w:eastAsia="Calibri"/>
          <w:lang w:val="fr-FR"/>
        </w:rPr>
        <w:t>applique pas au type N ouvert. ».</w:t>
      </w:r>
    </w:p>
    <w:p w14:paraId="681F781F" w14:textId="77777777" w:rsidR="00C22589" w:rsidRPr="00F10460" w:rsidRDefault="00C22589" w:rsidP="00D45B40">
      <w:pPr>
        <w:pStyle w:val="SingleTxtG"/>
        <w:rPr>
          <w:rFonts w:eastAsia="MS Mincho"/>
          <w:lang w:val="fr-FR"/>
        </w:rPr>
      </w:pPr>
      <w:r w:rsidRPr="00F10460">
        <w:rPr>
          <w:rFonts w:eastAsia="Calibri"/>
          <w:i/>
          <w:iCs/>
          <w:lang w:val="fr-FR"/>
        </w:rPr>
        <w:t>(Document de référence : ECE/TRANS/WP.15/AC.2/2020/28)</w:t>
      </w:r>
    </w:p>
    <w:bookmarkEnd w:id="143"/>
    <w:p w14:paraId="1A502770" w14:textId="77777777" w:rsidR="00C22589" w:rsidRPr="00F10460" w:rsidRDefault="00C22589" w:rsidP="00D45B40">
      <w:pPr>
        <w:pStyle w:val="SingleTxtG"/>
        <w:rPr>
          <w:rFonts w:eastAsia="Calibri"/>
          <w:lang w:val="fr-FR"/>
        </w:rPr>
      </w:pPr>
      <w:r w:rsidRPr="00F10460">
        <w:rPr>
          <w:rFonts w:eastAsia="Calibri"/>
          <w:lang w:val="fr-FR"/>
        </w:rPr>
        <w:t>9.3.x.40.1</w:t>
      </w:r>
      <w:r w:rsidRPr="00F10460">
        <w:rPr>
          <w:rFonts w:eastAsia="Calibri"/>
          <w:lang w:val="fr-FR"/>
        </w:rPr>
        <w:tab/>
        <w:t>Modification sans objet en français.</w:t>
      </w:r>
    </w:p>
    <w:p w14:paraId="1005B5ED" w14:textId="77777777" w:rsidR="00C22589" w:rsidRPr="00F10460" w:rsidRDefault="00C22589" w:rsidP="00D45B40">
      <w:pPr>
        <w:pStyle w:val="SingleTxtG"/>
        <w:keepNext/>
        <w:rPr>
          <w:rFonts w:eastAsia="Calibri"/>
          <w:lang w:val="fr-FR"/>
        </w:rPr>
      </w:pPr>
      <w:r w:rsidRPr="00F10460">
        <w:rPr>
          <w:rFonts w:eastAsia="Calibri"/>
          <w:lang w:val="fr-FR"/>
        </w:rPr>
        <w:t>9.3.3.40.1</w:t>
      </w:r>
      <w:r w:rsidRPr="00F10460">
        <w:rPr>
          <w:rFonts w:eastAsia="Calibri"/>
          <w:lang w:val="fr-FR"/>
        </w:rPr>
        <w:tab/>
        <w:t>À la fin du premier tiret, ajouter ce qui suit :</w:t>
      </w:r>
    </w:p>
    <w:p w14:paraId="46210E74" w14:textId="77777777" w:rsidR="00C22589" w:rsidRPr="00F10460" w:rsidRDefault="00C22589" w:rsidP="00D45B40">
      <w:pPr>
        <w:pStyle w:val="SingleTxtG"/>
        <w:ind w:left="2268"/>
        <w:rPr>
          <w:rFonts w:eastAsia="Calibri"/>
          <w:lang w:val="fr-FR"/>
        </w:rPr>
      </w:pPr>
      <w:r w:rsidRPr="00F10460">
        <w:rPr>
          <w:rFonts w:eastAsia="Calibri"/>
          <w:lang w:val="fr-FR"/>
        </w:rPr>
        <w:t>« Lorsqu</w:t>
      </w:r>
      <w:r>
        <w:rPr>
          <w:rFonts w:eastAsia="Calibri"/>
          <w:lang w:val="fr-FR"/>
        </w:rPr>
        <w:t>’</w:t>
      </w:r>
      <w:r w:rsidRPr="00F10460">
        <w:rPr>
          <w:rFonts w:eastAsia="Calibri"/>
          <w:lang w:val="fr-FR"/>
        </w:rPr>
        <w:t>une barge de poussage sans équipage ne dispose que d</w:t>
      </w:r>
      <w:r>
        <w:rPr>
          <w:rFonts w:eastAsia="Calibri"/>
          <w:lang w:val="fr-FR"/>
        </w:rPr>
        <w:t>’</w:t>
      </w:r>
      <w:r w:rsidRPr="00F10460">
        <w:rPr>
          <w:rFonts w:eastAsia="Calibri"/>
          <w:lang w:val="fr-FR"/>
        </w:rPr>
        <w:t>une seule source d</w:t>
      </w:r>
      <w:r>
        <w:rPr>
          <w:rFonts w:eastAsia="Calibri"/>
          <w:lang w:val="fr-FR"/>
        </w:rPr>
        <w:t>’</w:t>
      </w:r>
      <w:r w:rsidRPr="00F10460">
        <w:rPr>
          <w:rFonts w:eastAsia="Calibri"/>
          <w:lang w:val="fr-FR"/>
        </w:rPr>
        <w:t>énergie et que la deuxième source d</w:t>
      </w:r>
      <w:r>
        <w:rPr>
          <w:rFonts w:eastAsia="Calibri"/>
          <w:lang w:val="fr-FR"/>
        </w:rPr>
        <w:t>’</w:t>
      </w:r>
      <w:r w:rsidRPr="00F10460">
        <w:rPr>
          <w:rFonts w:eastAsia="Calibri"/>
          <w:lang w:val="fr-FR"/>
        </w:rPr>
        <w:t>énergie doit être fournie par un autre bateau avec équipage, il doit être indiqué dans le certificat d</w:t>
      </w:r>
      <w:r>
        <w:rPr>
          <w:rFonts w:eastAsia="Calibri"/>
          <w:lang w:val="fr-FR"/>
        </w:rPr>
        <w:t>’</w:t>
      </w:r>
      <w:r w:rsidRPr="00F10460">
        <w:rPr>
          <w:rFonts w:eastAsia="Calibri"/>
          <w:lang w:val="fr-FR"/>
        </w:rPr>
        <w:t xml:space="preserve">agrément, sous la rubrique 13, Observations supplémentaires, que : </w:t>
      </w:r>
      <w:r w:rsidRPr="00F10460">
        <w:rPr>
          <w:rFonts w:eastAsia="Calibri"/>
        </w:rPr>
        <w:t>“</w:t>
      </w:r>
      <w:r w:rsidRPr="00F10460">
        <w:rPr>
          <w:rFonts w:eastAsia="Calibri"/>
          <w:lang w:val="fr-FR"/>
        </w:rPr>
        <w:t>Lors du transport de marchandises dangereuses, l</w:t>
      </w:r>
      <w:r>
        <w:rPr>
          <w:rFonts w:eastAsia="Calibri"/>
          <w:lang w:val="fr-FR"/>
        </w:rPr>
        <w:t>’</w:t>
      </w:r>
      <w:r w:rsidRPr="00F10460">
        <w:rPr>
          <w:rFonts w:eastAsia="Calibri"/>
          <w:lang w:val="fr-FR"/>
        </w:rPr>
        <w:t>installation d</w:t>
      </w:r>
      <w:r>
        <w:rPr>
          <w:rFonts w:eastAsia="Calibri"/>
          <w:lang w:val="fr-FR"/>
        </w:rPr>
        <w:t>’</w:t>
      </w:r>
      <w:r w:rsidRPr="00F10460">
        <w:rPr>
          <w:rFonts w:eastAsia="Calibri"/>
          <w:lang w:val="fr-FR"/>
        </w:rPr>
        <w:t>extinction d</w:t>
      </w:r>
      <w:r>
        <w:rPr>
          <w:rFonts w:eastAsia="Calibri"/>
          <w:lang w:val="fr-FR"/>
        </w:rPr>
        <w:t>’</w:t>
      </w:r>
      <w:r w:rsidRPr="00F10460">
        <w:rPr>
          <w:rFonts w:eastAsia="Calibri"/>
          <w:lang w:val="fr-FR"/>
        </w:rPr>
        <w:t>incendie doit être alimentée en énergie en permanence par un autre bateau parallèlement à sa propre source d</w:t>
      </w:r>
      <w:r>
        <w:rPr>
          <w:rFonts w:eastAsia="Calibri"/>
          <w:lang w:val="fr-FR"/>
        </w:rPr>
        <w:t>’</w:t>
      </w:r>
      <w:r w:rsidRPr="00F10460">
        <w:rPr>
          <w:rFonts w:eastAsia="Calibri"/>
          <w:lang w:val="fr-FR"/>
        </w:rPr>
        <w:t>énergie</w:t>
      </w:r>
      <w:r w:rsidRPr="00F10460">
        <w:rPr>
          <w:rFonts w:eastAsia="Calibri"/>
        </w:rPr>
        <w:t>”</w:t>
      </w:r>
      <w:r w:rsidRPr="00F10460">
        <w:rPr>
          <w:rFonts w:eastAsia="Calibri"/>
          <w:lang w:val="fr-FR"/>
        </w:rPr>
        <w:t>. ».</w:t>
      </w:r>
    </w:p>
    <w:p w14:paraId="7D344B4F" w14:textId="77777777" w:rsidR="00D45B40" w:rsidRDefault="00C22589" w:rsidP="00D45B40">
      <w:pPr>
        <w:pStyle w:val="SingleTxtG"/>
        <w:rPr>
          <w:rFonts w:eastAsia="Calibri"/>
          <w:i/>
          <w:iCs/>
          <w:lang w:val="fr-FR"/>
        </w:rPr>
      </w:pPr>
      <w:r w:rsidRPr="00F10460">
        <w:rPr>
          <w:rFonts w:eastAsia="Calibri"/>
          <w:i/>
          <w:iCs/>
          <w:lang w:val="fr-FR"/>
        </w:rPr>
        <w:t>(Document de référence : ECE/TRANS/WP.15/AC.2/2020/24, tel que modifié)</w:t>
      </w:r>
    </w:p>
    <w:p w14:paraId="5A3A075D" w14:textId="77777777" w:rsidR="00D45B40" w:rsidRDefault="00D45B40">
      <w:pPr>
        <w:suppressAutoHyphens w:val="0"/>
        <w:kinsoku/>
        <w:overflowPunct/>
        <w:autoSpaceDE/>
        <w:autoSpaceDN/>
        <w:adjustRightInd/>
        <w:snapToGrid/>
        <w:spacing w:after="200" w:line="276" w:lineRule="auto"/>
        <w:rPr>
          <w:rFonts w:eastAsia="Calibri"/>
          <w:i/>
          <w:iCs/>
          <w:lang w:val="fr-FR"/>
        </w:rPr>
      </w:pPr>
      <w:r>
        <w:rPr>
          <w:rFonts w:eastAsia="Calibri"/>
          <w:i/>
          <w:iCs/>
          <w:lang w:val="fr-FR"/>
        </w:rPr>
        <w:br w:type="page"/>
      </w:r>
    </w:p>
    <w:p w14:paraId="7F3969C0" w14:textId="77777777" w:rsidR="00D45B40" w:rsidRDefault="00C22589" w:rsidP="00D45B40">
      <w:pPr>
        <w:pStyle w:val="HChG"/>
        <w:rPr>
          <w:lang w:val="fr-FR"/>
        </w:rPr>
      </w:pPr>
      <w:r w:rsidRPr="00F10460">
        <w:rPr>
          <w:lang w:val="fr-FR"/>
        </w:rPr>
        <w:lastRenderedPageBreak/>
        <w:t>Annexe II</w:t>
      </w:r>
    </w:p>
    <w:p w14:paraId="589AEB53" w14:textId="77777777" w:rsidR="00C22589" w:rsidRPr="00D77BF1" w:rsidRDefault="00C22589" w:rsidP="00D45B40">
      <w:pPr>
        <w:pStyle w:val="SingleTxtG"/>
        <w:jc w:val="right"/>
        <w:rPr>
          <w:b/>
          <w:sz w:val="28"/>
          <w:lang w:val="fr-FR"/>
        </w:rPr>
      </w:pPr>
      <w:r w:rsidRPr="00D77BF1">
        <w:t>[Original : anglais et français]</w:t>
      </w:r>
    </w:p>
    <w:p w14:paraId="4A42C3AA" w14:textId="77777777" w:rsidR="00C22589" w:rsidRPr="00F10460" w:rsidRDefault="00C22589" w:rsidP="00D45B40">
      <w:pPr>
        <w:pStyle w:val="HChG"/>
        <w:rPr>
          <w:lang w:val="fr-FR"/>
        </w:rPr>
      </w:pPr>
      <w:r w:rsidRPr="00F10460">
        <w:rPr>
          <w:lang w:val="fr-FR"/>
        </w:rPr>
        <w:tab/>
      </w:r>
      <w:r w:rsidRPr="00F10460">
        <w:rPr>
          <w:lang w:val="fr-FR"/>
        </w:rPr>
        <w:tab/>
        <w:t>Propositions de corrections au Règlement annexé à l</w:t>
      </w:r>
      <w:r>
        <w:rPr>
          <w:lang w:val="fr-FR"/>
        </w:rPr>
        <w:t>’</w:t>
      </w:r>
      <w:r w:rsidRPr="00F10460">
        <w:rPr>
          <w:lang w:val="fr-FR"/>
        </w:rPr>
        <w:t>ADN (nécessitant l</w:t>
      </w:r>
      <w:r>
        <w:rPr>
          <w:lang w:val="fr-FR"/>
        </w:rPr>
        <w:t>’</w:t>
      </w:r>
      <w:r w:rsidRPr="00F10460">
        <w:rPr>
          <w:lang w:val="fr-FR"/>
        </w:rPr>
        <w:t>acceptation par les Parties contractantes)</w:t>
      </w:r>
    </w:p>
    <w:p w14:paraId="7E593BE7" w14:textId="77777777" w:rsidR="00C22589" w:rsidRPr="00F10460" w:rsidRDefault="00C22589" w:rsidP="00D45B40">
      <w:pPr>
        <w:pStyle w:val="H23G"/>
        <w:rPr>
          <w:lang w:val="fr-FR"/>
        </w:rPr>
      </w:pPr>
      <w:r w:rsidRPr="00F10460">
        <w:rPr>
          <w:lang w:val="fr-FR"/>
        </w:rPr>
        <w:tab/>
        <w:t>1.</w:t>
      </w:r>
      <w:r w:rsidRPr="00F10460">
        <w:rPr>
          <w:lang w:val="fr-FR"/>
        </w:rPr>
        <w:tab/>
        <w:t>Chapitre 3.2, point 3.2.3.3, schéma B, colonnes 2, 3, 4, 5 et 6</w:t>
      </w:r>
    </w:p>
    <w:p w14:paraId="405C0361" w14:textId="77777777" w:rsidR="00C22589" w:rsidRPr="00F10460" w:rsidRDefault="00C22589" w:rsidP="00D45B40">
      <w:pPr>
        <w:pStyle w:val="SingleTxtG"/>
        <w:rPr>
          <w:b/>
          <w:bCs/>
          <w:lang w:val="fr-FR"/>
        </w:rPr>
      </w:pPr>
      <w:r w:rsidRPr="00F10460">
        <w:rPr>
          <w:i/>
          <w:iCs/>
          <w:lang w:val="fr-FR"/>
        </w:rPr>
        <w:t>Remplacer</w:t>
      </w:r>
      <w:r w:rsidRPr="00F10460">
        <w:rPr>
          <w:lang w:val="fr-FR"/>
        </w:rPr>
        <w:t xml:space="preserve"> P</w:t>
      </w:r>
      <w:r w:rsidRPr="00F10460">
        <w:rPr>
          <w:vertAlign w:val="subscript"/>
          <w:lang w:val="fr-FR"/>
        </w:rPr>
        <w:t>d 50</w:t>
      </w:r>
      <w:r w:rsidRPr="00F10460">
        <w:rPr>
          <w:lang w:val="fr-FR"/>
        </w:rPr>
        <w:t xml:space="preserve"> </w:t>
      </w:r>
      <w:r w:rsidRPr="00F10460">
        <w:rPr>
          <w:i/>
          <w:iCs/>
          <w:lang w:val="fr-FR"/>
        </w:rPr>
        <w:t>par</w:t>
      </w:r>
      <w:r w:rsidRPr="00F10460">
        <w:rPr>
          <w:lang w:val="fr-FR"/>
        </w:rPr>
        <w:t xml:space="preserve"> P</w:t>
      </w:r>
      <w:r w:rsidRPr="00F10460">
        <w:rPr>
          <w:vertAlign w:val="subscript"/>
          <w:lang w:val="fr-FR"/>
        </w:rPr>
        <w:t>v50</w:t>
      </w:r>
    </w:p>
    <w:p w14:paraId="24FA80D3" w14:textId="77777777" w:rsidR="00C22589" w:rsidRPr="00F10460" w:rsidRDefault="00C22589" w:rsidP="00D45B40">
      <w:pPr>
        <w:pStyle w:val="SingleTxtG"/>
        <w:rPr>
          <w:rFonts w:eastAsia="Calibri"/>
          <w:i/>
          <w:lang w:val="fr-FR"/>
        </w:rPr>
      </w:pPr>
      <w:r w:rsidRPr="00F10460">
        <w:rPr>
          <w:rFonts w:eastAsia="Calibri"/>
          <w:i/>
          <w:iCs/>
          <w:lang w:val="fr-FR"/>
        </w:rPr>
        <w:t>(Document de référence : document informel INF.8)</w:t>
      </w:r>
    </w:p>
    <w:p w14:paraId="392CD74D" w14:textId="77777777" w:rsidR="00C22589" w:rsidRPr="00F10460" w:rsidRDefault="00C22589" w:rsidP="00D45B40">
      <w:pPr>
        <w:pStyle w:val="H23G"/>
        <w:rPr>
          <w:lang w:val="fr-FR"/>
        </w:rPr>
      </w:pPr>
      <w:r w:rsidRPr="00F10460">
        <w:rPr>
          <w:lang w:val="fr-FR"/>
        </w:rPr>
        <w:tab/>
        <w:t>2.</w:t>
      </w:r>
      <w:r w:rsidRPr="00F10460">
        <w:rPr>
          <w:lang w:val="fr-FR"/>
        </w:rPr>
        <w:tab/>
        <w:t>Chapitre 7.2, point 7.2.3.29.1, premier tiret</w:t>
      </w:r>
    </w:p>
    <w:p w14:paraId="084C64BE" w14:textId="77777777" w:rsidR="00C22589" w:rsidRPr="00F10460" w:rsidRDefault="00C22589" w:rsidP="00D45B40">
      <w:pPr>
        <w:pStyle w:val="SingleTxtG"/>
        <w:rPr>
          <w:rFonts w:eastAsia="Calibri"/>
          <w:lang w:val="fr-FR"/>
        </w:rPr>
      </w:pPr>
      <w:r w:rsidRPr="00F10460">
        <w:rPr>
          <w:rFonts w:eastAsia="Calibri"/>
          <w:i/>
          <w:iCs/>
          <w:lang w:val="fr-FR"/>
        </w:rPr>
        <w:t>Remplacer</w:t>
      </w:r>
      <w:r w:rsidRPr="00F10460">
        <w:rPr>
          <w:rFonts w:eastAsia="Calibri"/>
          <w:lang w:val="fr-FR"/>
        </w:rPr>
        <w:t xml:space="preserve"> moteurs hors-bord </w:t>
      </w:r>
      <w:r w:rsidRPr="00F10460">
        <w:rPr>
          <w:rFonts w:eastAsia="Calibri"/>
          <w:i/>
          <w:iCs/>
          <w:lang w:val="fr-FR"/>
        </w:rPr>
        <w:t xml:space="preserve">par </w:t>
      </w:r>
      <w:r w:rsidRPr="00F10460">
        <w:rPr>
          <w:rFonts w:eastAsia="Calibri"/>
          <w:lang w:val="fr-FR"/>
        </w:rPr>
        <w:t>moteurs hors-bord à essence.</w:t>
      </w:r>
    </w:p>
    <w:p w14:paraId="75C1703D" w14:textId="77777777" w:rsidR="00D45B40" w:rsidRDefault="00C22589" w:rsidP="00D45B40">
      <w:pPr>
        <w:pStyle w:val="SingleTxtG"/>
        <w:rPr>
          <w:rFonts w:eastAsia="Calibri"/>
          <w:i/>
          <w:iCs/>
          <w:lang w:val="fr-FR"/>
        </w:rPr>
      </w:pPr>
      <w:r w:rsidRPr="00F10460">
        <w:rPr>
          <w:rFonts w:eastAsia="Calibri"/>
          <w:i/>
          <w:iCs/>
          <w:lang w:val="fr-FR"/>
        </w:rPr>
        <w:t>(Document de référence : document informel INF.8)</w:t>
      </w:r>
    </w:p>
    <w:p w14:paraId="18FBBC3D" w14:textId="77777777" w:rsidR="00D45B40" w:rsidRDefault="00D45B40">
      <w:pPr>
        <w:suppressAutoHyphens w:val="0"/>
        <w:kinsoku/>
        <w:overflowPunct/>
        <w:autoSpaceDE/>
        <w:autoSpaceDN/>
        <w:adjustRightInd/>
        <w:snapToGrid/>
        <w:spacing w:after="200" w:line="276" w:lineRule="auto"/>
        <w:rPr>
          <w:rFonts w:eastAsia="Calibri"/>
          <w:i/>
          <w:iCs/>
          <w:lang w:val="fr-FR"/>
        </w:rPr>
      </w:pPr>
      <w:r>
        <w:rPr>
          <w:rFonts w:eastAsia="Calibri"/>
          <w:i/>
          <w:iCs/>
          <w:lang w:val="fr-FR"/>
        </w:rPr>
        <w:br w:type="page"/>
      </w:r>
    </w:p>
    <w:p w14:paraId="0C712F2E" w14:textId="77777777" w:rsidR="00D45B40" w:rsidRDefault="00C22589" w:rsidP="00D45B40">
      <w:pPr>
        <w:pStyle w:val="HChG"/>
        <w:rPr>
          <w:lang w:val="fr-FR"/>
        </w:rPr>
      </w:pPr>
      <w:r w:rsidRPr="00F10460">
        <w:rPr>
          <w:lang w:val="fr-FR"/>
        </w:rPr>
        <w:lastRenderedPageBreak/>
        <w:t>Annexe III</w:t>
      </w:r>
      <w:bookmarkStart w:id="144" w:name="_GoBack"/>
      <w:bookmarkEnd w:id="144"/>
    </w:p>
    <w:p w14:paraId="6D2BA1F8" w14:textId="77777777" w:rsidR="00C22589" w:rsidRPr="00F10460" w:rsidRDefault="00C22589" w:rsidP="00D45B40">
      <w:pPr>
        <w:pStyle w:val="SingleTxtG"/>
        <w:jc w:val="right"/>
        <w:rPr>
          <w:b/>
          <w:sz w:val="28"/>
          <w:lang w:val="fr-FR"/>
        </w:rPr>
      </w:pPr>
      <w:r w:rsidRPr="00F10460">
        <w:t>[Original : anglais et français]</w:t>
      </w:r>
    </w:p>
    <w:p w14:paraId="3DF19204" w14:textId="77777777" w:rsidR="00C22589" w:rsidRPr="00F10460" w:rsidRDefault="00C22589" w:rsidP="00D45B40">
      <w:pPr>
        <w:pStyle w:val="HChG"/>
        <w:rPr>
          <w:lang w:val="fr-FR"/>
        </w:rPr>
      </w:pPr>
      <w:r w:rsidRPr="00F10460">
        <w:rPr>
          <w:lang w:val="fr-FR"/>
        </w:rPr>
        <w:tab/>
      </w:r>
      <w:r w:rsidRPr="00F10460">
        <w:rPr>
          <w:lang w:val="fr-FR"/>
        </w:rPr>
        <w:tab/>
        <w:t>Corrections à apporter au document ECE/TRANS/301 (publication de l</w:t>
      </w:r>
      <w:r>
        <w:rPr>
          <w:lang w:val="fr-FR"/>
        </w:rPr>
        <w:t>’</w:t>
      </w:r>
      <w:r w:rsidRPr="00F10460">
        <w:rPr>
          <w:lang w:val="fr-FR"/>
        </w:rPr>
        <w:t>ADN 2021) (corrections ne nécessitant aucune acceptation par les Parties contractantes)</w:t>
      </w:r>
    </w:p>
    <w:p w14:paraId="777B8515" w14:textId="77777777" w:rsidR="00C22589" w:rsidRPr="00F10460" w:rsidRDefault="00C22589" w:rsidP="00D45B40">
      <w:pPr>
        <w:pStyle w:val="H23G"/>
        <w:rPr>
          <w:lang w:val="fr-FR"/>
        </w:rPr>
      </w:pPr>
      <w:r w:rsidRPr="00F10460">
        <w:rPr>
          <w:lang w:val="fr-FR"/>
        </w:rPr>
        <w:tab/>
      </w:r>
      <w:r w:rsidRPr="00F10460">
        <w:rPr>
          <w:lang w:val="fr-FR"/>
        </w:rPr>
        <w:tab/>
        <w:t>Chapitre 8.2, point 8.2.2.4, titre</w:t>
      </w:r>
    </w:p>
    <w:p w14:paraId="58AD6A78" w14:textId="77777777" w:rsidR="00C22589" w:rsidRPr="00F10460" w:rsidRDefault="00C22589" w:rsidP="00D45B40">
      <w:pPr>
        <w:pStyle w:val="SingleTxtG"/>
        <w:rPr>
          <w:lang w:val="fr-FR"/>
        </w:rPr>
      </w:pPr>
      <w:r w:rsidRPr="00F10460">
        <w:rPr>
          <w:lang w:val="fr-FR"/>
        </w:rPr>
        <w:t>Modification sans objet en français.</w:t>
      </w:r>
    </w:p>
    <w:p w14:paraId="0FDA508B" w14:textId="77777777" w:rsidR="00C22589" w:rsidRDefault="00C22589" w:rsidP="00D45B40">
      <w:pPr>
        <w:pStyle w:val="SingleTxtG"/>
        <w:rPr>
          <w:rFonts w:eastAsia="Calibri"/>
          <w:i/>
          <w:iCs/>
          <w:lang w:val="fr-FR"/>
        </w:rPr>
      </w:pPr>
      <w:r w:rsidRPr="00F10460">
        <w:rPr>
          <w:rFonts w:eastAsia="Calibri"/>
          <w:i/>
          <w:iCs/>
          <w:lang w:val="fr-FR"/>
        </w:rPr>
        <w:t>(Document de référence : document informel INF.8)</w:t>
      </w:r>
    </w:p>
    <w:p w14:paraId="45509AE5" w14:textId="77777777" w:rsidR="00D45B40" w:rsidRPr="00D45B40" w:rsidRDefault="00D45B40" w:rsidP="00D45B40">
      <w:pPr>
        <w:pStyle w:val="SingleTxtG"/>
        <w:spacing w:before="240" w:after="0"/>
        <w:jc w:val="center"/>
        <w:rPr>
          <w:u w:val="single"/>
          <w:lang w:val="fr-FR"/>
        </w:rPr>
      </w:pPr>
      <w:r>
        <w:rPr>
          <w:u w:val="single"/>
          <w:lang w:val="fr-FR"/>
        </w:rPr>
        <w:tab/>
      </w:r>
      <w:r>
        <w:rPr>
          <w:u w:val="single"/>
          <w:lang w:val="fr-FR"/>
        </w:rPr>
        <w:tab/>
      </w:r>
      <w:r>
        <w:rPr>
          <w:u w:val="single"/>
          <w:lang w:val="fr-FR"/>
        </w:rPr>
        <w:tab/>
      </w:r>
      <w:r>
        <w:rPr>
          <w:u w:val="single"/>
          <w:lang w:val="fr-FR"/>
        </w:rPr>
        <w:tab/>
      </w:r>
    </w:p>
    <w:sectPr w:rsidR="00D45B40" w:rsidRPr="00D45B40" w:rsidSect="00C22589">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EE3C5" w14:textId="77777777" w:rsidR="00275CCD" w:rsidRDefault="00275CCD" w:rsidP="00F95C08">
      <w:pPr>
        <w:spacing w:line="240" w:lineRule="auto"/>
      </w:pPr>
    </w:p>
  </w:endnote>
  <w:endnote w:type="continuationSeparator" w:id="0">
    <w:p w14:paraId="36AC14D8" w14:textId="77777777" w:rsidR="00275CCD" w:rsidRPr="00AC3823" w:rsidRDefault="00275CCD" w:rsidP="00AC3823">
      <w:pPr>
        <w:pStyle w:val="Pieddepage"/>
      </w:pPr>
    </w:p>
  </w:endnote>
  <w:endnote w:type="continuationNotice" w:id="1">
    <w:p w14:paraId="13684360" w14:textId="77777777" w:rsidR="00275CCD" w:rsidRDefault="00275C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6AC16" w14:textId="77777777" w:rsidR="00275CCD" w:rsidRPr="00C22589" w:rsidRDefault="00275CCD" w:rsidP="00C22589">
    <w:pPr>
      <w:pStyle w:val="Pieddepage"/>
      <w:tabs>
        <w:tab w:val="right" w:pos="9638"/>
      </w:tabs>
    </w:pPr>
    <w:r w:rsidRPr="00C22589">
      <w:rPr>
        <w:b/>
        <w:sz w:val="18"/>
      </w:rPr>
      <w:fldChar w:fldCharType="begin"/>
    </w:r>
    <w:r w:rsidRPr="00C22589">
      <w:rPr>
        <w:b/>
        <w:sz w:val="18"/>
      </w:rPr>
      <w:instrText xml:space="preserve"> PAGE  \* MERGEFORMAT </w:instrText>
    </w:r>
    <w:r w:rsidRPr="00C22589">
      <w:rPr>
        <w:b/>
        <w:sz w:val="18"/>
      </w:rPr>
      <w:fldChar w:fldCharType="separate"/>
    </w:r>
    <w:r w:rsidRPr="00C22589">
      <w:rPr>
        <w:b/>
        <w:noProof/>
        <w:sz w:val="18"/>
      </w:rPr>
      <w:t>2</w:t>
    </w:r>
    <w:r w:rsidRPr="00C22589">
      <w:rPr>
        <w:b/>
        <w:sz w:val="18"/>
      </w:rPr>
      <w:fldChar w:fldCharType="end"/>
    </w:r>
    <w:r>
      <w:rPr>
        <w:b/>
        <w:sz w:val="18"/>
      </w:rPr>
      <w:tab/>
    </w:r>
    <w:r>
      <w:t>GE.21-02392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0B786" w14:textId="77777777" w:rsidR="00275CCD" w:rsidRPr="00C22589" w:rsidRDefault="00275CCD" w:rsidP="00C22589">
    <w:pPr>
      <w:pStyle w:val="Pieddepage"/>
      <w:tabs>
        <w:tab w:val="right" w:pos="9638"/>
      </w:tabs>
      <w:rPr>
        <w:b/>
        <w:sz w:val="18"/>
      </w:rPr>
    </w:pPr>
    <w:r>
      <w:t>GE.21-02392</w:t>
    </w:r>
    <w:r>
      <w:tab/>
    </w:r>
    <w:r w:rsidRPr="00C22589">
      <w:rPr>
        <w:b/>
        <w:sz w:val="18"/>
      </w:rPr>
      <w:fldChar w:fldCharType="begin"/>
    </w:r>
    <w:r w:rsidRPr="00C22589">
      <w:rPr>
        <w:b/>
        <w:sz w:val="18"/>
      </w:rPr>
      <w:instrText xml:space="preserve"> PAGE  \* MERGEFORMAT </w:instrText>
    </w:r>
    <w:r w:rsidRPr="00C22589">
      <w:rPr>
        <w:b/>
        <w:sz w:val="18"/>
      </w:rPr>
      <w:fldChar w:fldCharType="separate"/>
    </w:r>
    <w:r w:rsidRPr="00C22589">
      <w:rPr>
        <w:b/>
        <w:noProof/>
        <w:sz w:val="18"/>
      </w:rPr>
      <w:t>3</w:t>
    </w:r>
    <w:r w:rsidRPr="00C2258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972E6" w14:textId="77777777" w:rsidR="00275CCD" w:rsidRPr="00C22589" w:rsidRDefault="00275CCD" w:rsidP="00C22589">
    <w:pPr>
      <w:pStyle w:val="Pieddepage"/>
      <w:spacing w:before="120"/>
      <w:rPr>
        <w:sz w:val="20"/>
      </w:rPr>
    </w:pPr>
    <w:r>
      <w:rPr>
        <w:sz w:val="20"/>
      </w:rPr>
      <w:t>GE.</w:t>
    </w:r>
    <w:r>
      <w:rPr>
        <w:noProof/>
        <w:lang w:eastAsia="fr-CH"/>
      </w:rPr>
      <w:drawing>
        <wp:anchor distT="0" distB="0" distL="114300" distR="114300" simplePos="0" relativeHeight="251659264" behindDoc="0" locked="0" layoutInCell="1" allowOverlap="0" wp14:anchorId="597B7498" wp14:editId="7034E221">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21-02392</w:t>
    </w:r>
    <w:r w:rsidR="00D45B40">
      <w:rPr>
        <w:sz w:val="20"/>
      </w:rPr>
      <w:t xml:space="preserve">  </w:t>
    </w:r>
    <w:r>
      <w:rPr>
        <w:sz w:val="20"/>
      </w:rPr>
      <w:t>(F)</w:t>
    </w:r>
    <w:r>
      <w:rPr>
        <w:noProof/>
        <w:sz w:val="20"/>
      </w:rPr>
      <w:drawing>
        <wp:anchor distT="0" distB="0" distL="114300" distR="114300" simplePos="0" relativeHeight="251660288" behindDoc="0" locked="0" layoutInCell="1" allowOverlap="1" wp14:anchorId="1050EF68" wp14:editId="0BFD149E">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45B40">
      <w:rPr>
        <w:sz w:val="20"/>
      </w:rPr>
      <w:t xml:space="preserve">    260321    260321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A0353" w14:textId="77777777" w:rsidR="00275CCD" w:rsidRPr="00AC3823" w:rsidRDefault="00275CCD" w:rsidP="00AC3823">
      <w:pPr>
        <w:pStyle w:val="Pieddepage"/>
        <w:tabs>
          <w:tab w:val="right" w:pos="2155"/>
        </w:tabs>
        <w:spacing w:after="80" w:line="240" w:lineRule="atLeast"/>
        <w:ind w:left="680"/>
        <w:rPr>
          <w:u w:val="single"/>
        </w:rPr>
      </w:pPr>
      <w:r>
        <w:rPr>
          <w:u w:val="single"/>
        </w:rPr>
        <w:tab/>
      </w:r>
    </w:p>
  </w:footnote>
  <w:footnote w:type="continuationSeparator" w:id="0">
    <w:p w14:paraId="6958A7E9" w14:textId="77777777" w:rsidR="00275CCD" w:rsidRPr="00AC3823" w:rsidRDefault="00275CCD" w:rsidP="00AC3823">
      <w:pPr>
        <w:pStyle w:val="Pieddepage"/>
        <w:tabs>
          <w:tab w:val="right" w:pos="2155"/>
        </w:tabs>
        <w:spacing w:after="80" w:line="240" w:lineRule="atLeast"/>
        <w:ind w:left="680"/>
        <w:rPr>
          <w:u w:val="single"/>
        </w:rPr>
      </w:pPr>
      <w:r>
        <w:rPr>
          <w:u w:val="single"/>
        </w:rPr>
        <w:tab/>
      </w:r>
    </w:p>
  </w:footnote>
  <w:footnote w:type="continuationNotice" w:id="1">
    <w:p w14:paraId="561012DD" w14:textId="77777777" w:rsidR="00275CCD" w:rsidRPr="00AC3823" w:rsidRDefault="00275CCD">
      <w:pPr>
        <w:spacing w:line="240" w:lineRule="auto"/>
        <w:rPr>
          <w:sz w:val="2"/>
          <w:szCs w:val="2"/>
        </w:rPr>
      </w:pPr>
    </w:p>
  </w:footnote>
  <w:footnote w:id="2">
    <w:p w14:paraId="070CAED8" w14:textId="77777777" w:rsidR="00275CCD" w:rsidRPr="00275CCD" w:rsidRDefault="00275CCD">
      <w:pPr>
        <w:pStyle w:val="Notedebasdepage"/>
      </w:pPr>
      <w:r>
        <w:rPr>
          <w:rStyle w:val="Appelnotedebasdep"/>
        </w:rPr>
        <w:tab/>
      </w:r>
      <w:r w:rsidRPr="00275CCD">
        <w:rPr>
          <w:rStyle w:val="Appelnotedebasdep"/>
          <w:sz w:val="20"/>
          <w:vertAlign w:val="baseline"/>
        </w:rPr>
        <w:t>*</w:t>
      </w:r>
      <w:r>
        <w:rPr>
          <w:rStyle w:val="Appelnotedebasdep"/>
          <w:sz w:val="20"/>
          <w:vertAlign w:val="baseline"/>
        </w:rPr>
        <w:tab/>
      </w:r>
      <w:r w:rsidRPr="00275CCD">
        <w:rPr>
          <w:sz w:val="20"/>
        </w:rPr>
        <w:t>Diffusé en langue allemande par la Commission centrale pour la navigation du Rhin sous la cote CCNR-ZKR/ADN/WP.15/AC.2/76.</w:t>
      </w:r>
    </w:p>
  </w:footnote>
  <w:footnote w:id="3">
    <w:p w14:paraId="0C9C45DA" w14:textId="77777777" w:rsidR="00275CCD" w:rsidRPr="00F10460" w:rsidRDefault="00275CCD" w:rsidP="00C22589">
      <w:pPr>
        <w:pStyle w:val="Notedebasdepage"/>
        <w:rPr>
          <w:lang w:val="fr-FR"/>
        </w:rPr>
      </w:pPr>
      <w:r w:rsidRPr="00F10460">
        <w:rPr>
          <w:lang w:val="fr-FR"/>
        </w:rPr>
        <w:tab/>
      </w:r>
      <w:r w:rsidRPr="00F3729A">
        <w:rPr>
          <w:vertAlign w:val="superscript"/>
        </w:rPr>
        <w:footnoteRef/>
      </w:r>
      <w:r w:rsidRPr="00F3729A">
        <w:tab/>
      </w:r>
      <w:hyperlink r:id="rId1" w:history="1">
        <w:r w:rsidRPr="00F3729A">
          <w:rPr>
            <w:color w:val="0000FF"/>
          </w:rPr>
          <w:t>https://unece.org/transport/events/itc-inland-transport-committee-83rd-session</w:t>
        </w:r>
      </w:hyperlink>
      <w:r w:rsidRPr="00F10460">
        <w:rPr>
          <w:lang w:val="fr-FR"/>
        </w:rPr>
        <w:t>.</w:t>
      </w:r>
    </w:p>
  </w:footnote>
  <w:footnote w:id="4">
    <w:p w14:paraId="62306435" w14:textId="77777777" w:rsidR="00275CCD" w:rsidRPr="00F10460" w:rsidRDefault="00275CCD" w:rsidP="00C22589">
      <w:pPr>
        <w:pStyle w:val="Notedebasdepage"/>
        <w:rPr>
          <w:lang w:val="fr-FR"/>
        </w:rPr>
      </w:pPr>
      <w:r w:rsidRPr="00F10460">
        <w:rPr>
          <w:lang w:val="fr-FR"/>
        </w:rPr>
        <w:tab/>
      </w:r>
      <w:r w:rsidRPr="00F10460">
        <w:rPr>
          <w:rStyle w:val="Appelnotedebasdep"/>
          <w:sz w:val="16"/>
          <w:szCs w:val="16"/>
          <w:lang w:val="fr-FR"/>
        </w:rPr>
        <w:footnoteRef/>
      </w:r>
      <w:r w:rsidRPr="00F10460">
        <w:rPr>
          <w:lang w:val="fr-FR"/>
        </w:rPr>
        <w:tab/>
        <w:t>Standard européen établissant les prescriptions techniques des bateaux de navigation intérieure (</w:t>
      </w:r>
      <w:hyperlink r:id="rId2" w:history="1">
        <w:r w:rsidRPr="00F10460">
          <w:rPr>
            <w:rStyle w:val="Lienhypertexte"/>
            <w:lang w:val="fr-FR"/>
          </w:rPr>
          <w:t>www.cesni.eu/types/requis-techniques/</w:t>
        </w:r>
      </w:hyperlink>
      <w:r w:rsidRPr="00F10460">
        <w:rPr>
          <w:lang w:val="fr-FR"/>
        </w:rPr>
        <w:t>).</w:t>
      </w:r>
    </w:p>
  </w:footnote>
  <w:footnote w:id="5">
    <w:p w14:paraId="75811EF1" w14:textId="77777777" w:rsidR="00275CCD" w:rsidRPr="00F10460" w:rsidRDefault="00275CCD" w:rsidP="00C22589">
      <w:pPr>
        <w:pStyle w:val="Notedebasdepage"/>
        <w:rPr>
          <w:lang w:val="fr-FR"/>
        </w:rPr>
      </w:pPr>
      <w:r w:rsidRPr="00F10460">
        <w:rPr>
          <w:lang w:val="fr-FR"/>
        </w:rPr>
        <w:tab/>
      </w:r>
      <w:r w:rsidRPr="00F10460">
        <w:rPr>
          <w:rStyle w:val="Appelnotedebasdep"/>
          <w:lang w:val="fr-FR"/>
        </w:rPr>
        <w:footnoteRef/>
      </w:r>
      <w:r w:rsidRPr="00F10460">
        <w:rPr>
          <w:lang w:val="fr-FR"/>
        </w:rPr>
        <w:tab/>
        <w:t>Comité européen pour l’élaboration de standards dans le domaine de la navigation intérieure (</w:t>
      </w:r>
      <w:hyperlink r:id="rId3" w:history="1">
        <w:r w:rsidRPr="00F10460">
          <w:rPr>
            <w:rStyle w:val="Lienhypertexte"/>
            <w:lang w:val="fr-FR"/>
          </w:rPr>
          <w:t>www.cesni.eu</w:t>
        </w:r>
      </w:hyperlink>
      <w:r w:rsidRPr="00F10460">
        <w:rPr>
          <w:lang w:val="fr-FR"/>
        </w:rPr>
        <w:t>).</w:t>
      </w:r>
    </w:p>
  </w:footnote>
  <w:footnote w:id="6">
    <w:p w14:paraId="758CEDA5" w14:textId="77777777" w:rsidR="00275CCD" w:rsidRPr="00F10460" w:rsidRDefault="00275CCD" w:rsidP="00C22589">
      <w:pPr>
        <w:pStyle w:val="Notedebasdepage"/>
        <w:rPr>
          <w:lang w:val="fr-FR"/>
        </w:rPr>
      </w:pPr>
      <w:r w:rsidRPr="00F10460">
        <w:rPr>
          <w:lang w:val="fr-FR"/>
        </w:rPr>
        <w:tab/>
      </w:r>
      <w:r w:rsidRPr="00F10460">
        <w:rPr>
          <w:rStyle w:val="Appelnotedebasdep"/>
          <w:lang w:val="fr-FR"/>
        </w:rPr>
        <w:footnoteRef/>
      </w:r>
      <w:r w:rsidRPr="00F10460">
        <w:rPr>
          <w:lang w:val="fr-FR"/>
        </w:rPr>
        <w:tab/>
        <w:t>Convention internationale de 1978 sur les normes de formation des gens de mer, de délivrance des</w:t>
      </w:r>
      <w:r w:rsidR="00F3729A">
        <w:rPr>
          <w:lang w:val="fr-FR"/>
        </w:rPr>
        <w:t xml:space="preserve"> </w:t>
      </w:r>
      <w:r w:rsidRPr="00F10460">
        <w:rPr>
          <w:lang w:val="fr-FR"/>
        </w:rPr>
        <w:t>brevets et de veille, telle que modifiée.</w:t>
      </w:r>
    </w:p>
  </w:footnote>
  <w:footnote w:id="7">
    <w:p w14:paraId="3A85DAF0" w14:textId="77777777" w:rsidR="00275CCD" w:rsidRPr="00F10460" w:rsidRDefault="00275CCD" w:rsidP="00C22589">
      <w:pPr>
        <w:pStyle w:val="Notedebasdepage"/>
        <w:rPr>
          <w:lang w:val="fr-FR"/>
        </w:rPr>
      </w:pPr>
      <w:r w:rsidRPr="00F10460">
        <w:rPr>
          <w:lang w:val="fr-FR"/>
        </w:rPr>
        <w:tab/>
      </w:r>
      <w:r w:rsidRPr="00F10460">
        <w:rPr>
          <w:rStyle w:val="Appelnotedebasdep"/>
          <w:lang w:val="fr-FR"/>
        </w:rPr>
        <w:footnoteRef/>
      </w:r>
      <w:r w:rsidRPr="00F10460">
        <w:rPr>
          <w:lang w:val="fr-FR"/>
        </w:rPr>
        <w:tab/>
        <w:t>Directive 2014/34/UE du Parlement européen et du Conseil du 26 février</w:t>
      </w:r>
      <w:r w:rsidR="00F3729A">
        <w:rPr>
          <w:lang w:val="fr-FR"/>
        </w:rPr>
        <w:t xml:space="preserve"> </w:t>
      </w:r>
      <w:r w:rsidRPr="00F10460">
        <w:rPr>
          <w:lang w:val="fr-FR"/>
        </w:rPr>
        <w:t>2014 relative à l’harmonisation des législations des États membres concernant les appareils et les systèmes de protection destinés à être utilisés en atmosphères explosibles.</w:t>
      </w:r>
    </w:p>
  </w:footnote>
  <w:footnote w:id="8">
    <w:p w14:paraId="3C2CF6BD" w14:textId="77777777" w:rsidR="00275CCD" w:rsidRPr="00F10460" w:rsidRDefault="00275CCD" w:rsidP="00C22589">
      <w:pPr>
        <w:pStyle w:val="Notedebasdepage"/>
        <w:rPr>
          <w:lang w:val="fr-FR"/>
        </w:rPr>
      </w:pPr>
      <w:r w:rsidRPr="00F10460">
        <w:rPr>
          <w:lang w:val="fr-FR"/>
        </w:rPr>
        <w:tab/>
      </w:r>
      <w:r w:rsidRPr="00F10460">
        <w:rPr>
          <w:rStyle w:val="Appelnotedebasdep"/>
          <w:lang w:val="fr-FR"/>
        </w:rPr>
        <w:footnoteRef/>
      </w:r>
      <w:r w:rsidRPr="00F10460">
        <w:rPr>
          <w:lang w:val="fr-FR"/>
        </w:rPr>
        <w:tab/>
      </w:r>
      <w:hyperlink r:id="rId4" w:history="1">
        <w:r w:rsidRPr="00F10460">
          <w:rPr>
            <w:rStyle w:val="Lienhypertexte"/>
            <w:lang w:val="fr-FR"/>
          </w:rPr>
          <w:t>https://unece.org/country-information-competent-authoritiesnotifications-according-194</w:t>
        </w:r>
      </w:hyperlink>
      <w:r w:rsidRPr="00F10460">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E20A0" w14:textId="36F48FD1" w:rsidR="00275CCD" w:rsidRPr="00C22589" w:rsidRDefault="00275CCD">
    <w:pPr>
      <w:pStyle w:val="En-tte"/>
    </w:pPr>
    <w:fldSimple w:instr=" TITLE  \* MERGEFORMAT ">
      <w:r w:rsidR="00F30CD2">
        <w:t>ECE/TRANS/WP.15/AC.2/76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DB96E" w14:textId="6952435C" w:rsidR="00275CCD" w:rsidRPr="00C22589" w:rsidRDefault="00275CCD" w:rsidP="00C22589">
    <w:pPr>
      <w:pStyle w:val="En-tte"/>
      <w:jc w:val="right"/>
    </w:pPr>
    <w:fldSimple w:instr=" TITLE  \* MERGEFORMAT ">
      <w:r w:rsidR="00F30CD2">
        <w:t>ECE/TRANS/WP.15/AC.2/76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8" w15:restartNumberingAfterBreak="0">
    <w:nsid w:val="65925DC1"/>
    <w:multiLevelType w:val="hybridMultilevel"/>
    <w:tmpl w:val="FAA66F24"/>
    <w:lvl w:ilvl="0" w:tplc="8C4849AC">
      <w:start w:val="1"/>
      <w:numFmt w:val="bullet"/>
      <w:pStyle w:val="SL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SS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7"/>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9"/>
  </w:num>
  <w:num w:numId="15">
    <w:abstractNumId w:val="17"/>
  </w:num>
  <w:num w:numId="16">
    <w:abstractNumId w:val="11"/>
  </w:num>
  <w:num w:numId="17">
    <w:abstractNumId w:val="15"/>
  </w:num>
  <w:num w:numId="18">
    <w:abstractNumId w:val="14"/>
  </w:num>
  <w:num w:numId="19">
    <w:abstractNumId w:val="10"/>
  </w:num>
  <w:num w:numId="20">
    <w:abstractNumId w:val="12"/>
  </w:num>
  <w:num w:numId="21">
    <w:abstractNumId w:val="16"/>
  </w:num>
  <w:num w:numId="22">
    <w:abstractNumId w:val="13"/>
  </w:num>
  <w:num w:numId="23">
    <w:abstractNumId w:val="1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F7"/>
    <w:rsid w:val="00017F94"/>
    <w:rsid w:val="00023842"/>
    <w:rsid w:val="000334F9"/>
    <w:rsid w:val="00045FEB"/>
    <w:rsid w:val="0007796D"/>
    <w:rsid w:val="000B7790"/>
    <w:rsid w:val="00111F2F"/>
    <w:rsid w:val="0014365E"/>
    <w:rsid w:val="00143C66"/>
    <w:rsid w:val="00176178"/>
    <w:rsid w:val="001F525A"/>
    <w:rsid w:val="00201148"/>
    <w:rsid w:val="00223272"/>
    <w:rsid w:val="0024779E"/>
    <w:rsid w:val="00257168"/>
    <w:rsid w:val="002744B8"/>
    <w:rsid w:val="00275CCD"/>
    <w:rsid w:val="002832AC"/>
    <w:rsid w:val="002D7C93"/>
    <w:rsid w:val="00305801"/>
    <w:rsid w:val="003916DE"/>
    <w:rsid w:val="00421996"/>
    <w:rsid w:val="00441C3B"/>
    <w:rsid w:val="00446FE5"/>
    <w:rsid w:val="00452396"/>
    <w:rsid w:val="00477EB2"/>
    <w:rsid w:val="004837D8"/>
    <w:rsid w:val="004C0A5C"/>
    <w:rsid w:val="004E2EED"/>
    <w:rsid w:val="004E468C"/>
    <w:rsid w:val="005113F8"/>
    <w:rsid w:val="005505B7"/>
    <w:rsid w:val="00573BE5"/>
    <w:rsid w:val="00586ED3"/>
    <w:rsid w:val="00596AA9"/>
    <w:rsid w:val="005F2624"/>
    <w:rsid w:val="0071601D"/>
    <w:rsid w:val="00763E2F"/>
    <w:rsid w:val="007A62E6"/>
    <w:rsid w:val="007F20FA"/>
    <w:rsid w:val="0080684C"/>
    <w:rsid w:val="00871C75"/>
    <w:rsid w:val="008776DC"/>
    <w:rsid w:val="008C63D6"/>
    <w:rsid w:val="008D5EF9"/>
    <w:rsid w:val="0090658A"/>
    <w:rsid w:val="009446C0"/>
    <w:rsid w:val="009705C8"/>
    <w:rsid w:val="009C1CF4"/>
    <w:rsid w:val="009F6B74"/>
    <w:rsid w:val="00A3029F"/>
    <w:rsid w:val="00A30353"/>
    <w:rsid w:val="00AC3823"/>
    <w:rsid w:val="00AE323C"/>
    <w:rsid w:val="00AF0CB5"/>
    <w:rsid w:val="00B00181"/>
    <w:rsid w:val="00B00B0D"/>
    <w:rsid w:val="00B45F2E"/>
    <w:rsid w:val="00B616F7"/>
    <w:rsid w:val="00B765F7"/>
    <w:rsid w:val="00B77993"/>
    <w:rsid w:val="00BA0CA9"/>
    <w:rsid w:val="00BC0C42"/>
    <w:rsid w:val="00C02897"/>
    <w:rsid w:val="00C22589"/>
    <w:rsid w:val="00C97039"/>
    <w:rsid w:val="00D3439C"/>
    <w:rsid w:val="00D45B40"/>
    <w:rsid w:val="00D7622E"/>
    <w:rsid w:val="00D77BF1"/>
    <w:rsid w:val="00DB1831"/>
    <w:rsid w:val="00DD3BFD"/>
    <w:rsid w:val="00DF6678"/>
    <w:rsid w:val="00E0299A"/>
    <w:rsid w:val="00E67FD9"/>
    <w:rsid w:val="00E85C74"/>
    <w:rsid w:val="00EA6547"/>
    <w:rsid w:val="00ED7237"/>
    <w:rsid w:val="00EF2E22"/>
    <w:rsid w:val="00F30CD2"/>
    <w:rsid w:val="00F35BAF"/>
    <w:rsid w:val="00F3729A"/>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D06D08"/>
  <w15:docId w15:val="{526F87C7-8838-4B0B-B7B1-BBBE4453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qFormat="1"/>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iPriority w:val="99"/>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F35BAF"/>
    <w:rPr>
      <w:rFonts w:ascii="Tahoma" w:hAnsi="Tahoma" w:cs="Tahoma"/>
      <w:sz w:val="16"/>
      <w:szCs w:val="16"/>
      <w:lang w:eastAsia="en-US"/>
    </w:rPr>
  </w:style>
  <w:style w:type="character" w:customStyle="1" w:styleId="HChGChar">
    <w:name w:val="_ H _Ch_G Char"/>
    <w:link w:val="HChG"/>
    <w:rsid w:val="00C22589"/>
    <w:rPr>
      <w:rFonts w:ascii="Times New Roman" w:eastAsiaTheme="minorHAnsi" w:hAnsi="Times New Roman" w:cs="Times New Roman"/>
      <w:b/>
      <w:sz w:val="28"/>
      <w:szCs w:val="20"/>
      <w:lang w:eastAsia="en-US"/>
    </w:rPr>
  </w:style>
  <w:style w:type="character" w:styleId="Marquedecommentaire">
    <w:name w:val="annotation reference"/>
    <w:basedOn w:val="Policepardfaut"/>
    <w:semiHidden/>
    <w:unhideWhenUsed/>
    <w:rsid w:val="00C22589"/>
    <w:rPr>
      <w:sz w:val="16"/>
      <w:szCs w:val="16"/>
    </w:rPr>
  </w:style>
  <w:style w:type="paragraph" w:styleId="Commentaire">
    <w:name w:val="annotation text"/>
    <w:basedOn w:val="Normal"/>
    <w:link w:val="CommentaireCar"/>
    <w:unhideWhenUsed/>
    <w:rsid w:val="00C22589"/>
    <w:pPr>
      <w:kinsoku/>
      <w:overflowPunct/>
      <w:autoSpaceDE/>
      <w:autoSpaceDN/>
      <w:adjustRightInd/>
      <w:snapToGrid/>
      <w:spacing w:line="240" w:lineRule="auto"/>
    </w:pPr>
    <w:rPr>
      <w:rFonts w:eastAsia="Times New Roman"/>
      <w:lang w:val="en-GB" w:eastAsia="fr-FR"/>
    </w:rPr>
  </w:style>
  <w:style w:type="character" w:customStyle="1" w:styleId="CommentaireCar">
    <w:name w:val="Commentaire Car"/>
    <w:basedOn w:val="Policepardfaut"/>
    <w:link w:val="Commentaire"/>
    <w:rsid w:val="00C22589"/>
    <w:rPr>
      <w:rFonts w:ascii="Times New Roman" w:hAnsi="Times New Roman" w:cs="Times New Roman"/>
      <w:sz w:val="20"/>
      <w:szCs w:val="20"/>
      <w:lang w:val="en-GB" w:eastAsia="fr-FR"/>
    </w:rPr>
  </w:style>
  <w:style w:type="paragraph" w:styleId="Objetducommentaire">
    <w:name w:val="annotation subject"/>
    <w:basedOn w:val="Commentaire"/>
    <w:next w:val="Commentaire"/>
    <w:link w:val="ObjetducommentaireCar"/>
    <w:semiHidden/>
    <w:unhideWhenUsed/>
    <w:rsid w:val="00C22589"/>
    <w:rPr>
      <w:b/>
      <w:bCs/>
    </w:rPr>
  </w:style>
  <w:style w:type="character" w:customStyle="1" w:styleId="ObjetducommentaireCar">
    <w:name w:val="Objet du commentaire Car"/>
    <w:basedOn w:val="CommentaireCar"/>
    <w:link w:val="Objetducommentaire"/>
    <w:semiHidden/>
    <w:rsid w:val="00C22589"/>
    <w:rPr>
      <w:rFonts w:ascii="Times New Roman" w:hAnsi="Times New Roman" w:cs="Times New Roman"/>
      <w:b/>
      <w:bCs/>
      <w:sz w:val="20"/>
      <w:szCs w:val="20"/>
      <w:lang w:val="en-GB" w:eastAsia="fr-FR"/>
    </w:rPr>
  </w:style>
  <w:style w:type="character" w:customStyle="1" w:styleId="SingleTxtGChar">
    <w:name w:val="_ Single Txt_G Char"/>
    <w:link w:val="SingleTxtG"/>
    <w:qFormat/>
    <w:rsid w:val="00C22589"/>
    <w:rPr>
      <w:rFonts w:ascii="Times New Roman" w:eastAsiaTheme="minorHAnsi" w:hAnsi="Times New Roman" w:cs="Times New Roman"/>
      <w:sz w:val="20"/>
      <w:szCs w:val="20"/>
      <w:lang w:eastAsia="en-US"/>
    </w:rPr>
  </w:style>
  <w:style w:type="character" w:customStyle="1" w:styleId="H23GChar">
    <w:name w:val="_ H_2/3_G Char"/>
    <w:link w:val="H23G"/>
    <w:rsid w:val="00C22589"/>
    <w:rPr>
      <w:rFonts w:ascii="Times New Roman" w:eastAsiaTheme="minorHAnsi" w:hAnsi="Times New Roman" w:cs="Times New Roman"/>
      <w:b/>
      <w:sz w:val="20"/>
      <w:szCs w:val="20"/>
      <w:lang w:eastAsia="en-US"/>
    </w:rPr>
  </w:style>
  <w:style w:type="character" w:styleId="Accentuation">
    <w:name w:val="Emphasis"/>
    <w:qFormat/>
    <w:rsid w:val="00C22589"/>
    <w:rPr>
      <w:i/>
      <w:iCs/>
    </w:rPr>
  </w:style>
  <w:style w:type="paragraph" w:customStyle="1" w:styleId="Default">
    <w:name w:val="Default"/>
    <w:rsid w:val="00C22589"/>
    <w:pPr>
      <w:autoSpaceDE w:val="0"/>
      <w:autoSpaceDN w:val="0"/>
      <w:adjustRightInd w:val="0"/>
      <w:spacing w:after="0" w:line="240" w:lineRule="auto"/>
    </w:pPr>
    <w:rPr>
      <w:rFonts w:ascii="Times New Roman" w:eastAsia="SimSun" w:hAnsi="Times New Roman" w:cs="Times New Roman"/>
      <w:color w:val="000000"/>
      <w:sz w:val="24"/>
      <w:szCs w:val="24"/>
      <w:lang w:val="en-GB"/>
    </w:rPr>
  </w:style>
  <w:style w:type="paragraph" w:styleId="TM1">
    <w:name w:val="toc 1"/>
    <w:basedOn w:val="Normal"/>
    <w:next w:val="Normal"/>
    <w:autoRedefine/>
    <w:uiPriority w:val="39"/>
    <w:unhideWhenUsed/>
    <w:rsid w:val="00C22589"/>
    <w:pPr>
      <w:kinsoku/>
      <w:overflowPunct/>
      <w:autoSpaceDE/>
      <w:autoSpaceDN/>
      <w:adjustRightInd/>
      <w:snapToGrid/>
      <w:spacing w:after="100"/>
    </w:pPr>
    <w:rPr>
      <w:rFonts w:eastAsia="Times New Roman"/>
      <w:lang w:val="en-GB" w:eastAsia="fr-FR"/>
    </w:rPr>
  </w:style>
  <w:style w:type="paragraph" w:styleId="TM2">
    <w:name w:val="toc 2"/>
    <w:basedOn w:val="Normal"/>
    <w:next w:val="Normal"/>
    <w:autoRedefine/>
    <w:uiPriority w:val="39"/>
    <w:unhideWhenUsed/>
    <w:rsid w:val="00C22589"/>
    <w:pPr>
      <w:kinsoku/>
      <w:overflowPunct/>
      <w:autoSpaceDE/>
      <w:autoSpaceDN/>
      <w:adjustRightInd/>
      <w:snapToGrid/>
      <w:spacing w:after="100"/>
      <w:ind w:left="200"/>
    </w:pPr>
    <w:rPr>
      <w:rFonts w:eastAsia="Times New Roman"/>
      <w:lang w:val="en-GB" w:eastAsia="fr-FR"/>
    </w:rPr>
  </w:style>
  <w:style w:type="paragraph" w:styleId="TM3">
    <w:name w:val="toc 3"/>
    <w:basedOn w:val="Normal"/>
    <w:next w:val="Normal"/>
    <w:autoRedefine/>
    <w:uiPriority w:val="39"/>
    <w:unhideWhenUsed/>
    <w:rsid w:val="00C22589"/>
    <w:pPr>
      <w:kinsoku/>
      <w:overflowPunct/>
      <w:autoSpaceDE/>
      <w:autoSpaceDN/>
      <w:adjustRightInd/>
      <w:snapToGrid/>
      <w:spacing w:after="100"/>
      <w:ind w:left="400"/>
    </w:pPr>
    <w:rPr>
      <w:rFonts w:eastAsia="Times New Roman"/>
      <w:lang w:val="en-GB" w:eastAsia="fr-FR"/>
    </w:rPr>
  </w:style>
  <w:style w:type="character" w:styleId="Mentionnonrsolue">
    <w:name w:val="Unresolved Mention"/>
    <w:basedOn w:val="Policepardfaut"/>
    <w:uiPriority w:val="99"/>
    <w:semiHidden/>
    <w:unhideWhenUsed/>
    <w:rsid w:val="00C22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unece.org/display/adnsc/"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file:///\\conf-share1\LS\FRA\COMMON\FINAL\www.cesni.eu" TargetMode="External"/><Relationship Id="rId2" Type="http://schemas.openxmlformats.org/officeDocument/2006/relationships/hyperlink" Target="file:///\\conf-share1\LS\FRA\COMMON\FINAL\www.cesni.eu\types\requis-techniques\" TargetMode="External"/><Relationship Id="rId1" Type="http://schemas.openxmlformats.org/officeDocument/2006/relationships/hyperlink" Target="https://unece.org/transport/events/itc-inland-transport-committee-83rd-session" TargetMode="External"/><Relationship Id="rId4" Type="http://schemas.openxmlformats.org/officeDocument/2006/relationships/hyperlink" Target="https://unece.org/country-information-competent-authoritiesnotifications-according-1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ECE_TRANS.dotm</Template>
  <TotalTime>2</TotalTime>
  <Pages>22</Pages>
  <Words>8307</Words>
  <Characters>45961</Characters>
  <Application>Microsoft Office Word</Application>
  <DocSecurity>0</DocSecurity>
  <Lines>824</Lines>
  <Paragraphs>374</Paragraphs>
  <ScaleCrop>false</ScaleCrop>
  <HeadingPairs>
    <vt:vector size="2" baseType="variant">
      <vt:variant>
        <vt:lpstr>Titre</vt:lpstr>
      </vt:variant>
      <vt:variant>
        <vt:i4>1</vt:i4>
      </vt:variant>
    </vt:vector>
  </HeadingPairs>
  <TitlesOfParts>
    <vt:vector size="1" baseType="lpstr">
      <vt:lpstr>ECE/TRANS/WP.15/AC.2/76</vt:lpstr>
    </vt:vector>
  </TitlesOfParts>
  <Company>DCM</Company>
  <LinksUpToDate>false</LinksUpToDate>
  <CharactersWithSpaces>54152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ECE/TRANS/WP.15/AC.2/76</dc:title>
  <dc:subject/>
  <dc:creator>Christine CHAUTAGNAT</dc:creator>
  <cp:keywords/>
  <cp:lastModifiedBy>Christine Chautagnat</cp:lastModifiedBy>
  <cp:revision>3</cp:revision>
  <cp:lastPrinted>2021-03-26T13:53:00Z</cp:lastPrinted>
  <dcterms:created xsi:type="dcterms:W3CDTF">2021-03-26T13:53:00Z</dcterms:created>
  <dcterms:modified xsi:type="dcterms:W3CDTF">2021-03-26T13:55:00Z</dcterms:modified>
</cp:coreProperties>
</file>