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7666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0B0944" w14:textId="77777777" w:rsidR="002D5AAC" w:rsidRDefault="002D5AAC" w:rsidP="003F73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6F78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5E7334" w14:textId="2AFA26F6" w:rsidR="002D5AAC" w:rsidRDefault="003F73FC" w:rsidP="003F73FC">
            <w:pPr>
              <w:jc w:val="right"/>
            </w:pPr>
            <w:r w:rsidRPr="003F73FC">
              <w:rPr>
                <w:sz w:val="40"/>
              </w:rPr>
              <w:t>ECE</w:t>
            </w:r>
            <w:r>
              <w:t>/TRANS/WP.11/2022/4</w:t>
            </w:r>
          </w:p>
        </w:tc>
      </w:tr>
      <w:tr w:rsidR="002D5AAC" w14:paraId="3863D07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54DF0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B720F3" wp14:editId="3777CB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FC4E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8F6F0E" w14:textId="77777777" w:rsidR="002D5AAC" w:rsidRDefault="003F73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E25B81" w14:textId="77777777" w:rsidR="003F73FC" w:rsidRDefault="003F73FC" w:rsidP="003F73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February 2022</w:t>
            </w:r>
          </w:p>
          <w:p w14:paraId="2BE16EE2" w14:textId="77777777" w:rsidR="003F73FC" w:rsidRDefault="003F73FC" w:rsidP="003F73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681113" w14:textId="5E2FAC3B" w:rsidR="003F73FC" w:rsidRPr="008D53B6" w:rsidRDefault="003F73FC" w:rsidP="003F73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40E81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054069" w14:textId="77777777" w:rsidR="003F73FC" w:rsidRPr="003F73FC" w:rsidRDefault="003F73FC" w:rsidP="003F73FC">
      <w:pPr>
        <w:spacing w:before="120"/>
        <w:rPr>
          <w:sz w:val="28"/>
          <w:szCs w:val="28"/>
        </w:rPr>
      </w:pPr>
      <w:r w:rsidRPr="003F73FC">
        <w:rPr>
          <w:sz w:val="28"/>
          <w:szCs w:val="28"/>
        </w:rPr>
        <w:t>Комитет по внутреннему транспорту</w:t>
      </w:r>
    </w:p>
    <w:p w14:paraId="1084C4C1" w14:textId="0E9CC739" w:rsidR="003F73FC" w:rsidRPr="003F73FC" w:rsidRDefault="003F73FC" w:rsidP="003F73FC">
      <w:pPr>
        <w:spacing w:before="120" w:after="120"/>
        <w:rPr>
          <w:b/>
          <w:sz w:val="24"/>
          <w:szCs w:val="24"/>
        </w:rPr>
      </w:pPr>
      <w:r w:rsidRPr="003F73FC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3F73FC">
        <w:rPr>
          <w:b/>
          <w:bCs/>
          <w:sz w:val="24"/>
          <w:szCs w:val="24"/>
        </w:rPr>
        <w:t>пищевых продуктов</w:t>
      </w:r>
    </w:p>
    <w:p w14:paraId="507CD3F7" w14:textId="77777777" w:rsidR="003F73FC" w:rsidRPr="003F73FC" w:rsidRDefault="003F73FC" w:rsidP="003F73FC">
      <w:pPr>
        <w:rPr>
          <w:b/>
        </w:rPr>
      </w:pPr>
      <w:r w:rsidRPr="003F73FC">
        <w:rPr>
          <w:b/>
          <w:bCs/>
        </w:rPr>
        <w:t>Семьдесят восьмая сессия</w:t>
      </w:r>
    </w:p>
    <w:p w14:paraId="5FDC78E1" w14:textId="1920419C" w:rsidR="003F73FC" w:rsidRPr="003F73FC" w:rsidRDefault="003F73FC" w:rsidP="003F73FC">
      <w:r w:rsidRPr="003F73FC">
        <w:t>Женева, 3</w:t>
      </w:r>
      <w:r>
        <w:t>–</w:t>
      </w:r>
      <w:r w:rsidRPr="003F73FC">
        <w:t>6 мая 2022 года</w:t>
      </w:r>
    </w:p>
    <w:p w14:paraId="28163AE3" w14:textId="77777777" w:rsidR="003F73FC" w:rsidRPr="003F73FC" w:rsidRDefault="003F73FC" w:rsidP="003F73FC">
      <w:r w:rsidRPr="003F73FC">
        <w:t>Пункт 11 предварительной повестки дня</w:t>
      </w:r>
    </w:p>
    <w:p w14:paraId="77DDE68F" w14:textId="77777777" w:rsidR="003F73FC" w:rsidRPr="003F73FC" w:rsidRDefault="003F73FC" w:rsidP="003F73FC">
      <w:pPr>
        <w:rPr>
          <w:b/>
          <w:bCs/>
        </w:rPr>
      </w:pPr>
      <w:r w:rsidRPr="003F73FC">
        <w:rPr>
          <w:b/>
          <w:bCs/>
        </w:rPr>
        <w:t>Прочие вопросы</w:t>
      </w:r>
    </w:p>
    <w:p w14:paraId="16E302D3" w14:textId="4C2A88EA" w:rsidR="003F73FC" w:rsidRPr="003F73FC" w:rsidRDefault="003F73FC" w:rsidP="003F73FC">
      <w:pPr>
        <w:pStyle w:val="HChG"/>
      </w:pPr>
      <w:r w:rsidRPr="003F73FC">
        <w:tab/>
      </w:r>
      <w:r w:rsidRPr="003F73FC">
        <w:tab/>
        <w:t>Сопоставление правил процедуры Комитета по</w:t>
      </w:r>
      <w:r>
        <w:t> </w:t>
      </w:r>
      <w:r w:rsidRPr="003F73FC">
        <w:t xml:space="preserve">внутреннему транспорту с правилами процедуры Рабочей группы </w:t>
      </w:r>
    </w:p>
    <w:p w14:paraId="1DF00A55" w14:textId="77777777" w:rsidR="003F73FC" w:rsidRPr="003F73FC" w:rsidRDefault="003F73FC" w:rsidP="003F73FC">
      <w:pPr>
        <w:pStyle w:val="H1G"/>
      </w:pPr>
      <w:r w:rsidRPr="003F73FC">
        <w:tab/>
      </w:r>
      <w:r w:rsidRPr="003F73FC">
        <w:tab/>
        <w:t>Записка секретариата</w:t>
      </w:r>
    </w:p>
    <w:p w14:paraId="1CC922C4" w14:textId="77777777" w:rsidR="003F73FC" w:rsidRPr="003F73FC" w:rsidRDefault="003F73FC" w:rsidP="003F73FC">
      <w:pPr>
        <w:pStyle w:val="HChG"/>
      </w:pPr>
      <w:r w:rsidRPr="003F73FC">
        <w:tab/>
      </w:r>
      <w:r w:rsidRPr="003F73FC">
        <w:tab/>
        <w:t>Введение</w:t>
      </w:r>
    </w:p>
    <w:p w14:paraId="6B478268" w14:textId="77777777" w:rsidR="003F73FC" w:rsidRPr="003F73FC" w:rsidRDefault="003F73FC" w:rsidP="003F73FC">
      <w:pPr>
        <w:pStyle w:val="SingleTxtG"/>
      </w:pPr>
      <w:r w:rsidRPr="003F73FC">
        <w:t>1.</w:t>
      </w:r>
      <w:r w:rsidRPr="003F73FC">
        <w:tab/>
        <w:t>На своей семьдесят восьмой сессии Рабочая группа поручила секретариату подготовить сопоставление правил процедуры Комитета по внутреннему транспорту (КВТ) с правилами процедуры Рабочей группы в контексте правил, регулирующих участие в сессиях и принятие поправок.</w:t>
      </w:r>
    </w:p>
    <w:p w14:paraId="46337595" w14:textId="7732ED5B" w:rsidR="00E12C5F" w:rsidRDefault="003F73FC" w:rsidP="003F73FC">
      <w:pPr>
        <w:pStyle w:val="SingleTxtG"/>
      </w:pPr>
      <w:r w:rsidRPr="003F73FC">
        <w:t>2.</w:t>
      </w:r>
      <w:r w:rsidRPr="003F73FC">
        <w:tab/>
        <w:t>Соответствующие правила воспроизводятся и комментируются в нижеследующей таблице.</w:t>
      </w:r>
    </w:p>
    <w:p w14:paraId="142C4D30" w14:textId="77777777" w:rsidR="006269AA" w:rsidRDefault="006269AA" w:rsidP="003F73FC">
      <w:pPr>
        <w:pStyle w:val="SingleTxtG"/>
        <w:sectPr w:rsidR="006269AA" w:rsidSect="003F73F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Style w:val="ac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4491"/>
        <w:gridCol w:w="4536"/>
        <w:gridCol w:w="3002"/>
      </w:tblGrid>
      <w:tr w:rsidR="006269AA" w:rsidRPr="006269AA" w14:paraId="630B5D1E" w14:textId="77777777" w:rsidTr="006269AA">
        <w:trPr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E3DEF5" w14:textId="77777777" w:rsidR="003F73FC" w:rsidRPr="006269AA" w:rsidRDefault="003F73FC" w:rsidP="006269AA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269AA">
              <w:rPr>
                <w:rFonts w:cs="Times New Roman"/>
                <w:i/>
                <w:sz w:val="16"/>
              </w:rPr>
              <w:lastRenderedPageBreak/>
              <w:t>Вопрос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D1906" w14:textId="77777777" w:rsidR="003F73FC" w:rsidRPr="006269AA" w:rsidRDefault="003F73FC" w:rsidP="006269AA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269AA">
              <w:rPr>
                <w:rFonts w:cs="Times New Roman"/>
                <w:i/>
                <w:sz w:val="16"/>
              </w:rPr>
              <w:t>Правила процедуры КВТ (ECE/TRANS/294, приложение III)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5C19E" w14:textId="77777777" w:rsidR="003F73FC" w:rsidRPr="006269AA" w:rsidRDefault="003F73FC" w:rsidP="006269AA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269AA">
              <w:rPr>
                <w:rFonts w:cs="Times New Roman"/>
                <w:i/>
                <w:sz w:val="16"/>
              </w:rPr>
              <w:t>Правила процедуры Рабочей группы (ECE/TRANS/WP.11/229)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4173FC" w14:textId="77777777" w:rsidR="003F73FC" w:rsidRPr="006269AA" w:rsidRDefault="003F73FC" w:rsidP="006269AA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269AA">
              <w:rPr>
                <w:rFonts w:cs="Times New Roman"/>
                <w:i/>
                <w:sz w:val="16"/>
              </w:rPr>
              <w:t>Комментарии</w:t>
            </w:r>
          </w:p>
        </w:tc>
      </w:tr>
      <w:tr w:rsidR="006269AA" w:rsidRPr="006269AA" w14:paraId="44C1C7C2" w14:textId="77777777" w:rsidTr="006269AA">
        <w:trPr>
          <w:trHeight w:hRule="exact" w:val="113"/>
          <w:tblHeader/>
        </w:trPr>
        <w:tc>
          <w:tcPr>
            <w:tcW w:w="174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6ADD9A" w14:textId="77777777" w:rsidR="006269AA" w:rsidRPr="006269AA" w:rsidRDefault="006269AA" w:rsidP="006269AA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49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C4379C" w14:textId="77777777" w:rsidR="006269AA" w:rsidRPr="006269AA" w:rsidRDefault="006269AA" w:rsidP="006269AA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62D45" w14:textId="77777777" w:rsidR="006269AA" w:rsidRPr="006269AA" w:rsidRDefault="006269AA" w:rsidP="006269AA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3827C" w14:textId="77777777" w:rsidR="006269AA" w:rsidRPr="006269AA" w:rsidRDefault="006269AA" w:rsidP="006269AA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3F73FC" w:rsidRPr="006269AA" w14:paraId="27D5180C" w14:textId="77777777" w:rsidTr="006269AA"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14:paraId="021276EF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Участие</w:t>
            </w:r>
          </w:p>
        </w:tc>
        <w:tc>
          <w:tcPr>
            <w:tcW w:w="4491" w:type="dxa"/>
            <w:shd w:val="clear" w:color="auto" w:fill="auto"/>
            <w:tcMar>
              <w:left w:w="57" w:type="dxa"/>
              <w:right w:w="57" w:type="dxa"/>
            </w:tcMar>
          </w:tcPr>
          <w:p w14:paraId="196970FD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1</w:t>
            </w:r>
          </w:p>
          <w:p w14:paraId="7D205C4C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a)</w:t>
            </w:r>
            <w:r w:rsidRPr="006269AA">
              <w:rPr>
                <w:rFonts w:cs="Times New Roman"/>
                <w:sz w:val="18"/>
                <w:szCs w:val="18"/>
              </w:rPr>
              <w:tab/>
              <w:t>Государства — члены ЕЭК участвуют в работе сессий КВТ в качестве полноправных членов с правом голоса.</w:t>
            </w:r>
          </w:p>
          <w:p w14:paraId="5D81BDE7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b)</w:t>
            </w:r>
            <w:r w:rsidRPr="006269AA">
              <w:rPr>
                <w:rFonts w:cs="Times New Roman"/>
                <w:sz w:val="18"/>
                <w:szCs w:val="18"/>
              </w:rPr>
              <w:tab/>
              <w:t>Государства, не являющиеся членами ЕЭК, имеют право участвовать в качестве полноправных членов в тех сегментах сессии КВТ, которые касаются правовых документов, Договаривающимися сторонами которых они являются, и сохранять консультативный статус применительно к другим сегментам.</w:t>
            </w:r>
          </w:p>
          <w:p w14:paraId="555F2F24" w14:textId="1A13295C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c)</w:t>
            </w:r>
            <w:r w:rsidRPr="006269AA">
              <w:rPr>
                <w:rFonts w:cs="Times New Roman"/>
                <w:sz w:val="18"/>
                <w:szCs w:val="18"/>
              </w:rPr>
              <w:tab/>
              <w:t>Государства, не подпадающие под положения подпунктов а) и b), могут участвовать в сессиях КВТ в</w:t>
            </w:r>
            <w:r w:rsidR="00066CC3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консультативном качестве.</w:t>
            </w:r>
          </w:p>
          <w:p w14:paraId="3FA06B51" w14:textId="467ED312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d)</w:t>
            </w:r>
            <w:r w:rsidRPr="006269AA">
              <w:rPr>
                <w:rFonts w:cs="Times New Roman"/>
                <w:sz w:val="18"/>
                <w:szCs w:val="18"/>
              </w:rPr>
              <w:tab/>
              <w:t>В соответствии с пунктами 12 и 13 Положения о круге ведения Европейской экономической комиссии (</w:t>
            </w:r>
            <w:r w:rsidR="00066CC3">
              <w:rPr>
                <w:rFonts w:cs="Times New Roman"/>
                <w:sz w:val="18"/>
                <w:szCs w:val="18"/>
              </w:rPr>
              <w:t>«</w:t>
            </w:r>
            <w:r w:rsidRPr="006269AA">
              <w:rPr>
                <w:rFonts w:cs="Times New Roman"/>
                <w:sz w:val="18"/>
                <w:szCs w:val="18"/>
              </w:rPr>
              <w:t>ЕЭК</w:t>
            </w:r>
            <w:r w:rsidR="00066CC3">
              <w:rPr>
                <w:rFonts w:cs="Times New Roman"/>
                <w:sz w:val="18"/>
                <w:szCs w:val="18"/>
              </w:rPr>
              <w:t>»</w:t>
            </w:r>
            <w:r w:rsidRPr="006269AA">
              <w:rPr>
                <w:rFonts w:cs="Times New Roman"/>
                <w:sz w:val="18"/>
                <w:szCs w:val="18"/>
              </w:rPr>
              <w:t xml:space="preserve"> или </w:t>
            </w:r>
            <w:r w:rsidR="00066CC3">
              <w:rPr>
                <w:rFonts w:cs="Times New Roman"/>
                <w:sz w:val="18"/>
                <w:szCs w:val="18"/>
              </w:rPr>
              <w:t>«</w:t>
            </w:r>
            <w:r w:rsidRPr="006269AA">
              <w:rPr>
                <w:rFonts w:cs="Times New Roman"/>
                <w:sz w:val="18"/>
                <w:szCs w:val="18"/>
              </w:rPr>
              <w:t>Комиссии</w:t>
            </w:r>
            <w:r w:rsidR="00066CC3">
              <w:rPr>
                <w:rFonts w:cs="Times New Roman"/>
                <w:sz w:val="18"/>
                <w:szCs w:val="18"/>
              </w:rPr>
              <w:t>»</w:t>
            </w:r>
            <w:r w:rsidRPr="006269AA">
              <w:rPr>
                <w:rFonts w:cs="Times New Roman"/>
                <w:sz w:val="18"/>
                <w:szCs w:val="18"/>
              </w:rPr>
              <w:t>) специализированные учреждения, межправительственные организации и неправительственные организации, которым Экономическим и Социальным Советом предоставлен консультативный статус, могут участвовать на консультативных началах в обсуждении в Комитете любого вопроса, представляющего интерес для таких учреждений или организаций.</w:t>
            </w:r>
          </w:p>
          <w:p w14:paraId="0841EA35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e)</w:t>
            </w:r>
            <w:r w:rsidRPr="006269AA">
              <w:rPr>
                <w:rFonts w:cs="Times New Roman"/>
                <w:sz w:val="18"/>
                <w:szCs w:val="18"/>
              </w:rPr>
              <w:tab/>
              <w:t>Неправительственные организации, которым Экономическим и Социальным Советом ООН не предоставлен консультативный статус, при условии одобрения Комитетом и соблюдения принципов, изложенных в частях I и II резолюции 1996/31 Экономического и Социального Совета, могут участвовать на консультативных началах в обсуждении Комитетом любого вопроса, представляющего интерес для таких организаций.</w:t>
            </w:r>
          </w:p>
          <w:p w14:paraId="63C29652" w14:textId="77777777" w:rsidR="003F73FC" w:rsidRPr="006269AA" w:rsidRDefault="003F73FC" w:rsidP="00126030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f)</w:t>
            </w:r>
            <w:r w:rsidRPr="006269AA">
              <w:rPr>
                <w:rFonts w:cs="Times New Roman"/>
                <w:sz w:val="18"/>
                <w:szCs w:val="18"/>
              </w:rPr>
              <w:tab/>
              <w:t>Консультации со специализированными учреждениями и Международным агентством по атомной энергии (МАГАТЭ) проводятся в соответствии с правилом 51 Правил процедуры ЕЭК.</w:t>
            </w:r>
          </w:p>
          <w:p w14:paraId="3B0DA1EE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lastRenderedPageBreak/>
              <w:t>g)</w:t>
            </w:r>
            <w:r w:rsidRPr="006269AA">
              <w:rPr>
                <w:rFonts w:cs="Times New Roman"/>
                <w:sz w:val="18"/>
                <w:szCs w:val="18"/>
              </w:rPr>
              <w:tab/>
              <w:t>Консультации с неправительственными организациями проводятся в соответствии с правилами 52 и 53 Правил процедуры ЕЭК. Неправительственные организации, которым консультативный статус предоставлен в соответствии с пунктом d), приравниваются к неправительственным организациям, включенным в перечень.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1509EEA5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lastRenderedPageBreak/>
              <w:t>Правило 1</w:t>
            </w:r>
          </w:p>
          <w:p w14:paraId="3914F8D9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a)</w:t>
            </w:r>
            <w:r w:rsidRPr="006269AA">
              <w:rPr>
                <w:rFonts w:cs="Times New Roman"/>
                <w:sz w:val="18"/>
                <w:szCs w:val="18"/>
              </w:rPr>
              <w:tab/>
              <w:t xml:space="preserve">Полноправными участниками WP.11 считаются </w:t>
            </w:r>
            <w:proofErr w:type="gramStart"/>
            <w:r w:rsidRPr="006269AA">
              <w:rPr>
                <w:rFonts w:cs="Times New Roman"/>
                <w:sz w:val="18"/>
                <w:szCs w:val="18"/>
              </w:rPr>
              <w:t>страны ⸺ члены</w:t>
            </w:r>
            <w:proofErr w:type="gramEnd"/>
            <w:r w:rsidRPr="006269AA">
              <w:rPr>
                <w:rFonts w:cs="Times New Roman"/>
                <w:sz w:val="18"/>
                <w:szCs w:val="18"/>
              </w:rPr>
              <w:t xml:space="preserve"> ЕЭК.</w:t>
            </w:r>
          </w:p>
          <w:p w14:paraId="749B6C8E" w14:textId="1AB401A1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b)</w:t>
            </w:r>
            <w:r w:rsidRPr="006269AA">
              <w:rPr>
                <w:rFonts w:cs="Times New Roman"/>
                <w:sz w:val="18"/>
                <w:szCs w:val="18"/>
              </w:rPr>
              <w:tab/>
              <w:t>Страны, не являющиеся членами ЕЭК, о которых говорится в пункте 11 Положения о круге ведения ЕЭК, могут участвовать на консультативных началах в</w:t>
            </w:r>
            <w:r w:rsidR="00066CC3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рассмотрении WP.11 любого вопроса, представляющего особый интерес для этих стран. Однако эти страны могут на полноправных началах участвовать в работе сессий WP.11, если они являются Договаривающимися сторонами СПС.</w:t>
            </w:r>
          </w:p>
          <w:p w14:paraId="09A0679E" w14:textId="332F0493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c)</w:t>
            </w:r>
            <w:r w:rsidRPr="006269AA">
              <w:rPr>
                <w:rFonts w:cs="Times New Roman"/>
                <w:sz w:val="18"/>
                <w:szCs w:val="18"/>
              </w:rPr>
              <w:tab/>
              <w:t>В соответствии с пунктами 12 и 13 Положения о круге ведения ЕЭК специализированные учреждения, межправительственные организации и неправительственные организации, которым Экономическим и Социальным Советом предоставлен консультативный статус в WP.11, могут участвовать на</w:t>
            </w:r>
            <w:r w:rsidR="00066CC3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консультативных началах в обсуждении в WP.11 любого вопроса, представляющего интерес для таких учреждений или организаций.</w:t>
            </w:r>
          </w:p>
          <w:p w14:paraId="69B3DEC1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d)</w:t>
            </w:r>
            <w:r w:rsidRPr="006269AA">
              <w:rPr>
                <w:rFonts w:cs="Times New Roman"/>
                <w:sz w:val="18"/>
                <w:szCs w:val="18"/>
              </w:rPr>
              <w:tab/>
              <w:t>Неправительственные организации, которым Экономическим и Социальным Советом ООН не предоставлен консультативный статус, при условии одобрения WP.11 и соблюдения принципов, изложенных в частях I и II резолюции 1996/31 Экономического и Социального Совета, могут участвовать на консультативных началах в обсуждении WP.11 любого вопроса, представляющего интерес для таких организаций.</w:t>
            </w:r>
          </w:p>
          <w:p w14:paraId="34758175" w14:textId="2B92810D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e)</w:t>
            </w:r>
            <w:r w:rsidRPr="006269AA">
              <w:rPr>
                <w:rFonts w:cs="Times New Roman"/>
                <w:sz w:val="18"/>
                <w:szCs w:val="18"/>
              </w:rPr>
              <w:tab/>
              <w:t>Консультации со специализированными учреждениями проводятся в соответствии с правилом</w:t>
            </w:r>
            <w:r w:rsidR="00066CC3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51 Правил процедуры ЕЭК.</w:t>
            </w:r>
          </w:p>
          <w:p w14:paraId="1AF43C33" w14:textId="02CA59CC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f)</w:t>
            </w:r>
            <w:r w:rsidRPr="006269AA">
              <w:rPr>
                <w:rFonts w:cs="Times New Roman"/>
                <w:sz w:val="18"/>
                <w:szCs w:val="18"/>
              </w:rPr>
              <w:tab/>
              <w:t>Консультации с неправительственными организациями проводятся в соответствии с правилами</w:t>
            </w:r>
            <w:r w:rsidR="00066CC3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52 и 53 Правил процедуры ЕЭК. Неправительственные организации, которым предоставлен консультативный статус на основании</w:t>
            </w:r>
            <w:r w:rsidR="00066CC3">
              <w:rPr>
                <w:rFonts w:cs="Times New Roman"/>
                <w:sz w:val="18"/>
                <w:szCs w:val="18"/>
              </w:rPr>
              <w:t xml:space="preserve"> </w:t>
            </w:r>
            <w:r w:rsidRPr="006269AA">
              <w:rPr>
                <w:rFonts w:cs="Times New Roman"/>
                <w:sz w:val="18"/>
                <w:szCs w:val="18"/>
              </w:rPr>
              <w:lastRenderedPageBreak/>
              <w:t>пункта d), приравниваются к неправительственным организациям, включенным в перечень.</w:t>
            </w:r>
          </w:p>
        </w:tc>
        <w:tc>
          <w:tcPr>
            <w:tcW w:w="3002" w:type="dxa"/>
            <w:shd w:val="clear" w:color="auto" w:fill="auto"/>
            <w:tcMar>
              <w:left w:w="57" w:type="dxa"/>
              <w:right w:w="57" w:type="dxa"/>
            </w:tcMar>
          </w:tcPr>
          <w:p w14:paraId="26B62A13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  <w:u w:val="single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lastRenderedPageBreak/>
              <w:t>Правило 34, упомянутое в документе ECE/TRANS/WP.11/229, гласит, что каждый полноправный участник WP.11 имеет один голос,</w:t>
            </w:r>
            <w:r w:rsidRPr="00066CC3">
              <w:rPr>
                <w:rFonts w:cs="Times New Roman"/>
                <w:i/>
                <w:iCs/>
                <w:sz w:val="18"/>
                <w:szCs w:val="18"/>
                <w:u w:val="single"/>
              </w:rPr>
              <w:t xml:space="preserve"> однако только Договаривающиеся стороны СПС могут голосовать по поправкам к СПС или к Справочнику СПС</w:t>
            </w:r>
            <w:r w:rsidRPr="006269AA">
              <w:rPr>
                <w:rFonts w:cs="Times New Roman"/>
                <w:sz w:val="18"/>
                <w:szCs w:val="18"/>
              </w:rPr>
              <w:t>.</w:t>
            </w:r>
          </w:p>
          <w:p w14:paraId="3578E190" w14:textId="74E19EE0" w:rsidR="003F73FC" w:rsidRPr="00066CC3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>Все Стороны СПС могут участвовать в работе WP.11 в качестве полноправных членов с правом голоса, включая страны, не</w:t>
            </w:r>
            <w:r w:rsidR="00066CC3">
              <w:rPr>
                <w:rFonts w:cs="Times New Roman"/>
                <w:i/>
                <w:iCs/>
                <w:sz w:val="18"/>
                <w:szCs w:val="18"/>
              </w:rPr>
              <w:t> </w:t>
            </w:r>
            <w:r w:rsidRPr="00066CC3">
              <w:rPr>
                <w:rFonts w:cs="Times New Roman"/>
                <w:i/>
                <w:iCs/>
                <w:sz w:val="18"/>
                <w:szCs w:val="18"/>
              </w:rPr>
              <w:t>являющиеся членами ЕЭК ООН, которые являются Сторонами СПС; те страны, которые не являются Сторонами, могут также участвовать, но в качестве наблюдателей, т.</w:t>
            </w:r>
            <w:r w:rsidR="006355DF">
              <w:rPr>
                <w:rFonts w:cs="Times New Roman"/>
                <w:i/>
                <w:iCs/>
                <w:sz w:val="18"/>
                <w:szCs w:val="18"/>
              </w:rPr>
              <w:t> </w:t>
            </w:r>
            <w:r w:rsidRPr="00066CC3">
              <w:rPr>
                <w:rFonts w:cs="Times New Roman"/>
                <w:i/>
                <w:iCs/>
                <w:sz w:val="18"/>
                <w:szCs w:val="18"/>
              </w:rPr>
              <w:t>е. без права голоса.</w:t>
            </w:r>
          </w:p>
          <w:p w14:paraId="79720FCD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 xml:space="preserve">Пункт с) правил процедуры КВТ позволяет государствам, не являющимся членами Организации Объединенных Наций, участвовать в сессиях КВТ в консультативном качестве. Страны, которые не являются ни </w:t>
            </w:r>
            <w:proofErr w:type="gramStart"/>
            <w:r w:rsidRPr="00066CC3">
              <w:rPr>
                <w:rFonts w:cs="Times New Roman"/>
                <w:i/>
                <w:iCs/>
                <w:sz w:val="18"/>
                <w:szCs w:val="18"/>
              </w:rPr>
              <w:t>государствами ⸺ членами</w:t>
            </w:r>
            <w:proofErr w:type="gramEnd"/>
            <w:r w:rsidRPr="00066CC3">
              <w:rPr>
                <w:rFonts w:cs="Times New Roman"/>
                <w:i/>
                <w:iCs/>
                <w:sz w:val="18"/>
                <w:szCs w:val="18"/>
              </w:rPr>
              <w:t xml:space="preserve"> Организации Объединенных Наций, ни Договаривающимися сторонами СПС, не имеют права участвовать в совещаниях WP.11.</w:t>
            </w:r>
          </w:p>
        </w:tc>
      </w:tr>
      <w:tr w:rsidR="003F73FC" w:rsidRPr="006269AA" w14:paraId="70F86F1D" w14:textId="77777777" w:rsidTr="006269AA"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14:paraId="35083F7B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Представительство</w:t>
            </w:r>
          </w:p>
        </w:tc>
        <w:tc>
          <w:tcPr>
            <w:tcW w:w="4491" w:type="dxa"/>
            <w:shd w:val="clear" w:color="auto" w:fill="auto"/>
            <w:tcMar>
              <w:left w:w="57" w:type="dxa"/>
              <w:right w:w="57" w:type="dxa"/>
            </w:tcMar>
          </w:tcPr>
          <w:p w14:paraId="1878113A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9</w:t>
            </w:r>
          </w:p>
          <w:p w14:paraId="513992BF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Каждый полноправный член, определение которого приводится в правиле 1, представлен в Комитете аккредитованным представителем.</w:t>
            </w:r>
          </w:p>
          <w:p w14:paraId="28BF7777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10</w:t>
            </w:r>
          </w:p>
          <w:p w14:paraId="5456CE0C" w14:textId="1D0B5E5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Представителя на сессии Комитета могут сопровождать заместители представителя, советники и</w:t>
            </w:r>
            <w:r w:rsidR="006355DF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эксперты, и в отсутствие представителя его или ее может заменять заместитель представителя.</w:t>
            </w:r>
          </w:p>
          <w:p w14:paraId="212B7695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11</w:t>
            </w:r>
          </w:p>
          <w:p w14:paraId="1B70EBE7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a)</w:t>
            </w:r>
            <w:r w:rsidRPr="006269AA">
              <w:rPr>
                <w:rFonts w:cs="Times New Roman"/>
                <w:sz w:val="18"/>
                <w:szCs w:val="18"/>
              </w:rPr>
              <w:tab/>
              <w:t>Каждый полноправный член представляет секретариату фамилии представителя, заместителей представителя и экспертов не позднее чем за одну неделю до открытия сессии.</w:t>
            </w:r>
          </w:p>
          <w:p w14:paraId="5616B21E" w14:textId="1C796F65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b)</w:t>
            </w:r>
            <w:r w:rsidRPr="006269AA">
              <w:rPr>
                <w:rFonts w:cs="Times New Roman"/>
                <w:sz w:val="18"/>
                <w:szCs w:val="18"/>
              </w:rPr>
              <w:tab/>
              <w:t>Секретариат составляет предварительный список вышеупомянутых лиц, планирующих принять участие в работе сессии, и предоставляет его в распоряжение постоянных представительств и постоянных миссий наблюдателей при Отделении Организации Объединенных Наций в Женеве за два рабочих дня до</w:t>
            </w:r>
            <w:r w:rsidR="006355DF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открытия сессии.</w:t>
            </w:r>
          </w:p>
          <w:p w14:paraId="3FBC0164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c)</w:t>
            </w:r>
            <w:r w:rsidRPr="006269AA">
              <w:rPr>
                <w:rFonts w:cs="Times New Roman"/>
                <w:sz w:val="18"/>
                <w:szCs w:val="18"/>
              </w:rPr>
              <w:tab/>
              <w:t>Секретариат составляет поименный список всех лиц, участвовавших в работе сессии, и предоставляет его в их распоряжение в конце сессии.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2A8E20A9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9</w:t>
            </w:r>
          </w:p>
          <w:p w14:paraId="2987CA3D" w14:textId="1127D25C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Представительство участников, определение которых приводится в правиле 1 выше, на сессиях WP.11 осуществляется аккредитованным представителем.</w:t>
            </w:r>
          </w:p>
          <w:p w14:paraId="59664DA4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10</w:t>
            </w:r>
          </w:p>
          <w:p w14:paraId="44BD715B" w14:textId="643AC0CF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При представителе могут состоять заместители, советники и/или эксперты.</w:t>
            </w:r>
            <w:r w:rsidR="00066CC3">
              <w:rPr>
                <w:rFonts w:cs="Times New Roman"/>
                <w:sz w:val="18"/>
                <w:szCs w:val="18"/>
              </w:rPr>
              <w:t xml:space="preserve"> </w:t>
            </w:r>
            <w:r w:rsidRPr="006269AA">
              <w:rPr>
                <w:rFonts w:cs="Times New Roman"/>
                <w:sz w:val="18"/>
                <w:szCs w:val="18"/>
              </w:rPr>
              <w:t>В отсутствие представителя его может заменять заместитель.</w:t>
            </w:r>
          </w:p>
          <w:p w14:paraId="32B295AA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11</w:t>
            </w:r>
          </w:p>
          <w:p w14:paraId="082459ED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a)</w:t>
            </w:r>
            <w:r w:rsidRPr="006269AA">
              <w:rPr>
                <w:rFonts w:cs="Times New Roman"/>
                <w:sz w:val="18"/>
                <w:szCs w:val="18"/>
              </w:rPr>
              <w:tab/>
              <w:t>Фамилии представителей, заместителей представителей, советников и экспертов должны сообщаться в секретариат ЕЭК не позднее чем за одну неделю до открытия сессии.</w:t>
            </w:r>
          </w:p>
          <w:p w14:paraId="759A914A" w14:textId="69AAB95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b)</w:t>
            </w:r>
            <w:r w:rsidRPr="006269AA">
              <w:rPr>
                <w:rFonts w:cs="Times New Roman"/>
                <w:sz w:val="18"/>
                <w:szCs w:val="18"/>
              </w:rPr>
              <w:tab/>
              <w:t>Предварительный список лиц, участвующих в</w:t>
            </w:r>
            <w:r w:rsidR="00126030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работе сессии, составляется секретариатом и предоставляется в распоряжение постоянных представительств стран-участников при Отделении Организации Объединенных Наций в Женеве за два рабочих дня до открытия сессии.</w:t>
            </w:r>
            <w:r w:rsidRPr="006269AA">
              <w:rPr>
                <w:rFonts w:cs="Times New Roman"/>
                <w:b/>
                <w:bCs/>
                <w:sz w:val="18"/>
                <w:szCs w:val="18"/>
              </w:rPr>
              <w:t xml:space="preserve"> При отсутствии возражений, сформулированных соответствующим постоянным представительством до открытия сессии, лица, включенные в этот список, считаются должным образом аккредитованными</w:t>
            </w:r>
            <w:r w:rsidRPr="006355DF">
              <w:rPr>
                <w:sz w:val="18"/>
                <w:szCs w:val="18"/>
              </w:rPr>
              <w:t xml:space="preserve">. </w:t>
            </w:r>
          </w:p>
          <w:p w14:paraId="45C4CCED" w14:textId="7A9173D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c)</w:t>
            </w:r>
            <w:r w:rsidRPr="006269AA">
              <w:rPr>
                <w:rFonts w:cs="Times New Roman"/>
                <w:sz w:val="18"/>
                <w:szCs w:val="18"/>
              </w:rPr>
              <w:tab/>
              <w:t>Поименный список всех лиц, участвовавших в</w:t>
            </w:r>
            <w:r w:rsidR="006355DF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работе сессии, составляется секретариатом и предоставляется в их распоряжение в конце сессии.</w:t>
            </w:r>
          </w:p>
        </w:tc>
        <w:tc>
          <w:tcPr>
            <w:tcW w:w="3002" w:type="dxa"/>
            <w:shd w:val="clear" w:color="auto" w:fill="auto"/>
            <w:tcMar>
              <w:left w:w="57" w:type="dxa"/>
              <w:right w:w="57" w:type="dxa"/>
            </w:tcMar>
          </w:tcPr>
          <w:p w14:paraId="29F6827B" w14:textId="77777777" w:rsidR="003F73FC" w:rsidRPr="00066CC3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>Различия выделены жирным шрифтом.</w:t>
            </w:r>
          </w:p>
        </w:tc>
      </w:tr>
      <w:tr w:rsidR="003F73FC" w:rsidRPr="006269AA" w14:paraId="12F1EA7B" w14:textId="77777777" w:rsidTr="006269AA"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14:paraId="05CBA1DA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lastRenderedPageBreak/>
              <w:t>Кворум и голосование</w:t>
            </w:r>
          </w:p>
        </w:tc>
        <w:tc>
          <w:tcPr>
            <w:tcW w:w="4491" w:type="dxa"/>
            <w:shd w:val="clear" w:color="auto" w:fill="auto"/>
            <w:tcMar>
              <w:left w:w="57" w:type="dxa"/>
              <w:right w:w="57" w:type="dxa"/>
            </w:tcMar>
          </w:tcPr>
          <w:p w14:paraId="700CD47A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25</w:t>
            </w:r>
          </w:p>
          <w:p w14:paraId="37403393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Председатель может объявить заседание открытым и разрешить проведение прений, если присутствует не менее одной трети членов Комитета. Для принятия любого решения требуется присутствие одной трети государств — членов ЕЭК.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35074D91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tcMar>
              <w:left w:w="57" w:type="dxa"/>
              <w:right w:w="57" w:type="dxa"/>
            </w:tcMar>
          </w:tcPr>
          <w:p w14:paraId="7437923C" w14:textId="77777777" w:rsidR="003F73FC" w:rsidRPr="00066CC3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>WP.11 не имеет кворума для открытия сессии или для принятия решения.</w:t>
            </w:r>
          </w:p>
        </w:tc>
      </w:tr>
      <w:tr w:rsidR="003F73FC" w:rsidRPr="006269AA" w14:paraId="5CBFAD5A" w14:textId="77777777" w:rsidTr="006269AA"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14:paraId="65BD2CB3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Способ голосования</w:t>
            </w:r>
          </w:p>
        </w:tc>
        <w:tc>
          <w:tcPr>
            <w:tcW w:w="4491" w:type="dxa"/>
            <w:shd w:val="clear" w:color="auto" w:fill="auto"/>
            <w:tcMar>
              <w:left w:w="57" w:type="dxa"/>
              <w:right w:w="57" w:type="dxa"/>
            </w:tcMar>
          </w:tcPr>
          <w:p w14:paraId="2568BBD3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38</w:t>
            </w:r>
          </w:p>
          <w:p w14:paraId="3DFA5D9A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a)</w:t>
            </w:r>
            <w:r w:rsidRPr="006269AA">
              <w:rPr>
                <w:rFonts w:cs="Times New Roman"/>
                <w:sz w:val="18"/>
                <w:szCs w:val="18"/>
              </w:rPr>
              <w:tab/>
              <w:t>Голосование в Комитете может проводиться поднятием рук. Если какой-либо представитель требует проведения поименного голосования, то оно проводится путем поименной переклички названий полноправных членов в английском алфавитном порядке.</w:t>
            </w:r>
          </w:p>
          <w:p w14:paraId="48E5AF84" w14:textId="1BBC8DC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b)</w:t>
            </w:r>
            <w:r w:rsidRPr="006269AA">
              <w:rPr>
                <w:rFonts w:cs="Times New Roman"/>
                <w:sz w:val="18"/>
                <w:szCs w:val="18"/>
              </w:rPr>
              <w:tab/>
              <w:t>Когда голосование в Комитете проводится с помощью механического оборудования, голосование поднятием рук заменяется голосованием, не заносимым в отчет о заседании, а поименное голосование заменяется голосованием, заносимым в</w:t>
            </w:r>
            <w:r w:rsidR="006355DF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отчет о заседании. Любой представитель может потребовать проведения заносимого в отчет о заседании голосования. Если проводится голосование, заносимое в отчет о заседании, то Комитет, если от какого-либо из представителей не поступит иного требования, не прибегает к порядку поименного вызова полноправных членов.</w:t>
            </w:r>
          </w:p>
          <w:p w14:paraId="2E8B3B3D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c)</w:t>
            </w:r>
            <w:r w:rsidRPr="006269AA">
              <w:rPr>
                <w:rFonts w:cs="Times New Roman"/>
                <w:sz w:val="18"/>
                <w:szCs w:val="18"/>
              </w:rPr>
              <w:tab/>
              <w:t>При поименном или заносимом в отчет о заседании голосовании в отчете о заседании отмечается, как голосует каждый полноправный член, участвующий в голосовании.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2E6C564C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35</w:t>
            </w:r>
          </w:p>
          <w:p w14:paraId="0D3771DC" w14:textId="0A74249F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 xml:space="preserve">Решения, касающиеся СПС, принимаются в результате единодушного голосования </w:t>
            </w:r>
            <w:r w:rsidR="00066CC3">
              <w:rPr>
                <w:rFonts w:cs="Times New Roman"/>
                <w:sz w:val="18"/>
                <w:szCs w:val="18"/>
              </w:rPr>
              <w:t>«</w:t>
            </w:r>
            <w:r w:rsidRPr="006269AA">
              <w:rPr>
                <w:rFonts w:cs="Times New Roman"/>
                <w:sz w:val="18"/>
                <w:szCs w:val="18"/>
              </w:rPr>
              <w:t>за</w:t>
            </w:r>
            <w:r w:rsidR="00066CC3">
              <w:rPr>
                <w:rFonts w:cs="Times New Roman"/>
                <w:sz w:val="18"/>
                <w:szCs w:val="18"/>
              </w:rPr>
              <w:t>»</w:t>
            </w:r>
            <w:r w:rsidRPr="006269AA">
              <w:rPr>
                <w:rFonts w:cs="Times New Roman"/>
                <w:sz w:val="18"/>
                <w:szCs w:val="18"/>
              </w:rPr>
              <w:t xml:space="preserve">. Решения, касающиеся Справочника СПС, принимаются большинством голосов </w:t>
            </w:r>
            <w:r w:rsidR="00066CC3">
              <w:rPr>
                <w:rFonts w:cs="Times New Roman"/>
                <w:sz w:val="18"/>
                <w:szCs w:val="18"/>
              </w:rPr>
              <w:t>«</w:t>
            </w:r>
            <w:r w:rsidRPr="006269AA">
              <w:rPr>
                <w:rFonts w:cs="Times New Roman"/>
                <w:sz w:val="18"/>
                <w:szCs w:val="18"/>
              </w:rPr>
              <w:t>за</w:t>
            </w:r>
            <w:r w:rsidR="00066CC3">
              <w:rPr>
                <w:rFonts w:cs="Times New Roman"/>
                <w:sz w:val="18"/>
                <w:szCs w:val="18"/>
              </w:rPr>
              <w:t>»</w:t>
            </w:r>
            <w:r w:rsidRPr="006269AA">
              <w:rPr>
                <w:rFonts w:cs="Times New Roman"/>
                <w:sz w:val="18"/>
                <w:szCs w:val="18"/>
              </w:rPr>
              <w:t xml:space="preserve"> при условии, что </w:t>
            </w:r>
            <w:r w:rsidR="00066CC3">
              <w:rPr>
                <w:rFonts w:cs="Times New Roman"/>
                <w:sz w:val="18"/>
                <w:szCs w:val="18"/>
              </w:rPr>
              <w:t>«</w:t>
            </w:r>
            <w:r w:rsidRPr="006269AA">
              <w:rPr>
                <w:rFonts w:cs="Times New Roman"/>
                <w:sz w:val="18"/>
                <w:szCs w:val="18"/>
              </w:rPr>
              <w:t>против</w:t>
            </w:r>
            <w:r w:rsidR="00066CC3">
              <w:rPr>
                <w:rFonts w:cs="Times New Roman"/>
                <w:sz w:val="18"/>
                <w:szCs w:val="18"/>
              </w:rPr>
              <w:t>»</w:t>
            </w:r>
            <w:r w:rsidRPr="006269AA">
              <w:rPr>
                <w:rFonts w:cs="Times New Roman"/>
                <w:sz w:val="18"/>
                <w:szCs w:val="18"/>
              </w:rPr>
              <w:t xml:space="preserve"> этого предложения подается не более трех голосов. Все другие решения принимаются главным образом консенсусом, однако при отсутствии консенсуса решения принимаются большинством голосов присутствующих и участвующих в голосовании полноправных участников.</w:t>
            </w:r>
          </w:p>
          <w:p w14:paraId="2317CD01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36</w:t>
            </w:r>
          </w:p>
          <w:p w14:paraId="63206F29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Голосование WP.11 обычно проводится поднятием руки. Если какой-либо представитель требует поименного голосования, то оно проводится в английском алфавитном порядке названий участников.</w:t>
            </w:r>
          </w:p>
        </w:tc>
        <w:tc>
          <w:tcPr>
            <w:tcW w:w="3002" w:type="dxa"/>
            <w:shd w:val="clear" w:color="auto" w:fill="auto"/>
            <w:tcMar>
              <w:left w:w="57" w:type="dxa"/>
              <w:right w:w="57" w:type="dxa"/>
            </w:tcMar>
          </w:tcPr>
          <w:p w14:paraId="6E5562E4" w14:textId="77777777" w:rsidR="003F73FC" w:rsidRPr="00066CC3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>Правила процедуры Рабочей группы можно было бы обновить, включив в них более подробную информацию о порядке проведения и регистрации результатов поименного голосования и предусмотрев возможность проведения голосования с помощью механического оборудования.</w:t>
            </w:r>
          </w:p>
        </w:tc>
      </w:tr>
      <w:tr w:rsidR="003F73FC" w:rsidRPr="006269AA" w14:paraId="2294D820" w14:textId="77777777" w:rsidTr="006269AA"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14:paraId="406A3E85" w14:textId="77777777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Разделение голосов поровну</w:t>
            </w:r>
          </w:p>
        </w:tc>
        <w:tc>
          <w:tcPr>
            <w:tcW w:w="4491" w:type="dxa"/>
            <w:shd w:val="clear" w:color="auto" w:fill="auto"/>
            <w:tcMar>
              <w:left w:w="57" w:type="dxa"/>
              <w:right w:w="57" w:type="dxa"/>
            </w:tcMar>
          </w:tcPr>
          <w:p w14:paraId="46ED5293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40</w:t>
            </w:r>
          </w:p>
          <w:p w14:paraId="1985BE93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Если по какому-либо вопросу, кроме выборов, голоса разделяются поровну, то проводится повторное голосование. Если и при повторном голосовании голоса разделяются поровну, то считается, что предложение отклонено.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3AECD9D4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tcMar>
              <w:left w:w="57" w:type="dxa"/>
              <w:right w:w="57" w:type="dxa"/>
            </w:tcMar>
          </w:tcPr>
          <w:p w14:paraId="2B6D7E59" w14:textId="7816B662" w:rsidR="003F73FC" w:rsidRPr="00066CC3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>В правилах процедуры WP.11 не</w:t>
            </w:r>
            <w:r w:rsidR="006355DF">
              <w:rPr>
                <w:rFonts w:cs="Times New Roman"/>
                <w:i/>
                <w:iCs/>
                <w:sz w:val="18"/>
                <w:szCs w:val="18"/>
              </w:rPr>
              <w:t> </w:t>
            </w:r>
            <w:r w:rsidRPr="00066CC3">
              <w:rPr>
                <w:rFonts w:cs="Times New Roman"/>
                <w:i/>
                <w:iCs/>
                <w:sz w:val="18"/>
                <w:szCs w:val="18"/>
              </w:rPr>
              <w:t>предусмотрено правил, касающихся разделения голосов поровну по другим вопросам, помимо выборов.</w:t>
            </w:r>
          </w:p>
        </w:tc>
      </w:tr>
      <w:tr w:rsidR="006269AA" w:rsidRPr="006269AA" w14:paraId="1A4BE2A6" w14:textId="77777777" w:rsidTr="006269AA">
        <w:tc>
          <w:tcPr>
            <w:tcW w:w="174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341B84" w14:textId="64597858" w:rsidR="003F73FC" w:rsidRPr="006269AA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lastRenderedPageBreak/>
              <w:t>Голосование по предложениям и</w:t>
            </w:r>
            <w:r w:rsidR="006355DF">
              <w:rPr>
                <w:rFonts w:cs="Times New Roman"/>
                <w:sz w:val="18"/>
                <w:szCs w:val="18"/>
              </w:rPr>
              <w:t> </w:t>
            </w:r>
            <w:r w:rsidRPr="006269AA">
              <w:rPr>
                <w:rFonts w:cs="Times New Roman"/>
                <w:sz w:val="18"/>
                <w:szCs w:val="18"/>
              </w:rPr>
              <w:t>резолюциям</w:t>
            </w:r>
          </w:p>
        </w:tc>
        <w:tc>
          <w:tcPr>
            <w:tcW w:w="449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107344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31</w:t>
            </w:r>
          </w:p>
          <w:p w14:paraId="2F22C927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Основные предложения и резолюции ставятся на голосование в порядке их представления, если Комитет не примет иного решения.</w:t>
            </w:r>
          </w:p>
          <w:p w14:paraId="648BA1A7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32</w:t>
            </w:r>
          </w:p>
          <w:p w14:paraId="5BC55E41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Если поправка изменяет содержание предложения, дополняет его или исключает из него что-либо, она ставится на голосование первой, и, если поправка принимается, измененное предложение ставится на голосование целиком.</w:t>
            </w:r>
          </w:p>
          <w:p w14:paraId="3DBDD49B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33</w:t>
            </w:r>
          </w:p>
          <w:p w14:paraId="369214DA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 xml:space="preserve">Если в какое-либо предложение предлагается внести две или более поправок, то Комитет сначала ставит на голосование поправку, более всего </w:t>
            </w:r>
            <w:proofErr w:type="gramStart"/>
            <w:r w:rsidRPr="006269AA">
              <w:rPr>
                <w:rFonts w:cs="Times New Roman"/>
                <w:sz w:val="18"/>
                <w:szCs w:val="18"/>
              </w:rPr>
              <w:t>расходящуюся по существу</w:t>
            </w:r>
            <w:proofErr w:type="gramEnd"/>
            <w:r w:rsidRPr="006269AA">
              <w:rPr>
                <w:rFonts w:cs="Times New Roman"/>
                <w:sz w:val="18"/>
                <w:szCs w:val="18"/>
              </w:rPr>
              <w:t xml:space="preserve"> с первоначальным предложением, а затем по мере необходимости поправку, следующую по степени расхождения, и т. д., пока не будут поставлены на голосование все поправки.</w:t>
            </w:r>
          </w:p>
          <w:p w14:paraId="1D36C12B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34</w:t>
            </w:r>
          </w:p>
          <w:p w14:paraId="589D5D85" w14:textId="77777777" w:rsidR="003F73FC" w:rsidRPr="006269AA" w:rsidRDefault="003F73FC" w:rsidP="00066CC3">
            <w:pPr>
              <w:tabs>
                <w:tab w:val="left" w:pos="349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Комитет может по требованию любого из представителей принять решение поставить предложение или резолюцию на голосование по частям. В этом случае текст, получившийся в результате последовательных голосований, ставится на голосование в целом.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99B6C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29</w:t>
            </w:r>
          </w:p>
          <w:p w14:paraId="796C4B7B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Основные предложения и резолюции ставятся на голосование в порядке их представления, если WP.11 не примет по этому поводу иного решения.</w:t>
            </w:r>
          </w:p>
          <w:p w14:paraId="4A98B84D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30</w:t>
            </w:r>
          </w:p>
          <w:p w14:paraId="5FE33D4F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Если поправка изменяет содержание предложения, вносит добавление к нему или исключает что-нибудь из него, она голосуется первой, и, если поправка принята, все предложение голосуется в исправленной редакции.</w:t>
            </w:r>
          </w:p>
          <w:p w14:paraId="2BB3E9A6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31</w:t>
            </w:r>
          </w:p>
          <w:p w14:paraId="30175900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 xml:space="preserve">Если внесены две или несколько поправок к предложению, WP.11 голосует сначала поправку, более всего </w:t>
            </w:r>
            <w:proofErr w:type="gramStart"/>
            <w:r w:rsidRPr="006269AA">
              <w:rPr>
                <w:rFonts w:cs="Times New Roman"/>
                <w:sz w:val="18"/>
                <w:szCs w:val="18"/>
              </w:rPr>
              <w:t>расходящуюся по существу</w:t>
            </w:r>
            <w:proofErr w:type="gramEnd"/>
            <w:r w:rsidRPr="006269AA">
              <w:rPr>
                <w:rFonts w:cs="Times New Roman"/>
                <w:sz w:val="18"/>
                <w:szCs w:val="18"/>
              </w:rPr>
              <w:t xml:space="preserve"> с первоначальным предложением, затем поправку, следующую по объему расхождения, и т.д., пока не будут поставлены на голосование все поправки.</w:t>
            </w:r>
          </w:p>
          <w:p w14:paraId="0ABE2AB9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6269AA">
              <w:rPr>
                <w:rFonts w:cs="Times New Roman"/>
                <w:b/>
                <w:bCs/>
                <w:sz w:val="18"/>
                <w:szCs w:val="18"/>
              </w:rPr>
              <w:t>Правило 32</w:t>
            </w:r>
          </w:p>
          <w:p w14:paraId="3C79A6E4" w14:textId="77777777" w:rsidR="003F73FC" w:rsidRPr="006269AA" w:rsidRDefault="003F73FC" w:rsidP="00066CC3">
            <w:pPr>
              <w:tabs>
                <w:tab w:val="left" w:pos="371"/>
              </w:tabs>
              <w:spacing w:before="40" w:after="120" w:line="220" w:lineRule="atLeast"/>
              <w:ind w:right="113"/>
              <w:rPr>
                <w:rFonts w:cs="Times New Roman"/>
                <w:sz w:val="18"/>
                <w:szCs w:val="18"/>
              </w:rPr>
            </w:pPr>
            <w:r w:rsidRPr="006269AA">
              <w:rPr>
                <w:rFonts w:cs="Times New Roman"/>
                <w:sz w:val="18"/>
                <w:szCs w:val="18"/>
              </w:rPr>
              <w:t>WP.11 может, по требованию одного из представителей, решить поставить предложение или резолюцию на голосование по частям.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044EB3" w14:textId="318EEB35" w:rsidR="003F73FC" w:rsidRPr="00066CC3" w:rsidRDefault="003F73FC" w:rsidP="00066CC3">
            <w:pPr>
              <w:spacing w:before="40" w:after="120" w:line="220" w:lineRule="atLeas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066CC3">
              <w:rPr>
                <w:rFonts w:cs="Times New Roman"/>
                <w:i/>
                <w:iCs/>
                <w:sz w:val="18"/>
                <w:szCs w:val="18"/>
              </w:rPr>
              <w:t>Это относится к голосованию по</w:t>
            </w:r>
            <w:r w:rsidR="006355DF">
              <w:rPr>
                <w:rFonts w:cs="Times New Roman"/>
                <w:i/>
                <w:iCs/>
                <w:sz w:val="18"/>
                <w:szCs w:val="18"/>
              </w:rPr>
              <w:t> </w:t>
            </w:r>
            <w:r w:rsidRPr="00066CC3">
              <w:rPr>
                <w:rFonts w:cs="Times New Roman"/>
                <w:i/>
                <w:iCs/>
                <w:sz w:val="18"/>
                <w:szCs w:val="18"/>
              </w:rPr>
              <w:t>предложениям о внесении поправок. Те же правила применяются к КВТ и Рабочей группе.</w:t>
            </w:r>
          </w:p>
        </w:tc>
      </w:tr>
    </w:tbl>
    <w:p w14:paraId="4DF8C59A" w14:textId="220E0E91" w:rsidR="003F73FC" w:rsidRPr="006269AA" w:rsidRDefault="006269AA" w:rsidP="006269A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73FC" w:rsidRPr="006269AA" w:rsidSect="006269AA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7378" w14:textId="77777777" w:rsidR="005264C9" w:rsidRPr="00A312BC" w:rsidRDefault="005264C9" w:rsidP="00A312BC"/>
  </w:endnote>
  <w:endnote w:type="continuationSeparator" w:id="0">
    <w:p w14:paraId="17159717" w14:textId="77777777" w:rsidR="005264C9" w:rsidRPr="00A312BC" w:rsidRDefault="005264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CA5" w14:textId="281A0143" w:rsidR="003F73FC" w:rsidRPr="003F73FC" w:rsidRDefault="003F73FC">
    <w:pPr>
      <w:pStyle w:val="a8"/>
    </w:pPr>
    <w:r w:rsidRPr="003F73FC">
      <w:rPr>
        <w:b/>
        <w:sz w:val="18"/>
      </w:rPr>
      <w:fldChar w:fldCharType="begin"/>
    </w:r>
    <w:r w:rsidRPr="003F73FC">
      <w:rPr>
        <w:b/>
        <w:sz w:val="18"/>
      </w:rPr>
      <w:instrText xml:space="preserve"> PAGE  \* MERGEFORMAT </w:instrText>
    </w:r>
    <w:r w:rsidRPr="003F73FC">
      <w:rPr>
        <w:b/>
        <w:sz w:val="18"/>
      </w:rPr>
      <w:fldChar w:fldCharType="separate"/>
    </w:r>
    <w:r w:rsidRPr="003F73FC">
      <w:rPr>
        <w:b/>
        <w:noProof/>
        <w:sz w:val="18"/>
      </w:rPr>
      <w:t>2</w:t>
    </w:r>
    <w:r w:rsidRPr="003F73FC">
      <w:rPr>
        <w:b/>
        <w:sz w:val="18"/>
      </w:rPr>
      <w:fldChar w:fldCharType="end"/>
    </w:r>
    <w:r>
      <w:rPr>
        <w:b/>
        <w:sz w:val="18"/>
      </w:rPr>
      <w:tab/>
    </w:r>
    <w:r>
      <w:t>GE.22-02127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C6C7" w14:textId="7ED21695" w:rsidR="003F73FC" w:rsidRPr="003F73FC" w:rsidRDefault="003F73FC" w:rsidP="003F73FC">
    <w:pPr>
      <w:pStyle w:val="a8"/>
      <w:tabs>
        <w:tab w:val="clear" w:pos="9639"/>
        <w:tab w:val="right" w:pos="9638"/>
      </w:tabs>
      <w:rPr>
        <w:b/>
        <w:sz w:val="18"/>
      </w:rPr>
    </w:pPr>
    <w:r>
      <w:t>GE.22-02127</w:t>
    </w:r>
    <w:r>
      <w:tab/>
    </w:r>
    <w:r w:rsidRPr="003F73FC">
      <w:rPr>
        <w:b/>
        <w:sz w:val="18"/>
      </w:rPr>
      <w:fldChar w:fldCharType="begin"/>
    </w:r>
    <w:r w:rsidRPr="003F73FC">
      <w:rPr>
        <w:b/>
        <w:sz w:val="18"/>
      </w:rPr>
      <w:instrText xml:space="preserve"> PAGE  \* MERGEFORMAT </w:instrText>
    </w:r>
    <w:r w:rsidRPr="003F73FC">
      <w:rPr>
        <w:b/>
        <w:sz w:val="18"/>
      </w:rPr>
      <w:fldChar w:fldCharType="separate"/>
    </w:r>
    <w:r w:rsidRPr="003F73FC">
      <w:rPr>
        <w:b/>
        <w:noProof/>
        <w:sz w:val="18"/>
      </w:rPr>
      <w:t>3</w:t>
    </w:r>
    <w:r w:rsidRPr="003F73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8B65" w14:textId="2635AD3B" w:rsidR="00042B72" w:rsidRPr="00125DA2" w:rsidRDefault="003F73FC" w:rsidP="003F73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FFBD4A" wp14:editId="1240CA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22-02127</w:t>
    </w:r>
    <w:r w:rsidR="00066CC3">
      <w:t xml:space="preserve"> </w:t>
    </w:r>
    <w:r>
      <w:t>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DAC7B8" wp14:editId="11EED4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A2">
      <w:t xml:space="preserve">   </w:t>
    </w:r>
    <w:r w:rsidR="00125DA2">
      <w:rPr>
        <w:lang w:val="en-US"/>
      </w:rPr>
      <w:t>030322   070322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B5B0" w14:textId="5EF30668" w:rsidR="006269AA" w:rsidRPr="006269AA" w:rsidRDefault="006269AA" w:rsidP="006269A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9AC3C" wp14:editId="5EE8BFA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0EE475" w14:textId="77777777" w:rsidR="006269AA" w:rsidRPr="003F73FC" w:rsidRDefault="006269AA" w:rsidP="006269AA">
                          <w:pPr>
                            <w:pStyle w:val="a8"/>
                          </w:pPr>
                          <w:r w:rsidRPr="003F73F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F73F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F73F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3F73F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GE.22-02127</w:t>
                          </w:r>
                        </w:p>
                        <w:p w14:paraId="17EF9F3F" w14:textId="77777777" w:rsidR="006269AA" w:rsidRDefault="006269A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9AC3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70EE475" w14:textId="77777777" w:rsidR="006269AA" w:rsidRPr="003F73FC" w:rsidRDefault="006269AA" w:rsidP="006269AA">
                    <w:pPr>
                      <w:pStyle w:val="a8"/>
                    </w:pPr>
                    <w:r w:rsidRPr="003F73FC">
                      <w:rPr>
                        <w:b/>
                        <w:sz w:val="18"/>
                      </w:rPr>
                      <w:fldChar w:fldCharType="begin"/>
                    </w:r>
                    <w:r w:rsidRPr="003F73F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F73F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3F73F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GE.22-02127</w:t>
                    </w:r>
                  </w:p>
                  <w:p w14:paraId="17EF9F3F" w14:textId="77777777" w:rsidR="006269AA" w:rsidRDefault="006269A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2DA" w14:textId="1D9438A6" w:rsidR="006269AA" w:rsidRPr="006269AA" w:rsidRDefault="006269AA" w:rsidP="006269A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DFF43" wp14:editId="43276FD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A3B42F" w14:textId="77777777" w:rsidR="006269AA" w:rsidRPr="003F73FC" w:rsidRDefault="006269AA" w:rsidP="006269AA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GE.22-02127</w:t>
                          </w:r>
                          <w:r>
                            <w:tab/>
                          </w:r>
                          <w:r w:rsidRPr="003F73F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F73F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F73F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3F73F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9408B4E" w14:textId="77777777" w:rsidR="006269AA" w:rsidRDefault="006269A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DFF4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CA3B42F" w14:textId="77777777" w:rsidR="006269AA" w:rsidRPr="003F73FC" w:rsidRDefault="006269AA" w:rsidP="006269AA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GE.22-02127</w:t>
                    </w:r>
                    <w:r>
                      <w:tab/>
                    </w:r>
                    <w:r w:rsidRPr="003F73FC">
                      <w:rPr>
                        <w:b/>
                        <w:sz w:val="18"/>
                      </w:rPr>
                      <w:fldChar w:fldCharType="begin"/>
                    </w:r>
                    <w:r w:rsidRPr="003F73F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F73F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3F73F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9408B4E" w14:textId="77777777" w:rsidR="006269AA" w:rsidRDefault="006269A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4EFE" w14:textId="77777777" w:rsidR="005264C9" w:rsidRPr="001075E9" w:rsidRDefault="005264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AF5DAE" w14:textId="77777777" w:rsidR="005264C9" w:rsidRDefault="005264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06BB" w14:textId="256FB573" w:rsidR="003F73FC" w:rsidRPr="003F73FC" w:rsidRDefault="003F73FC">
    <w:pPr>
      <w:pStyle w:val="a5"/>
    </w:pPr>
    <w:fldSimple w:instr=" TITLE  \* MERGEFORMAT ">
      <w:r w:rsidR="002F1165">
        <w:t>ECE/TRANS/WP.11/2022/4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1E0E" w14:textId="4F72F786" w:rsidR="003F73FC" w:rsidRPr="003F73FC" w:rsidRDefault="003F73FC" w:rsidP="003F73FC">
    <w:pPr>
      <w:pStyle w:val="a5"/>
      <w:jc w:val="right"/>
    </w:pPr>
    <w:fldSimple w:instr=" TITLE  \* MERGEFORMAT ">
      <w:r w:rsidR="002F1165">
        <w:t>ECE/TRANS/WP.11/2022/4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BF0" w14:textId="5EC1B348" w:rsidR="006269AA" w:rsidRPr="006269AA" w:rsidRDefault="006269AA" w:rsidP="006269A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07A959" wp14:editId="53433C7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D0918" w14:textId="7EE48B90" w:rsidR="006269AA" w:rsidRPr="003F73FC" w:rsidRDefault="006269AA" w:rsidP="006269A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2F1165">
                            <w:t>ECE/TRANS/WP.11/2022/4</w:t>
                          </w:r>
                          <w:r>
                            <w:fldChar w:fldCharType="end"/>
                          </w:r>
                        </w:p>
                        <w:p w14:paraId="5788E61E" w14:textId="77777777" w:rsidR="006269AA" w:rsidRDefault="006269A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7A95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WWXJFG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037D0918" w14:textId="7EE48B90" w:rsidR="006269AA" w:rsidRPr="003F73FC" w:rsidRDefault="006269AA" w:rsidP="006269A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2F1165">
                      <w:t>ECE/TRANS/WP.11/2022/4</w:t>
                    </w:r>
                    <w:r>
                      <w:fldChar w:fldCharType="end"/>
                    </w:r>
                  </w:p>
                  <w:p w14:paraId="5788E61E" w14:textId="77777777" w:rsidR="006269AA" w:rsidRDefault="006269A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617" w14:textId="7CF73726" w:rsidR="006269AA" w:rsidRPr="006269AA" w:rsidRDefault="006269AA" w:rsidP="006269A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B98A1" wp14:editId="6B24ADC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50A9DF7" w14:textId="67294109" w:rsidR="006269AA" w:rsidRPr="003F73FC" w:rsidRDefault="006269AA" w:rsidP="006269AA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2F1165">
                            <w:t>ECE/TRANS/WP.11/2022/4</w:t>
                          </w:r>
                          <w:r>
                            <w:fldChar w:fldCharType="end"/>
                          </w:r>
                        </w:p>
                        <w:p w14:paraId="491FD73E" w14:textId="77777777" w:rsidR="006269AA" w:rsidRDefault="006269A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B98A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50A9DF7" w14:textId="67294109" w:rsidR="006269AA" w:rsidRPr="003F73FC" w:rsidRDefault="006269AA" w:rsidP="006269AA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2F1165">
                      <w:t>ECE/TRANS/WP.11/2022/4</w:t>
                    </w:r>
                    <w:r>
                      <w:fldChar w:fldCharType="end"/>
                    </w:r>
                  </w:p>
                  <w:p w14:paraId="491FD73E" w14:textId="77777777" w:rsidR="006269AA" w:rsidRDefault="006269AA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C9"/>
    <w:rsid w:val="00033EE1"/>
    <w:rsid w:val="00042B72"/>
    <w:rsid w:val="000558BD"/>
    <w:rsid w:val="00066CC3"/>
    <w:rsid w:val="000A123E"/>
    <w:rsid w:val="000B57E7"/>
    <w:rsid w:val="000B6373"/>
    <w:rsid w:val="000E4E5B"/>
    <w:rsid w:val="000F09DF"/>
    <w:rsid w:val="000F61B2"/>
    <w:rsid w:val="001075E9"/>
    <w:rsid w:val="00125DA2"/>
    <w:rsid w:val="0012603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165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3FC"/>
    <w:rsid w:val="00407B78"/>
    <w:rsid w:val="00424203"/>
    <w:rsid w:val="00452493"/>
    <w:rsid w:val="00453318"/>
    <w:rsid w:val="00454AF2"/>
    <w:rsid w:val="00454E07"/>
    <w:rsid w:val="00472C5C"/>
    <w:rsid w:val="00485F8A"/>
    <w:rsid w:val="004A16AF"/>
    <w:rsid w:val="004E05B7"/>
    <w:rsid w:val="0050108D"/>
    <w:rsid w:val="00513081"/>
    <w:rsid w:val="00517901"/>
    <w:rsid w:val="005264C9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69AA"/>
    <w:rsid w:val="006345DB"/>
    <w:rsid w:val="006355DF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A8989C"/>
  <w15:docId w15:val="{55CBCFA8-3CFE-4E03-8CFB-D2F97EC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3F73FC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32FCC-34DF-4F3A-8016-FA5C0F9FFC99}"/>
</file>

<file path=customXml/itemProps2.xml><?xml version="1.0" encoding="utf-8"?>
<ds:datastoreItem xmlns:ds="http://schemas.openxmlformats.org/officeDocument/2006/customXml" ds:itemID="{D3C36D36-C413-4B2A-BE13-71362ABEA0D2}"/>
</file>

<file path=customXml/itemProps3.xml><?xml version="1.0" encoding="utf-8"?>
<ds:datastoreItem xmlns:ds="http://schemas.openxmlformats.org/officeDocument/2006/customXml" ds:itemID="{B161F8A2-0945-44D3-8B6C-69D316572EA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1495</Words>
  <Characters>10362</Characters>
  <Application>Microsoft Office Word</Application>
  <DocSecurity>0</DocSecurity>
  <Lines>942</Lines>
  <Paragraphs>395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ECE/TRANS/WP.11/2022/4</vt:lpstr>
      <vt:lpstr>A/</vt:lpstr>
      <vt:lpstr>A/</vt:lpstr>
    </vt:vector>
  </TitlesOfParts>
  <Company>DCM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ECE/TRANS/WP.11/2022/4</dc:title>
  <dc:subject/>
  <dc:creator>Larisa MAYKOVSKAYA</dc:creator>
  <cp:keywords/>
  <cp:lastModifiedBy>Larisa MAYKOVSKAYA</cp:lastModifiedBy>
  <cp:revision>3</cp:revision>
  <cp:lastPrinted>2022-03-04T16:27:00Z</cp:lastPrinted>
  <dcterms:created xsi:type="dcterms:W3CDTF">2022-03-04T16:27:00Z</dcterms:created>
  <dcterms:modified xsi:type="dcterms:W3CDTF">2022-03-04T16:27:00Z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