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0046285A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4851819" w14:textId="77777777" w:rsidR="00F35BAF" w:rsidRPr="00DB58B5" w:rsidRDefault="00F35BAF" w:rsidP="00A97847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0FA3C3F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AE5E31A" w14:textId="501640C5" w:rsidR="00F35BAF" w:rsidRPr="00DB58B5" w:rsidRDefault="00A97847" w:rsidP="00A97847">
            <w:pPr>
              <w:jc w:val="right"/>
            </w:pPr>
            <w:r w:rsidRPr="00A97847">
              <w:rPr>
                <w:sz w:val="40"/>
              </w:rPr>
              <w:t>ECE</w:t>
            </w:r>
            <w:r>
              <w:t>/TRANS/WP.29/GRSP/2022/7</w:t>
            </w:r>
          </w:p>
        </w:tc>
      </w:tr>
      <w:tr w:rsidR="00F35BAF" w:rsidRPr="00DB58B5" w14:paraId="4AAB82F5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E86C3C0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3257B2BA" wp14:editId="69705D6A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3105DAE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B8F25B7" w14:textId="77777777" w:rsidR="00F35BAF" w:rsidRDefault="00A97847" w:rsidP="00C97039">
            <w:pPr>
              <w:spacing w:before="240"/>
            </w:pPr>
            <w:r>
              <w:t>Distr. générale</w:t>
            </w:r>
          </w:p>
          <w:p w14:paraId="725809BC" w14:textId="77777777" w:rsidR="00A97847" w:rsidRDefault="00A97847" w:rsidP="00A97847">
            <w:pPr>
              <w:spacing w:line="240" w:lineRule="exact"/>
            </w:pPr>
            <w:r>
              <w:t>17 février 2022</w:t>
            </w:r>
          </w:p>
          <w:p w14:paraId="136435D7" w14:textId="77777777" w:rsidR="00A97847" w:rsidRDefault="00A97847" w:rsidP="00A97847">
            <w:pPr>
              <w:spacing w:line="240" w:lineRule="exact"/>
            </w:pPr>
            <w:r>
              <w:t>Français</w:t>
            </w:r>
          </w:p>
          <w:p w14:paraId="15E699EB" w14:textId="65CBDA4C" w:rsidR="00A97847" w:rsidRPr="00DB58B5" w:rsidRDefault="00A97847" w:rsidP="00A97847">
            <w:pPr>
              <w:spacing w:line="240" w:lineRule="exact"/>
            </w:pPr>
            <w:r>
              <w:t>Original : anglais</w:t>
            </w:r>
          </w:p>
        </w:tc>
      </w:tr>
    </w:tbl>
    <w:p w14:paraId="30CBC423" w14:textId="4DB3C818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F50B94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14304DAE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332EBD72" w14:textId="55C39286" w:rsidR="00A97847" w:rsidRDefault="00A97847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 w:rsidR="00F50B94"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23269FF9" w14:textId="77777777" w:rsidR="00A97847" w:rsidRDefault="00A97847" w:rsidP="00257168">
      <w:pPr>
        <w:spacing w:before="120" w:after="120" w:line="240" w:lineRule="exact"/>
        <w:rPr>
          <w:b/>
        </w:rPr>
      </w:pPr>
      <w:r>
        <w:rPr>
          <w:b/>
        </w:rPr>
        <w:t>Groupe de travail de la sécurité passive</w:t>
      </w:r>
    </w:p>
    <w:p w14:paraId="1BD3D9F8" w14:textId="5A80EA11" w:rsidR="00A97847" w:rsidRDefault="00A97847" w:rsidP="00257168">
      <w:pPr>
        <w:spacing w:before="120" w:line="240" w:lineRule="exact"/>
        <w:rPr>
          <w:b/>
        </w:rPr>
      </w:pPr>
      <w:r w:rsidRPr="00A97847">
        <w:rPr>
          <w:b/>
          <w:bCs/>
          <w:lang w:val="fr-FR"/>
        </w:rPr>
        <w:t>Soixante et onzième</w:t>
      </w:r>
      <w:r>
        <w:rPr>
          <w:b/>
        </w:rPr>
        <w:t xml:space="preserve"> session</w:t>
      </w:r>
    </w:p>
    <w:p w14:paraId="295DAFA6" w14:textId="238A1D4C" w:rsidR="00A97847" w:rsidRDefault="00A97847" w:rsidP="00257168">
      <w:pPr>
        <w:spacing w:line="240" w:lineRule="exact"/>
      </w:pPr>
      <w:r>
        <w:t xml:space="preserve">Genève, </w:t>
      </w:r>
      <w:r w:rsidRPr="00042678">
        <w:rPr>
          <w:lang w:val="fr-FR"/>
        </w:rPr>
        <w:t>9-13 mai 2022</w:t>
      </w:r>
    </w:p>
    <w:p w14:paraId="0A2841C2" w14:textId="050446FA" w:rsidR="00A97847" w:rsidRDefault="00A97847" w:rsidP="00257168">
      <w:pPr>
        <w:spacing w:line="240" w:lineRule="exact"/>
      </w:pPr>
      <w:r w:rsidRPr="00042678">
        <w:rPr>
          <w:lang w:val="fr-FR"/>
        </w:rPr>
        <w:t>Point 10 de l</w:t>
      </w:r>
      <w:r w:rsidR="00F50B94">
        <w:rPr>
          <w:lang w:val="fr-FR"/>
        </w:rPr>
        <w:t>’</w:t>
      </w:r>
      <w:r w:rsidRPr="00042678">
        <w:rPr>
          <w:lang w:val="fr-FR"/>
        </w:rPr>
        <w:t>ordre du jour provisoire</w:t>
      </w:r>
    </w:p>
    <w:p w14:paraId="75B2B291" w14:textId="0A2C1AFD" w:rsidR="00A97847" w:rsidRPr="00A97847" w:rsidRDefault="00A97847" w:rsidP="00A97847">
      <w:pPr>
        <w:rPr>
          <w:rFonts w:eastAsia="Times New Roman"/>
          <w:b/>
          <w:bCs/>
          <w:lang w:val="fr-FR"/>
        </w:rPr>
      </w:pPr>
      <w:r w:rsidRPr="00A97847">
        <w:rPr>
          <w:b/>
          <w:bCs/>
          <w:lang w:val="fr-FR"/>
        </w:rPr>
        <w:t>Règlement ONU n</w:t>
      </w:r>
      <w:r w:rsidRPr="00A97847">
        <w:rPr>
          <w:b/>
          <w:bCs/>
          <w:vertAlign w:val="superscript"/>
          <w:lang w:val="fr-FR"/>
        </w:rPr>
        <w:t>o</w:t>
      </w:r>
      <w:r w:rsidR="00261E48">
        <w:rPr>
          <w:b/>
          <w:bCs/>
          <w:lang w:val="fr-FR"/>
        </w:rPr>
        <w:t> </w:t>
      </w:r>
      <w:r w:rsidRPr="00A97847">
        <w:rPr>
          <w:b/>
          <w:bCs/>
          <w:lang w:val="fr-FR"/>
        </w:rPr>
        <w:t>129 (Systèmes améliorés de retenue pour enfants)</w:t>
      </w:r>
    </w:p>
    <w:p w14:paraId="637955BE" w14:textId="422BBB0C" w:rsidR="00A97847" w:rsidRPr="00042678" w:rsidRDefault="00A97847" w:rsidP="00A97847">
      <w:pPr>
        <w:pStyle w:val="HChG"/>
        <w:rPr>
          <w:rFonts w:eastAsia="Times New Roman"/>
          <w:lang w:val="fr-FR"/>
        </w:rPr>
      </w:pPr>
      <w:r w:rsidRPr="00042678">
        <w:rPr>
          <w:lang w:val="fr-FR"/>
        </w:rPr>
        <w:tab/>
      </w:r>
      <w:r w:rsidRPr="00042678">
        <w:rPr>
          <w:lang w:val="fr-FR"/>
        </w:rPr>
        <w:tab/>
        <w:t>Proposition de complément 8 à la série 03 d</w:t>
      </w:r>
      <w:r w:rsidR="00F50B94">
        <w:rPr>
          <w:lang w:val="fr-FR"/>
        </w:rPr>
        <w:t>’</w:t>
      </w:r>
      <w:r w:rsidRPr="00042678">
        <w:rPr>
          <w:lang w:val="fr-FR"/>
        </w:rPr>
        <w:t>amendements</w:t>
      </w:r>
    </w:p>
    <w:p w14:paraId="40DB379C" w14:textId="5E801484" w:rsidR="00A97847" w:rsidRPr="00042678" w:rsidRDefault="00A97847" w:rsidP="00A97847">
      <w:pPr>
        <w:pStyle w:val="H1G"/>
        <w:rPr>
          <w:rFonts w:eastAsia="Times New Roman"/>
          <w:lang w:val="fr-FR"/>
        </w:rPr>
      </w:pPr>
      <w:r w:rsidRPr="00042678">
        <w:rPr>
          <w:lang w:val="fr-FR"/>
        </w:rPr>
        <w:tab/>
      </w:r>
      <w:r w:rsidRPr="00042678">
        <w:rPr>
          <w:lang w:val="fr-FR"/>
        </w:rPr>
        <w:tab/>
        <w:t>Communication de l</w:t>
      </w:r>
      <w:r w:rsidR="00F50B94">
        <w:rPr>
          <w:lang w:val="fr-FR"/>
        </w:rPr>
        <w:t>’</w:t>
      </w:r>
      <w:r w:rsidRPr="00042678">
        <w:rPr>
          <w:lang w:val="fr-FR"/>
        </w:rPr>
        <w:t>expert de l</w:t>
      </w:r>
      <w:r w:rsidR="00F50B94">
        <w:rPr>
          <w:lang w:val="fr-FR"/>
        </w:rPr>
        <w:t>’</w:t>
      </w:r>
      <w:r w:rsidRPr="00042678">
        <w:rPr>
          <w:lang w:val="fr-FR"/>
        </w:rPr>
        <w:t>Association européenne des</w:t>
      </w:r>
      <w:r>
        <w:rPr>
          <w:lang w:val="fr-FR"/>
        </w:rPr>
        <w:t> </w:t>
      </w:r>
      <w:r w:rsidRPr="00042678">
        <w:rPr>
          <w:lang w:val="fr-FR"/>
        </w:rPr>
        <w:t>fournisseurs de l</w:t>
      </w:r>
      <w:r w:rsidR="00F50B94">
        <w:rPr>
          <w:lang w:val="fr-FR"/>
        </w:rPr>
        <w:t>’</w:t>
      </w:r>
      <w:r w:rsidRPr="00042678">
        <w:rPr>
          <w:lang w:val="fr-FR"/>
        </w:rPr>
        <w:t>automobile</w:t>
      </w:r>
      <w:r w:rsidR="00261E48" w:rsidRPr="00261E48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55008070" w14:textId="0390BA03" w:rsidR="00F9573C" w:rsidRDefault="00A97847" w:rsidP="00A97847">
      <w:pPr>
        <w:pStyle w:val="SingleTxtG"/>
        <w:ind w:firstLine="567"/>
        <w:rPr>
          <w:lang w:val="fr-FR"/>
        </w:rPr>
      </w:pPr>
      <w:r w:rsidRPr="00042678">
        <w:rPr>
          <w:lang w:val="fr-FR"/>
        </w:rPr>
        <w:t>Le texte ci-après, établi par l</w:t>
      </w:r>
      <w:r w:rsidR="00F50B94">
        <w:rPr>
          <w:lang w:val="fr-FR"/>
        </w:rPr>
        <w:t>’</w:t>
      </w:r>
      <w:r w:rsidRPr="00042678">
        <w:rPr>
          <w:lang w:val="fr-FR"/>
        </w:rPr>
        <w:t>expert de l</w:t>
      </w:r>
      <w:r w:rsidR="00F50B94">
        <w:rPr>
          <w:lang w:val="fr-FR"/>
        </w:rPr>
        <w:t>’</w:t>
      </w:r>
      <w:r w:rsidRPr="00042678">
        <w:rPr>
          <w:lang w:val="fr-FR"/>
        </w:rPr>
        <w:t>Association européenne des fournisseurs de l</w:t>
      </w:r>
      <w:r w:rsidR="00F50B94">
        <w:rPr>
          <w:lang w:val="fr-FR"/>
        </w:rPr>
        <w:t>’</w:t>
      </w:r>
      <w:r w:rsidRPr="00042678">
        <w:rPr>
          <w:lang w:val="fr-FR"/>
        </w:rPr>
        <w:t>automobile (CLEPA), a pour objet de modifier le Règlement ONU n</w:t>
      </w:r>
      <w:r w:rsidRPr="00042678">
        <w:rPr>
          <w:vertAlign w:val="superscript"/>
          <w:lang w:val="fr-FR"/>
        </w:rPr>
        <w:t>o</w:t>
      </w:r>
      <w:r w:rsidR="00261E48">
        <w:rPr>
          <w:lang w:val="fr-FR"/>
        </w:rPr>
        <w:t> </w:t>
      </w:r>
      <w:r w:rsidRPr="00042678">
        <w:rPr>
          <w:lang w:val="fr-FR"/>
        </w:rPr>
        <w:t>129 pour corriger des erreurs rédactionnelles faites précédemment. Les modifications qu</w:t>
      </w:r>
      <w:r w:rsidR="00F50B94">
        <w:rPr>
          <w:lang w:val="fr-FR"/>
        </w:rPr>
        <w:t>’</w:t>
      </w:r>
      <w:r w:rsidRPr="00042678">
        <w:rPr>
          <w:lang w:val="fr-FR"/>
        </w:rPr>
        <w:t>il est proposé d</w:t>
      </w:r>
      <w:r w:rsidR="00F50B94">
        <w:rPr>
          <w:lang w:val="fr-FR"/>
        </w:rPr>
        <w:t>’</w:t>
      </w:r>
      <w:r w:rsidRPr="00042678">
        <w:rPr>
          <w:lang w:val="fr-FR"/>
        </w:rPr>
        <w:t>apporter au texte actuel du Règlement figurent en caractères gras pour les ajouts et biffés pour les suppressions.</w:t>
      </w:r>
    </w:p>
    <w:p w14:paraId="19A447B8" w14:textId="55DE8FF6" w:rsidR="00A97847" w:rsidRDefault="00A97847" w:rsidP="00A97847">
      <w:pPr>
        <w:rPr>
          <w:lang w:val="fr-FR"/>
        </w:rPr>
      </w:pPr>
      <w:r>
        <w:rPr>
          <w:lang w:val="fr-FR"/>
        </w:rPr>
        <w:br w:type="page"/>
      </w:r>
    </w:p>
    <w:p w14:paraId="556ED4A4" w14:textId="77777777" w:rsidR="00A97847" w:rsidRPr="00042678" w:rsidRDefault="00A97847" w:rsidP="00A97847">
      <w:pPr>
        <w:pStyle w:val="HChG"/>
        <w:rPr>
          <w:lang w:val="fr-FR"/>
        </w:rPr>
      </w:pPr>
      <w:r w:rsidRPr="00042678">
        <w:rPr>
          <w:lang w:val="fr-FR"/>
        </w:rPr>
        <w:lastRenderedPageBreak/>
        <w:tab/>
        <w:t>I.</w:t>
      </w:r>
      <w:r w:rsidRPr="00042678">
        <w:rPr>
          <w:lang w:val="fr-FR"/>
        </w:rPr>
        <w:tab/>
        <w:t>Proposition</w:t>
      </w:r>
    </w:p>
    <w:p w14:paraId="17E06A27" w14:textId="1880467B" w:rsidR="00A97847" w:rsidRPr="00042678" w:rsidRDefault="00A97847" w:rsidP="00A97847">
      <w:pPr>
        <w:pStyle w:val="SingleTxtG"/>
        <w:rPr>
          <w:rFonts w:eastAsia="Times New Roman"/>
          <w:lang w:val="fr-FR"/>
        </w:rPr>
      </w:pPr>
      <w:r w:rsidRPr="00A97847">
        <w:rPr>
          <w:i/>
          <w:iCs/>
          <w:lang w:val="fr-FR"/>
        </w:rPr>
        <w:t>Paragraphe 6.7.2.7</w:t>
      </w:r>
      <w:r w:rsidRPr="00042678">
        <w:rPr>
          <w:lang w:val="fr-FR"/>
        </w:rPr>
        <w:t>, lire :</w:t>
      </w:r>
    </w:p>
    <w:p w14:paraId="17551F8E" w14:textId="3B11CDC3" w:rsidR="00A97847" w:rsidRPr="00042678" w:rsidRDefault="00A97847" w:rsidP="00A97847">
      <w:pPr>
        <w:pStyle w:val="SingleTxtG"/>
        <w:ind w:left="2268" w:hanging="1134"/>
        <w:rPr>
          <w:rFonts w:eastAsia="Times New Roman"/>
          <w:iCs/>
          <w:lang w:val="fr-FR"/>
        </w:rPr>
      </w:pPr>
      <w:r>
        <w:rPr>
          <w:lang w:val="fr-FR"/>
        </w:rPr>
        <w:t>« </w:t>
      </w:r>
      <w:r w:rsidRPr="00042678">
        <w:rPr>
          <w:lang w:val="fr-FR"/>
        </w:rPr>
        <w:t>6.7.2.7</w:t>
      </w:r>
      <w:r w:rsidRPr="00042678">
        <w:rPr>
          <w:lang w:val="fr-FR"/>
        </w:rPr>
        <w:tab/>
        <w:t xml:space="preserve">Un tendeur monté directement sur le système </w:t>
      </w:r>
      <w:r w:rsidRPr="00F50B94">
        <w:rPr>
          <w:b/>
          <w:bCs/>
          <w:lang w:val="fr-FR"/>
        </w:rPr>
        <w:t>amélioré</w:t>
      </w:r>
      <w:r w:rsidRPr="00042678">
        <w:rPr>
          <w:lang w:val="fr-FR"/>
        </w:rPr>
        <w:t xml:space="preserve"> de retenue pour enfants doit pouvoir supporter des manœuvres répétées et doit, avant l</w:t>
      </w:r>
      <w:r w:rsidR="00F50B94">
        <w:rPr>
          <w:lang w:val="fr-FR"/>
        </w:rPr>
        <w:t>’</w:t>
      </w:r>
      <w:r w:rsidRPr="00042678">
        <w:rPr>
          <w:lang w:val="fr-FR"/>
        </w:rPr>
        <w:t>essai dynamique prévu au paragraphe 7.1.3, subir un essai de résistance à l</w:t>
      </w:r>
      <w:r w:rsidR="00F50B94">
        <w:rPr>
          <w:lang w:val="fr-FR"/>
        </w:rPr>
        <w:t>’</w:t>
      </w:r>
      <w:r w:rsidRPr="00042678">
        <w:rPr>
          <w:lang w:val="fr-FR"/>
        </w:rPr>
        <w:t>usure de 5 000 ± 5 cycles comme indiqué au paragraphe 7.2.6.1.</w:t>
      </w:r>
    </w:p>
    <w:p w14:paraId="37A845B5" w14:textId="50644E9F" w:rsidR="00A97847" w:rsidRPr="00042678" w:rsidRDefault="00A97847" w:rsidP="00A97847">
      <w:pPr>
        <w:pStyle w:val="SingleTxtG"/>
        <w:ind w:left="2268"/>
        <w:rPr>
          <w:rFonts w:eastAsia="Times New Roman"/>
          <w:iCs/>
          <w:lang w:val="fr-FR"/>
        </w:rPr>
      </w:pPr>
      <w:r w:rsidRPr="00042678">
        <w:rPr>
          <w:lang w:val="fr-FR"/>
        </w:rPr>
        <w:t>Un tendeur monté sur une sangle doit pouvoir supporter des manœuvres répétées et doit, avant l</w:t>
      </w:r>
      <w:r w:rsidR="00F50B94">
        <w:rPr>
          <w:lang w:val="fr-FR"/>
        </w:rPr>
        <w:t>’</w:t>
      </w:r>
      <w:r w:rsidRPr="00042678">
        <w:rPr>
          <w:lang w:val="fr-FR"/>
        </w:rPr>
        <w:t>essai dynamique prévu au paragraphe 7.1.3, subir un essai de résistance à l</w:t>
      </w:r>
      <w:r w:rsidR="00F50B94">
        <w:rPr>
          <w:lang w:val="fr-FR"/>
        </w:rPr>
        <w:t>’</w:t>
      </w:r>
      <w:r w:rsidRPr="00042678">
        <w:rPr>
          <w:lang w:val="fr-FR"/>
        </w:rPr>
        <w:t>usure de 5 000 ± 5 cycles comme indiqué au paragraphe</w:t>
      </w:r>
      <w:r w:rsidR="00261E48">
        <w:rPr>
          <w:lang w:val="fr-FR"/>
        </w:rPr>
        <w:t> </w:t>
      </w:r>
      <w:r w:rsidRPr="00F50B94">
        <w:rPr>
          <w:b/>
          <w:bCs/>
          <w:lang w:val="fr-FR"/>
        </w:rPr>
        <w:t>7.2.6.2.</w:t>
      </w:r>
      <w:r w:rsidRPr="00042678">
        <w:rPr>
          <w:lang w:val="fr-FR"/>
        </w:rPr>
        <w:t xml:space="preserve"> </w:t>
      </w:r>
      <w:r w:rsidRPr="00042678">
        <w:rPr>
          <w:strike/>
          <w:lang w:val="fr-FR"/>
        </w:rPr>
        <w:t>7.2.3.</w:t>
      </w:r>
      <w:r w:rsidRPr="00261E48">
        <w:rPr>
          <w:strike/>
          <w:lang w:val="fr-FR"/>
        </w:rPr>
        <w:t xml:space="preserve"> </w:t>
      </w:r>
      <w:r w:rsidRPr="00042678">
        <w:rPr>
          <w:strike/>
          <w:lang w:val="fr-FR"/>
        </w:rPr>
        <w:t>Cet essai est défini par le service technique de concert avec le constructeur.</w:t>
      </w:r>
      <w:r w:rsidR="003B126B">
        <w:rPr>
          <w:lang w:val="fr-FR"/>
        </w:rPr>
        <w:t> ».</w:t>
      </w:r>
    </w:p>
    <w:p w14:paraId="4D86F04B" w14:textId="26B40905" w:rsidR="00A97847" w:rsidRPr="00042678" w:rsidRDefault="00A97847" w:rsidP="00A97847">
      <w:pPr>
        <w:pStyle w:val="SingleTxtG"/>
        <w:rPr>
          <w:rFonts w:eastAsia="Times New Roman"/>
          <w:i/>
          <w:lang w:val="fr-FR"/>
        </w:rPr>
      </w:pPr>
      <w:r w:rsidRPr="00042678">
        <w:rPr>
          <w:i/>
          <w:iCs/>
          <w:lang w:val="fr-FR"/>
        </w:rPr>
        <w:t>Paragraphe 8.1</w:t>
      </w:r>
      <w:r w:rsidRPr="00042678">
        <w:rPr>
          <w:lang w:val="fr-FR"/>
        </w:rPr>
        <w:t>, lire</w:t>
      </w:r>
      <w:r>
        <w:rPr>
          <w:lang w:val="fr-FR"/>
        </w:rPr>
        <w:t> </w:t>
      </w:r>
      <w:r w:rsidRPr="00042678">
        <w:rPr>
          <w:lang w:val="fr-FR"/>
        </w:rPr>
        <w:t>:</w:t>
      </w:r>
    </w:p>
    <w:p w14:paraId="4CBD4849" w14:textId="4EA9F85B" w:rsidR="00A97847" w:rsidRPr="00042678" w:rsidRDefault="003B126B" w:rsidP="00A97847">
      <w:pPr>
        <w:pStyle w:val="SingleTxtG"/>
        <w:ind w:left="2268" w:hanging="1134"/>
        <w:rPr>
          <w:rFonts w:eastAsia="Times New Roman"/>
          <w:iCs/>
          <w:lang w:val="fr-FR"/>
        </w:rPr>
      </w:pPr>
      <w:r>
        <w:rPr>
          <w:lang w:val="fr-FR"/>
        </w:rPr>
        <w:t>« </w:t>
      </w:r>
      <w:r w:rsidR="00A97847" w:rsidRPr="00042678">
        <w:rPr>
          <w:lang w:val="fr-FR"/>
        </w:rPr>
        <w:t>8.1</w:t>
      </w:r>
      <w:r w:rsidR="00A97847" w:rsidRPr="00042678">
        <w:rPr>
          <w:lang w:val="fr-FR"/>
        </w:rPr>
        <w:tab/>
        <w:t>Les renseignements prévus à l</w:t>
      </w:r>
      <w:r w:rsidR="00F50B94">
        <w:rPr>
          <w:lang w:val="fr-FR"/>
        </w:rPr>
        <w:t>’</w:t>
      </w:r>
      <w:r w:rsidR="00A97847" w:rsidRPr="00042678">
        <w:rPr>
          <w:lang w:val="fr-FR"/>
        </w:rPr>
        <w:t>annexe 27 doivent être fournis dans le procès</w:t>
      </w:r>
      <w:r w:rsidR="00261E48">
        <w:rPr>
          <w:lang w:val="fr-FR"/>
        </w:rPr>
        <w:noBreakHyphen/>
      </w:r>
      <w:r w:rsidR="00A97847" w:rsidRPr="00042678">
        <w:rPr>
          <w:lang w:val="fr-FR"/>
        </w:rPr>
        <w:t>verbal d</w:t>
      </w:r>
      <w:r w:rsidR="00F50B94">
        <w:rPr>
          <w:lang w:val="fr-FR"/>
        </w:rPr>
        <w:t>’</w:t>
      </w:r>
      <w:r w:rsidR="00A97847" w:rsidRPr="00042678">
        <w:rPr>
          <w:lang w:val="fr-FR"/>
        </w:rPr>
        <w:t>essai joint à la demande d</w:t>
      </w:r>
      <w:r w:rsidR="00F50B94">
        <w:rPr>
          <w:lang w:val="fr-FR"/>
        </w:rPr>
        <w:t>’</w:t>
      </w:r>
      <w:r w:rsidR="00A97847" w:rsidRPr="00042678">
        <w:rPr>
          <w:lang w:val="fr-FR"/>
        </w:rPr>
        <w:t xml:space="preserve">homologation de type. </w:t>
      </w:r>
    </w:p>
    <w:p w14:paraId="148AE699" w14:textId="7C4F7965" w:rsidR="00A97847" w:rsidRPr="00F50B94" w:rsidRDefault="00A97847" w:rsidP="00A97847">
      <w:pPr>
        <w:pStyle w:val="SingleTxtG"/>
        <w:ind w:left="2268"/>
        <w:rPr>
          <w:rFonts w:eastAsia="Times New Roman"/>
          <w:b/>
          <w:bCs/>
          <w:iCs/>
          <w:lang w:val="fr-FR"/>
        </w:rPr>
      </w:pPr>
      <w:r w:rsidRPr="00F50B94">
        <w:rPr>
          <w:b/>
          <w:bCs/>
          <w:lang w:val="fr-FR"/>
        </w:rPr>
        <w:t>Pour les homologations de type nouvelles, tous les renseignements doivent être fournis.</w:t>
      </w:r>
    </w:p>
    <w:p w14:paraId="2FBD3966" w14:textId="16E7F3E8" w:rsidR="00A97847" w:rsidRPr="00042678" w:rsidRDefault="00A97847" w:rsidP="00A97847">
      <w:pPr>
        <w:pStyle w:val="SingleTxtG"/>
        <w:ind w:left="2268"/>
        <w:rPr>
          <w:rFonts w:eastAsia="Times New Roman"/>
          <w:iCs/>
          <w:lang w:val="fr-FR"/>
        </w:rPr>
      </w:pPr>
      <w:r w:rsidRPr="00F50B94">
        <w:rPr>
          <w:b/>
          <w:bCs/>
          <w:lang w:val="fr-FR"/>
        </w:rPr>
        <w:t>Pour les extensions d</w:t>
      </w:r>
      <w:r w:rsidR="00F50B94">
        <w:rPr>
          <w:b/>
          <w:bCs/>
          <w:lang w:val="fr-FR"/>
        </w:rPr>
        <w:t>’</w:t>
      </w:r>
      <w:r w:rsidRPr="00F50B94">
        <w:rPr>
          <w:b/>
          <w:bCs/>
          <w:lang w:val="fr-FR"/>
        </w:rPr>
        <w:t>homologations de type, seuls les renseignements relatifs aux modifications apportées au système amélioré de retenue pour enfants doivent être fournis.</w:t>
      </w:r>
      <w:r w:rsidR="003B126B">
        <w:rPr>
          <w:lang w:val="fr-FR"/>
        </w:rPr>
        <w:t> ».</w:t>
      </w:r>
    </w:p>
    <w:p w14:paraId="094FD247" w14:textId="7918D47D" w:rsidR="00A97847" w:rsidRPr="00042678" w:rsidRDefault="00A97847" w:rsidP="00A97847">
      <w:pPr>
        <w:pStyle w:val="SingleTxtG"/>
        <w:rPr>
          <w:lang w:val="fr-FR"/>
        </w:rPr>
      </w:pPr>
      <w:r w:rsidRPr="00042678">
        <w:rPr>
          <w:i/>
          <w:iCs/>
          <w:lang w:val="fr-FR"/>
        </w:rPr>
        <w:t>Paragraphe 14.1</w:t>
      </w:r>
      <w:r w:rsidRPr="00042678">
        <w:rPr>
          <w:lang w:val="fr-FR"/>
        </w:rPr>
        <w:t>, lire</w:t>
      </w:r>
      <w:r w:rsidR="003B126B">
        <w:rPr>
          <w:lang w:val="fr-FR"/>
        </w:rPr>
        <w:t> </w:t>
      </w:r>
      <w:r w:rsidRPr="00042678">
        <w:rPr>
          <w:lang w:val="fr-FR"/>
        </w:rPr>
        <w:t>:</w:t>
      </w:r>
    </w:p>
    <w:p w14:paraId="5642A790" w14:textId="5CB2B86D" w:rsidR="00A97847" w:rsidRPr="00042678" w:rsidRDefault="003B126B" w:rsidP="00A97847">
      <w:pPr>
        <w:pStyle w:val="SingleTxtG"/>
        <w:ind w:left="2268" w:hanging="1134"/>
        <w:rPr>
          <w:lang w:val="fr-FR"/>
        </w:rPr>
      </w:pPr>
      <w:r>
        <w:rPr>
          <w:lang w:val="fr-FR"/>
        </w:rPr>
        <w:t>« </w:t>
      </w:r>
      <w:r w:rsidR="00A97847" w:rsidRPr="00042678">
        <w:rPr>
          <w:lang w:val="fr-FR"/>
        </w:rPr>
        <w:t>14.1</w:t>
      </w:r>
      <w:r w:rsidR="00A97847" w:rsidRPr="00042678">
        <w:rPr>
          <w:lang w:val="fr-FR"/>
        </w:rPr>
        <w:tab/>
        <w:t>Chaque système de retenue pour enfants doit être accompagné des renseignements nécessaires à son utilisation. Ces renseignements peuvent être fournis à l</w:t>
      </w:r>
      <w:r w:rsidR="00F50B94">
        <w:rPr>
          <w:lang w:val="fr-FR"/>
        </w:rPr>
        <w:t>’</w:t>
      </w:r>
      <w:r w:rsidR="00A97847" w:rsidRPr="00042678">
        <w:rPr>
          <w:lang w:val="fr-FR"/>
        </w:rPr>
        <w:t>utilisateur</w:t>
      </w:r>
      <w:r w:rsidR="00551709">
        <w:rPr>
          <w:lang w:val="fr-FR"/>
        </w:rPr>
        <w:t> </w:t>
      </w:r>
      <w:r w:rsidR="00A97847" w:rsidRPr="00042678">
        <w:rPr>
          <w:lang w:val="fr-FR"/>
        </w:rPr>
        <w:t>:</w:t>
      </w:r>
    </w:p>
    <w:p w14:paraId="56231AE0" w14:textId="77777777" w:rsidR="00A97847" w:rsidRPr="00042678" w:rsidRDefault="00A97847" w:rsidP="00A97847">
      <w:pPr>
        <w:pStyle w:val="SingleTxtG"/>
        <w:ind w:left="2835" w:hanging="567"/>
        <w:rPr>
          <w:lang w:val="fr-FR"/>
        </w:rPr>
      </w:pPr>
      <w:r w:rsidRPr="00042678">
        <w:rPr>
          <w:lang w:val="fr-FR"/>
        </w:rPr>
        <w:t>a)</w:t>
      </w:r>
      <w:r w:rsidRPr="00042678">
        <w:rPr>
          <w:lang w:val="fr-FR"/>
        </w:rPr>
        <w:tab/>
        <w:t xml:space="preserve">Sur un support papier remplissant les conditions énoncées aux paragraphes 14.2 et 14.3 ; ou </w:t>
      </w:r>
    </w:p>
    <w:p w14:paraId="1BCADBDE" w14:textId="0949CDDB" w:rsidR="00A97847" w:rsidRPr="00042678" w:rsidRDefault="00A97847" w:rsidP="00A97847">
      <w:pPr>
        <w:pStyle w:val="SingleTxtG"/>
        <w:ind w:left="2835" w:hanging="567"/>
        <w:rPr>
          <w:lang w:val="fr-FR"/>
        </w:rPr>
      </w:pPr>
      <w:r w:rsidRPr="00042678">
        <w:rPr>
          <w:lang w:val="fr-FR"/>
        </w:rPr>
        <w:t>b)</w:t>
      </w:r>
      <w:r w:rsidRPr="00042678">
        <w:rPr>
          <w:lang w:val="fr-FR"/>
        </w:rPr>
        <w:tab/>
      </w:r>
      <w:r w:rsidRPr="00F50B94">
        <w:rPr>
          <w:b/>
          <w:bCs/>
          <w:lang w:val="fr-FR"/>
        </w:rPr>
        <w:t>Sur un support papier remplissant les conditions énoncées aux paragraphes 14.2 et 14.4 et sur un support numérique remplissant les conditions énoncées au paragraphe 14.3.</w:t>
      </w:r>
      <w:r w:rsidR="003B126B">
        <w:rPr>
          <w:lang w:val="fr-FR"/>
        </w:rPr>
        <w:t> ».</w:t>
      </w:r>
    </w:p>
    <w:p w14:paraId="50619AFB" w14:textId="49D49D1E" w:rsidR="00A97847" w:rsidRPr="00042678" w:rsidRDefault="00A97847" w:rsidP="003B126B">
      <w:pPr>
        <w:pStyle w:val="SingleTxtG"/>
        <w:keepNext/>
        <w:ind w:left="567"/>
        <w:rPr>
          <w:rFonts w:eastAsia="Times New Roman"/>
          <w:iCs/>
          <w:lang w:val="fr-FR"/>
        </w:rPr>
      </w:pPr>
      <w:r w:rsidRPr="00042678">
        <w:rPr>
          <w:i/>
          <w:iCs/>
          <w:lang w:val="fr-FR"/>
        </w:rPr>
        <w:lastRenderedPageBreak/>
        <w:t>Annexe 15</w:t>
      </w:r>
      <w:r w:rsidRPr="00042678">
        <w:rPr>
          <w:lang w:val="fr-FR"/>
        </w:rPr>
        <w:t>, lire</w:t>
      </w:r>
      <w:r>
        <w:rPr>
          <w:lang w:val="fr-FR"/>
        </w:rPr>
        <w:t> </w:t>
      </w:r>
      <w:r w:rsidRPr="00042678">
        <w:rPr>
          <w:lang w:val="fr-FR"/>
        </w:rPr>
        <w:t>:</w:t>
      </w:r>
    </w:p>
    <w:p w14:paraId="4B836606" w14:textId="0A58693F" w:rsidR="00A97847" w:rsidRPr="00042678" w:rsidRDefault="003B126B" w:rsidP="003B126B">
      <w:pPr>
        <w:pStyle w:val="HChG"/>
        <w:rPr>
          <w:lang w:val="fr-FR"/>
        </w:rPr>
      </w:pPr>
      <w:bookmarkStart w:id="0" w:name="_Toc355000780"/>
      <w:r w:rsidRPr="003B126B">
        <w:rPr>
          <w:b w:val="0"/>
          <w:bCs/>
          <w:sz w:val="20"/>
          <w:lang w:val="fr-FR"/>
        </w:rPr>
        <w:t>« </w:t>
      </w:r>
      <w:r w:rsidR="00A97847" w:rsidRPr="00042678">
        <w:rPr>
          <w:lang w:val="fr-FR"/>
        </w:rPr>
        <w:t>Annexe 15</w:t>
      </w:r>
      <w:bookmarkEnd w:id="0"/>
    </w:p>
    <w:p w14:paraId="0AEDE207" w14:textId="4EBB4711" w:rsidR="00A97847" w:rsidRPr="00042678" w:rsidRDefault="00A97847" w:rsidP="00A97847">
      <w:pPr>
        <w:pStyle w:val="HChG"/>
        <w:rPr>
          <w:lang w:val="fr-FR"/>
        </w:rPr>
      </w:pPr>
      <w:bookmarkStart w:id="1" w:name="_Toc355000781"/>
      <w:r w:rsidRPr="00042678">
        <w:rPr>
          <w:lang w:val="fr-FR"/>
        </w:rPr>
        <w:tab/>
      </w:r>
      <w:r w:rsidRPr="00042678">
        <w:rPr>
          <w:lang w:val="fr-FR"/>
        </w:rPr>
        <w:tab/>
        <w:t>Méthode d</w:t>
      </w:r>
      <w:r w:rsidR="00F50B94">
        <w:rPr>
          <w:lang w:val="fr-FR"/>
        </w:rPr>
        <w:t>’</w:t>
      </w:r>
      <w:r w:rsidRPr="00042678">
        <w:rPr>
          <w:lang w:val="fr-FR"/>
        </w:rPr>
        <w:t xml:space="preserve">essai de conditionnement des tendeurs </w:t>
      </w:r>
      <w:r w:rsidRPr="00042678">
        <w:rPr>
          <w:strike/>
          <w:lang w:val="fr-FR"/>
        </w:rPr>
        <w:t>montés sur une sangle</w:t>
      </w:r>
      <w:r w:rsidRPr="00042678">
        <w:rPr>
          <w:lang w:val="fr-FR"/>
        </w:rPr>
        <w:t xml:space="preserve"> </w:t>
      </w:r>
      <w:bookmarkEnd w:id="1"/>
    </w:p>
    <w:p w14:paraId="4DD0709B" w14:textId="56625653" w:rsidR="00A97847" w:rsidRDefault="00A97847" w:rsidP="003B126B">
      <w:pPr>
        <w:pStyle w:val="Titre1"/>
        <w:spacing w:after="120"/>
        <w:rPr>
          <w:b/>
          <w:bCs/>
          <w:lang w:val="fr-FR"/>
        </w:rPr>
      </w:pPr>
      <w:r w:rsidRPr="00042678">
        <w:rPr>
          <w:lang w:val="fr-FR"/>
        </w:rPr>
        <w:t>Figure 1</w:t>
      </w:r>
      <w:r w:rsidR="003B126B">
        <w:rPr>
          <w:lang w:val="fr-FR"/>
        </w:rPr>
        <w:br/>
      </w:r>
      <w:r w:rsidRPr="003B126B">
        <w:rPr>
          <w:b/>
          <w:bCs/>
          <w:lang w:val="fr-FR"/>
        </w:rPr>
        <w:t xml:space="preserve">Conditionnement des tendeurs montés directement </w:t>
      </w:r>
      <w:r w:rsidR="003B126B">
        <w:rPr>
          <w:b/>
          <w:bCs/>
          <w:lang w:val="fr-FR"/>
        </w:rPr>
        <w:br/>
      </w:r>
      <w:r w:rsidRPr="003B126B">
        <w:rPr>
          <w:b/>
          <w:bCs/>
          <w:lang w:val="fr-FR"/>
        </w:rPr>
        <w:t>sur le système amélioré de retenue pour enfants</w:t>
      </w:r>
    </w:p>
    <w:bookmarkStart w:id="2" w:name="_MON_1446644767"/>
    <w:bookmarkStart w:id="3" w:name="_MON_1280562047"/>
    <w:bookmarkStart w:id="4" w:name="_MON_1281443242"/>
    <w:bookmarkStart w:id="5" w:name="_MON_1281443254"/>
    <w:bookmarkStart w:id="6" w:name="_MON_1281443260"/>
    <w:bookmarkStart w:id="7" w:name="_MON_1411981705"/>
    <w:bookmarkEnd w:id="2"/>
    <w:bookmarkEnd w:id="3"/>
    <w:bookmarkEnd w:id="4"/>
    <w:bookmarkEnd w:id="5"/>
    <w:bookmarkEnd w:id="6"/>
    <w:bookmarkEnd w:id="7"/>
    <w:bookmarkStart w:id="8" w:name="_MON_1446622131"/>
    <w:bookmarkEnd w:id="8"/>
    <w:p w14:paraId="3ADEF949" w14:textId="0B843D19" w:rsidR="00A97847" w:rsidRPr="00042678" w:rsidRDefault="003B126B" w:rsidP="003B126B">
      <w:pPr>
        <w:pStyle w:val="SingleTxtGR"/>
        <w:spacing w:before="240"/>
        <w:ind w:right="459"/>
        <w:jc w:val="center"/>
        <w:rPr>
          <w:lang w:val="fr-FR"/>
        </w:rPr>
      </w:pPr>
      <w:r w:rsidRPr="00B33FC2">
        <w:object w:dxaOrig="9468" w:dyaOrig="5248" w14:anchorId="6BCB1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01.6pt" o:ole="">
            <v:imagedata r:id="rId8" o:title=""/>
          </v:shape>
          <o:OLEObject Type="Embed" ProgID="Word.Picture.8" ShapeID="_x0000_i1025" DrawAspect="Content" ObjectID="_1709379771" r:id="rId9"/>
        </w:object>
      </w:r>
    </w:p>
    <w:p w14:paraId="170E3998" w14:textId="77777777" w:rsidR="00A97847" w:rsidRPr="00A32C35" w:rsidRDefault="00A97847" w:rsidP="00A32C35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A32C35">
        <w:rPr>
          <w:b/>
          <w:bCs/>
          <w:lang w:val="fr-FR"/>
        </w:rPr>
        <w:t>1.</w:t>
      </w:r>
      <w:r w:rsidRPr="00A32C35">
        <w:rPr>
          <w:b/>
          <w:bCs/>
          <w:lang w:val="fr-FR"/>
        </w:rPr>
        <w:tab/>
        <w:t>Conditionnement des tendeurs montés directement sur le système amélioré de retenue pour enfants (figure 1)</w:t>
      </w:r>
    </w:p>
    <w:p w14:paraId="17C4280E" w14:textId="77777777" w:rsidR="00A97847" w:rsidRPr="00A32C35" w:rsidRDefault="00A97847" w:rsidP="00A32C35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A32C35">
        <w:rPr>
          <w:b/>
          <w:bCs/>
          <w:lang w:val="fr-FR"/>
        </w:rPr>
        <w:t>1.1.</w:t>
      </w:r>
      <w:r w:rsidRPr="00A32C35">
        <w:rPr>
          <w:b/>
          <w:bCs/>
          <w:lang w:val="fr-FR"/>
        </w:rPr>
        <w:tab/>
        <w:t>Mode opératoire</w:t>
      </w:r>
    </w:p>
    <w:p w14:paraId="5B415E87" w14:textId="2854FDA7" w:rsidR="00A97847" w:rsidRPr="00A32C35" w:rsidRDefault="00A97847" w:rsidP="00A32C35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A32C35">
        <w:rPr>
          <w:b/>
          <w:bCs/>
          <w:lang w:val="fr-FR"/>
        </w:rPr>
        <w:t>1.1.1.</w:t>
      </w:r>
      <w:r w:rsidRPr="00A32C35">
        <w:rPr>
          <w:b/>
          <w:bCs/>
          <w:lang w:val="fr-FR"/>
        </w:rPr>
        <w:tab/>
        <w:t>La sangle étant placée dans la position de référence définie au paragraphe</w:t>
      </w:r>
      <w:r w:rsidR="00261E48">
        <w:rPr>
          <w:b/>
          <w:bCs/>
          <w:lang w:val="fr-FR"/>
        </w:rPr>
        <w:t> </w:t>
      </w:r>
      <w:r w:rsidRPr="00A32C35">
        <w:rPr>
          <w:b/>
          <w:bCs/>
          <w:lang w:val="fr-FR"/>
        </w:rPr>
        <w:t>7.2.6.1 du présent Règlement, extraire au moins 50 mm de sangle du harnais intégré en tirant sur l</w:t>
      </w:r>
      <w:r w:rsidR="00F50B94">
        <w:rPr>
          <w:b/>
          <w:bCs/>
          <w:lang w:val="fr-FR"/>
        </w:rPr>
        <w:t>’</w:t>
      </w:r>
      <w:r w:rsidRPr="00A32C35">
        <w:rPr>
          <w:b/>
          <w:bCs/>
          <w:lang w:val="fr-FR"/>
        </w:rPr>
        <w:t>extrémité libre de la sangle.</w:t>
      </w:r>
    </w:p>
    <w:p w14:paraId="75D438C8" w14:textId="1BB23AF2" w:rsidR="00A97847" w:rsidRPr="00A32C35" w:rsidRDefault="00A97847" w:rsidP="00A32C35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A32C35">
        <w:rPr>
          <w:b/>
          <w:bCs/>
          <w:lang w:val="fr-FR"/>
        </w:rPr>
        <w:t>1.1.2.</w:t>
      </w:r>
      <w:r w:rsidRPr="00A32C35">
        <w:rPr>
          <w:b/>
          <w:bCs/>
          <w:lang w:val="fr-FR"/>
        </w:rPr>
        <w:tab/>
        <w:t>Fixer l</w:t>
      </w:r>
      <w:r w:rsidR="00F50B94">
        <w:rPr>
          <w:b/>
          <w:bCs/>
          <w:lang w:val="fr-FR"/>
        </w:rPr>
        <w:t>’</w:t>
      </w:r>
      <w:r w:rsidRPr="00A32C35">
        <w:rPr>
          <w:b/>
          <w:bCs/>
          <w:lang w:val="fr-FR"/>
        </w:rPr>
        <w:t>extrémité du tendeur de la sangle au dispositif de traction A.</w:t>
      </w:r>
    </w:p>
    <w:p w14:paraId="69934564" w14:textId="139015FC" w:rsidR="00A97847" w:rsidRPr="00A32C35" w:rsidRDefault="00A97847" w:rsidP="00A32C35">
      <w:pPr>
        <w:pStyle w:val="SingleTxtG"/>
        <w:ind w:left="2268" w:hanging="1134"/>
        <w:rPr>
          <w:b/>
          <w:bCs/>
          <w:lang w:val="fr-FR"/>
        </w:rPr>
      </w:pPr>
      <w:r w:rsidRPr="00A32C35">
        <w:rPr>
          <w:b/>
          <w:bCs/>
          <w:lang w:val="fr-FR"/>
        </w:rPr>
        <w:t>1.1.3.</w:t>
      </w:r>
      <w:r w:rsidRPr="00A32C35">
        <w:rPr>
          <w:b/>
          <w:bCs/>
          <w:lang w:val="fr-FR"/>
        </w:rPr>
        <w:tab/>
        <w:t>Actionner le tendeur et tirer au moins 150 mm de sangle à travers le harnais intégré. Cette longueur représente la moitié d</w:t>
      </w:r>
      <w:r w:rsidR="00F50B94">
        <w:rPr>
          <w:b/>
          <w:bCs/>
          <w:lang w:val="fr-FR"/>
        </w:rPr>
        <w:t>’</w:t>
      </w:r>
      <w:r w:rsidRPr="00A32C35">
        <w:rPr>
          <w:b/>
          <w:bCs/>
          <w:lang w:val="fr-FR"/>
        </w:rPr>
        <w:t>un cycle et place le dispositif de traction A dans la position d</w:t>
      </w:r>
      <w:r w:rsidR="00F50B94">
        <w:rPr>
          <w:b/>
          <w:bCs/>
          <w:lang w:val="fr-FR"/>
        </w:rPr>
        <w:t>’</w:t>
      </w:r>
      <w:r w:rsidRPr="00A32C35">
        <w:rPr>
          <w:b/>
          <w:bCs/>
          <w:lang w:val="fr-FR"/>
        </w:rPr>
        <w:t>extraction maximum de la sangle.</w:t>
      </w:r>
    </w:p>
    <w:p w14:paraId="51DA0D88" w14:textId="63774FC7" w:rsidR="00A97847" w:rsidRPr="00A32C35" w:rsidRDefault="00A97847" w:rsidP="00A32C35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A32C35">
        <w:rPr>
          <w:b/>
          <w:bCs/>
          <w:lang w:val="fr-FR"/>
        </w:rPr>
        <w:t>1.1.4.</w:t>
      </w:r>
      <w:r w:rsidRPr="00A32C35">
        <w:rPr>
          <w:b/>
          <w:bCs/>
          <w:lang w:val="fr-FR"/>
        </w:rPr>
        <w:tab/>
        <w:t>Raccorder l</w:t>
      </w:r>
      <w:r w:rsidR="00F50B94">
        <w:rPr>
          <w:b/>
          <w:bCs/>
          <w:lang w:val="fr-FR"/>
        </w:rPr>
        <w:t>’</w:t>
      </w:r>
      <w:r w:rsidRPr="00A32C35">
        <w:rPr>
          <w:b/>
          <w:bCs/>
          <w:lang w:val="fr-FR"/>
        </w:rPr>
        <w:t>extrémité libre de la sangle au dispositif de traction B.</w:t>
      </w:r>
    </w:p>
    <w:p w14:paraId="567E94A7" w14:textId="4B7A69C2" w:rsidR="00A97847" w:rsidRPr="00A32C35" w:rsidRDefault="00A97847" w:rsidP="00A32C35">
      <w:pPr>
        <w:pStyle w:val="SingleTxtG"/>
        <w:ind w:left="2268" w:hanging="1134"/>
        <w:rPr>
          <w:b/>
          <w:bCs/>
          <w:lang w:val="fr-FR"/>
        </w:rPr>
      </w:pPr>
      <w:r w:rsidRPr="00A32C35">
        <w:rPr>
          <w:b/>
          <w:bCs/>
          <w:lang w:val="fr-FR"/>
        </w:rPr>
        <w:t>1.2.</w:t>
      </w:r>
      <w:r w:rsidRPr="00A32C35">
        <w:rPr>
          <w:b/>
          <w:bCs/>
          <w:lang w:val="fr-FR"/>
        </w:rPr>
        <w:tab/>
        <w:t>Le cycle comporte les phases suivantes</w:t>
      </w:r>
      <w:r w:rsidR="00551709">
        <w:rPr>
          <w:b/>
          <w:bCs/>
          <w:lang w:val="fr-FR"/>
        </w:rPr>
        <w:t> </w:t>
      </w:r>
      <w:r w:rsidRPr="00A32C35">
        <w:rPr>
          <w:b/>
          <w:bCs/>
          <w:lang w:val="fr-FR"/>
        </w:rPr>
        <w:t>:</w:t>
      </w:r>
    </w:p>
    <w:p w14:paraId="5119BF41" w14:textId="701A1600" w:rsidR="00A97847" w:rsidRPr="00A32C35" w:rsidRDefault="00A97847" w:rsidP="00A32C35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A32C35">
        <w:rPr>
          <w:b/>
          <w:bCs/>
          <w:lang w:val="fr-FR"/>
        </w:rPr>
        <w:t>1.2.1.</w:t>
      </w:r>
      <w:r w:rsidRPr="00A32C35">
        <w:rPr>
          <w:b/>
          <w:bCs/>
          <w:lang w:val="fr-FR"/>
        </w:rPr>
        <w:tab/>
        <w:t>Tirer B sur au moins 150 mm tandis que A n</w:t>
      </w:r>
      <w:r w:rsidR="00F50B94">
        <w:rPr>
          <w:b/>
          <w:bCs/>
          <w:lang w:val="fr-FR"/>
        </w:rPr>
        <w:t>’</w:t>
      </w:r>
      <w:r w:rsidRPr="00A32C35">
        <w:rPr>
          <w:b/>
          <w:bCs/>
          <w:lang w:val="fr-FR"/>
        </w:rPr>
        <w:t>exerce pas de tension sur la sangle.</w:t>
      </w:r>
    </w:p>
    <w:p w14:paraId="009A5BEA" w14:textId="7299EEB7" w:rsidR="00A97847" w:rsidRPr="00A32C35" w:rsidRDefault="00A97847" w:rsidP="00A32C35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A32C35">
        <w:rPr>
          <w:b/>
          <w:bCs/>
          <w:lang w:val="fr-FR"/>
        </w:rPr>
        <w:t>1.2.2.</w:t>
      </w:r>
      <w:r w:rsidRPr="00A32C35">
        <w:rPr>
          <w:b/>
          <w:bCs/>
          <w:lang w:val="fr-FR"/>
        </w:rPr>
        <w:tab/>
        <w:t>Actionner les tendeurs et exercer une traction avec A tandis que B n</w:t>
      </w:r>
      <w:r w:rsidR="00F50B94">
        <w:rPr>
          <w:b/>
          <w:bCs/>
          <w:lang w:val="fr-FR"/>
        </w:rPr>
        <w:t>’</w:t>
      </w:r>
      <w:r w:rsidRPr="00A32C35">
        <w:rPr>
          <w:b/>
          <w:bCs/>
          <w:lang w:val="fr-FR"/>
        </w:rPr>
        <w:t>exerce pas de traction sur l</w:t>
      </w:r>
      <w:r w:rsidR="00F50B94">
        <w:rPr>
          <w:b/>
          <w:bCs/>
          <w:lang w:val="fr-FR"/>
        </w:rPr>
        <w:t>’</w:t>
      </w:r>
      <w:r w:rsidRPr="00A32C35">
        <w:rPr>
          <w:b/>
          <w:bCs/>
          <w:lang w:val="fr-FR"/>
        </w:rPr>
        <w:t>extrémité libre de la sangle.</w:t>
      </w:r>
    </w:p>
    <w:p w14:paraId="3CC4DA87" w14:textId="77777777" w:rsidR="00A97847" w:rsidRPr="00A32C35" w:rsidRDefault="00A97847" w:rsidP="00A32C35">
      <w:pPr>
        <w:pStyle w:val="SingleTxtG"/>
        <w:ind w:left="2268" w:hanging="1134"/>
        <w:rPr>
          <w:rFonts w:eastAsia="Times New Roman"/>
          <w:b/>
          <w:bCs/>
          <w:lang w:val="fr-FR"/>
        </w:rPr>
      </w:pPr>
      <w:r w:rsidRPr="00A32C35">
        <w:rPr>
          <w:b/>
          <w:bCs/>
          <w:lang w:val="fr-FR"/>
        </w:rPr>
        <w:t>1.2.3.</w:t>
      </w:r>
      <w:r w:rsidRPr="00A32C35">
        <w:rPr>
          <w:b/>
          <w:bCs/>
          <w:lang w:val="fr-FR"/>
        </w:rPr>
        <w:tab/>
        <w:t>En fin de course, mettre hors fonction le tendeur.</w:t>
      </w:r>
    </w:p>
    <w:p w14:paraId="67004190" w14:textId="568EB13D" w:rsidR="00A97847" w:rsidRPr="00042678" w:rsidRDefault="00A97847" w:rsidP="00A32C35">
      <w:pPr>
        <w:pStyle w:val="SingleTxtG"/>
        <w:ind w:left="2268" w:hanging="1134"/>
        <w:rPr>
          <w:rFonts w:eastAsia="Times New Roman"/>
          <w:lang w:val="fr-FR"/>
        </w:rPr>
      </w:pPr>
      <w:r w:rsidRPr="00A32C35">
        <w:rPr>
          <w:b/>
          <w:bCs/>
          <w:lang w:val="fr-FR"/>
        </w:rPr>
        <w:t>1.2.4.</w:t>
      </w:r>
      <w:r w:rsidRPr="00A32C35">
        <w:rPr>
          <w:b/>
          <w:bCs/>
          <w:lang w:val="fr-FR"/>
        </w:rPr>
        <w:tab/>
        <w:t>Répéter le cycle comme prescrit au paragraphe 6.7.2.7 du présent Règlement.</w:t>
      </w:r>
    </w:p>
    <w:p w14:paraId="222F7C4C" w14:textId="5B8E2D3E" w:rsidR="00A97847" w:rsidRPr="00042678" w:rsidRDefault="00A97847" w:rsidP="00A32C35">
      <w:pPr>
        <w:pStyle w:val="Titre1"/>
        <w:spacing w:after="120"/>
        <w:rPr>
          <w:rFonts w:eastAsia="Times New Roman"/>
          <w:lang w:val="fr-FR"/>
        </w:rPr>
      </w:pPr>
      <w:r w:rsidRPr="00042678">
        <w:rPr>
          <w:lang w:val="fr-FR"/>
        </w:rPr>
        <w:lastRenderedPageBreak/>
        <w:t>Figure 2</w:t>
      </w:r>
      <w:bookmarkStart w:id="9" w:name="_Hlk96002240"/>
      <w:r w:rsidR="00A32C35">
        <w:rPr>
          <w:lang w:val="fr-FR"/>
        </w:rPr>
        <w:t xml:space="preserve"> </w:t>
      </w:r>
      <w:r w:rsidR="00A32C35">
        <w:rPr>
          <w:lang w:val="fr-FR"/>
        </w:rPr>
        <w:br/>
      </w:r>
      <w:r w:rsidRPr="00A32C35">
        <w:rPr>
          <w:b/>
          <w:bCs/>
          <w:lang w:val="fr-FR"/>
        </w:rPr>
        <w:t xml:space="preserve">Conditionnement des tendeurs montés sur une sangle (non directement </w:t>
      </w:r>
      <w:r w:rsidR="00A32C35">
        <w:rPr>
          <w:b/>
          <w:bCs/>
          <w:lang w:val="fr-FR"/>
        </w:rPr>
        <w:br/>
      </w:r>
      <w:r w:rsidRPr="00A32C35">
        <w:rPr>
          <w:b/>
          <w:bCs/>
          <w:lang w:val="fr-FR"/>
        </w:rPr>
        <w:t>montés sur le système amélioré de retenue pour enfants)</w:t>
      </w:r>
    </w:p>
    <w:bookmarkEnd w:id="9"/>
    <w:p w14:paraId="0238460A" w14:textId="5EC9F102" w:rsidR="00A97847" w:rsidRPr="00042678" w:rsidRDefault="00B119EC" w:rsidP="00B119EC">
      <w:pPr>
        <w:pStyle w:val="SingleTxtG"/>
        <w:rPr>
          <w:lang w:val="fr-FR"/>
        </w:rPr>
      </w:pPr>
      <w:r w:rsidRPr="0004267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61AD9" wp14:editId="7038C481">
                <wp:simplePos x="0" y="0"/>
                <wp:positionH relativeFrom="column">
                  <wp:posOffset>2730859</wp:posOffset>
                </wp:positionH>
                <wp:positionV relativeFrom="paragraph">
                  <wp:posOffset>1383996</wp:posOffset>
                </wp:positionV>
                <wp:extent cx="485775" cy="304800"/>
                <wp:effectExtent l="0" t="0" r="0" b="0"/>
                <wp:wrapNone/>
                <wp:docPr id="5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83450" w14:textId="77777777" w:rsidR="00A97847" w:rsidRPr="00010FAF" w:rsidRDefault="00A97847" w:rsidP="00A97847">
                            <w:pPr>
                              <w:rPr>
                                <w:sz w:val="16"/>
                              </w:rPr>
                            </w:pPr>
                            <w:r w:rsidRPr="00010FAF">
                              <w:rPr>
                                <w:sz w:val="16"/>
                                <w:lang w:val="fr-FR"/>
                              </w:rPr>
                              <w:t>Sangle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61AD9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215.05pt;margin-top:109pt;width:38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" filled="f" stroked="f" strokeweight=".5pt">
                <v:textbox>
                  <w:txbxContent>
                    <w:p w14:paraId="61983450" w14:textId="77777777" w:rsidR="00A97847" w:rsidRPr="00010FAF" w:rsidRDefault="00A97847" w:rsidP="00A97847">
                      <w:pPr>
                        <w:rPr>
                          <w:sz w:val="16"/>
                        </w:rPr>
                      </w:pPr>
                      <w:r w:rsidRPr="00010FAF">
                        <w:rPr>
                          <w:sz w:val="16"/>
                          <w:lang w:val="fr-FR"/>
                        </w:rPr>
                        <w:t>Sangle</w:t>
                      </w:r>
                    </w:p>
                  </w:txbxContent>
                </v:textbox>
              </v:shape>
            </w:pict>
          </mc:Fallback>
        </mc:AlternateContent>
      </w:r>
      <w:r w:rsidRPr="0004267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1A46" wp14:editId="2194E257">
                <wp:simplePos x="0" y="0"/>
                <wp:positionH relativeFrom="column">
                  <wp:posOffset>718323</wp:posOffset>
                </wp:positionH>
                <wp:positionV relativeFrom="paragraph">
                  <wp:posOffset>326390</wp:posOffset>
                </wp:positionV>
                <wp:extent cx="1114425" cy="596348"/>
                <wp:effectExtent l="0" t="0" r="0" b="0"/>
                <wp:wrapNone/>
                <wp:docPr id="19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96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C2880E" w14:textId="5F93BB58" w:rsidR="00A97847" w:rsidRPr="00EC767F" w:rsidRDefault="00A97847" w:rsidP="00B119EC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E</w:t>
                            </w:r>
                            <w:r w:rsidRPr="00010FAF">
                              <w:rPr>
                                <w:sz w:val="16"/>
                                <w:szCs w:val="16"/>
                                <w:lang w:val="fr-FR"/>
                              </w:rPr>
                              <w:t>xtrémité de la sangle fixée au système amélioré de retenue pour enfants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1A46" id="_x0000_s1027" type="#_x0000_t202" style="position:absolute;left:0;text-align:left;margin-left:56.55pt;margin-top:25.7pt;width:87.75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" filled="f" stroked="f" strokeweight=".5pt">
                <v:textbox>
                  <w:txbxContent>
                    <w:p w14:paraId="2CC2880E" w14:textId="5F93BB58" w:rsidR="00A97847" w:rsidRPr="00EC767F" w:rsidRDefault="00A97847" w:rsidP="00B119EC">
                      <w:pPr>
                        <w:spacing w:line="200" w:lineRule="atLeast"/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  <w:lang w:val="fr-FR"/>
                        </w:rPr>
                        <w:t>E</w:t>
                      </w:r>
                      <w:r w:rsidRPr="00010FAF">
                        <w:rPr>
                          <w:sz w:val="16"/>
                          <w:szCs w:val="16"/>
                          <w:lang w:val="fr-FR"/>
                        </w:rPr>
                        <w:t>xtrémité de la sangle fixée au système amélioré de retenue pour enfants</w:t>
                      </w:r>
                    </w:p>
                  </w:txbxContent>
                </v:textbox>
              </v:shape>
            </w:pict>
          </mc:Fallback>
        </mc:AlternateContent>
      </w:r>
      <w:r w:rsidRPr="0004267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F56C2" wp14:editId="66338653">
                <wp:simplePos x="0" y="0"/>
                <wp:positionH relativeFrom="column">
                  <wp:posOffset>1132205</wp:posOffset>
                </wp:positionH>
                <wp:positionV relativeFrom="paragraph">
                  <wp:posOffset>1359866</wp:posOffset>
                </wp:positionV>
                <wp:extent cx="1192695" cy="524786"/>
                <wp:effectExtent l="0" t="0" r="0" b="0"/>
                <wp:wrapNone/>
                <wp:docPr id="7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5" cy="524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36C68F" w14:textId="3FCC7A57" w:rsidR="00A97847" w:rsidRPr="00B119EC" w:rsidRDefault="00A97847" w:rsidP="00A9784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119EC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Tendeur (assujetti </w:t>
                            </w:r>
                            <w:r w:rsidR="00B119EC" w:rsidRPr="00B119EC">
                              <w:rPr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B119EC">
                              <w:rPr>
                                <w:sz w:val="16"/>
                                <w:szCs w:val="16"/>
                                <w:lang w:val="fr-FR"/>
                              </w:rPr>
                              <w:t>par une fixation rigide)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56C2" id="_x0000_s1028" type="#_x0000_t202" style="position:absolute;left:0;text-align:left;margin-left:89.15pt;margin-top:107.1pt;width:93.9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" filled="f" stroked="f" strokeweight=".5pt">
                <v:textbox>
                  <w:txbxContent>
                    <w:p w14:paraId="7036C68F" w14:textId="3FCC7A57" w:rsidR="00A97847" w:rsidRPr="00B119EC" w:rsidRDefault="00A97847" w:rsidP="00A97847">
                      <w:pPr>
                        <w:spacing w:line="240" w:lineRule="auto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B119EC">
                        <w:rPr>
                          <w:sz w:val="16"/>
                          <w:szCs w:val="16"/>
                          <w:lang w:val="fr-FR"/>
                        </w:rPr>
                        <w:t xml:space="preserve">Tendeur (assujetti </w:t>
                      </w:r>
                      <w:r w:rsidR="00B119EC" w:rsidRPr="00B119EC">
                        <w:rPr>
                          <w:sz w:val="16"/>
                          <w:szCs w:val="16"/>
                          <w:lang w:val="fr-FR"/>
                        </w:rPr>
                        <w:br/>
                      </w:r>
                      <w:r w:rsidRPr="00B119EC">
                        <w:rPr>
                          <w:sz w:val="16"/>
                          <w:szCs w:val="16"/>
                          <w:lang w:val="fr-FR"/>
                        </w:rPr>
                        <w:t>par une fixation rigide)</w:t>
                      </w:r>
                    </w:p>
                  </w:txbxContent>
                </v:textbox>
              </v:shape>
            </w:pict>
          </mc:Fallback>
        </mc:AlternateContent>
      </w:r>
      <w:r w:rsidR="00A97847" w:rsidRPr="0004267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09245" wp14:editId="3F3C5573">
                <wp:simplePos x="0" y="0"/>
                <wp:positionH relativeFrom="column">
                  <wp:posOffset>1318260</wp:posOffset>
                </wp:positionH>
                <wp:positionV relativeFrom="paragraph">
                  <wp:posOffset>1243330</wp:posOffset>
                </wp:positionV>
                <wp:extent cx="209550" cy="152400"/>
                <wp:effectExtent l="38100" t="38100" r="190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F821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03.8pt;margin-top:97.9pt;width:16.5pt;height:1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" strokecolor="windowText">
                <v:stroke endarrow="block"/>
              </v:shape>
            </w:pict>
          </mc:Fallback>
        </mc:AlternateContent>
      </w:r>
      <w:r w:rsidR="00A97847" w:rsidRPr="0004267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ED029" wp14:editId="37349533">
                <wp:simplePos x="0" y="0"/>
                <wp:positionH relativeFrom="column">
                  <wp:posOffset>2527935</wp:posOffset>
                </wp:positionH>
                <wp:positionV relativeFrom="paragraph">
                  <wp:posOffset>1214120</wp:posOffset>
                </wp:positionV>
                <wp:extent cx="409575" cy="238125"/>
                <wp:effectExtent l="38100" t="38100" r="2857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6C4DD" id="Straight Arrow Connector 32" o:spid="_x0000_s1026" type="#_x0000_t32" style="position:absolute;margin-left:199.05pt;margin-top:95.6pt;width:32.25pt;height:18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" strokecolor="windowText">
                <v:stroke endarrow="block"/>
              </v:shape>
            </w:pict>
          </mc:Fallback>
        </mc:AlternateContent>
      </w:r>
      <w:r w:rsidR="00A97847" w:rsidRPr="00042678">
        <w:rPr>
          <w:noProof/>
          <w:lang w:val="fr-FR"/>
        </w:rPr>
        <w:drawing>
          <wp:inline distT="0" distB="0" distL="0" distR="0" wp14:anchorId="56EA9EBA" wp14:editId="352A4575">
            <wp:extent cx="4783740" cy="1725433"/>
            <wp:effectExtent l="0" t="0" r="0" b="8255"/>
            <wp:docPr id="18" name="Picture 5" descr="A picture containing text, gauge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" descr="A picture containing text, gauge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832" cy="173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A627" w14:textId="77777777" w:rsidR="00A97847" w:rsidRPr="00B119EC" w:rsidRDefault="00A97847" w:rsidP="00B119EC">
      <w:pPr>
        <w:pStyle w:val="SingleTxtG"/>
        <w:ind w:left="2268" w:hanging="1134"/>
        <w:rPr>
          <w:b/>
          <w:bCs/>
          <w:lang w:val="fr-FR"/>
        </w:rPr>
      </w:pPr>
      <w:r w:rsidRPr="00B119EC">
        <w:rPr>
          <w:b/>
          <w:bCs/>
          <w:lang w:val="fr-FR"/>
        </w:rPr>
        <w:t>2.</w:t>
      </w:r>
      <w:r w:rsidRPr="00B119EC">
        <w:rPr>
          <w:b/>
          <w:bCs/>
          <w:lang w:val="fr-FR"/>
        </w:rPr>
        <w:tab/>
        <w:t>Essai de conditionnement des tendeurs montés sur une sangle (non directement montés sur le système amélioré de retenue pour enfants) (figure 2)</w:t>
      </w:r>
    </w:p>
    <w:p w14:paraId="481CD958" w14:textId="77777777" w:rsidR="00A97847" w:rsidRPr="00042678" w:rsidRDefault="00A97847" w:rsidP="00B119EC">
      <w:pPr>
        <w:pStyle w:val="SingleTxtG"/>
        <w:ind w:left="2268" w:hanging="1134"/>
        <w:rPr>
          <w:rFonts w:eastAsia="Times New Roman"/>
          <w:lang w:val="fr-FR"/>
        </w:rPr>
      </w:pPr>
      <w:r w:rsidRPr="00B119EC">
        <w:rPr>
          <w:b/>
          <w:bCs/>
          <w:lang w:val="fr-FR"/>
        </w:rPr>
        <w:t>2.</w:t>
      </w:r>
      <w:r w:rsidRPr="00042678">
        <w:rPr>
          <w:lang w:val="fr-FR"/>
        </w:rPr>
        <w:t>1</w:t>
      </w:r>
      <w:r w:rsidRPr="00042678">
        <w:rPr>
          <w:lang w:val="fr-FR"/>
        </w:rPr>
        <w:tab/>
        <w:t>Méthode</w:t>
      </w:r>
    </w:p>
    <w:p w14:paraId="15CAE122" w14:textId="77777777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2.1.</w:t>
      </w:r>
      <w:r w:rsidRPr="00042678">
        <w:rPr>
          <w:lang w:val="fr-FR"/>
        </w:rPr>
        <w:t>1</w:t>
      </w:r>
      <w:r w:rsidRPr="00042678">
        <w:rPr>
          <w:lang w:val="fr-FR"/>
        </w:rPr>
        <w:tab/>
        <w:t>Fixer rigidement le tendeur.</w:t>
      </w:r>
    </w:p>
    <w:p w14:paraId="232B98DD" w14:textId="74A4909B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2.1.</w:t>
      </w:r>
      <w:r w:rsidRPr="00042678">
        <w:rPr>
          <w:lang w:val="fr-FR"/>
        </w:rPr>
        <w:t>2</w:t>
      </w:r>
      <w:r w:rsidRPr="00042678">
        <w:rPr>
          <w:lang w:val="fr-FR"/>
        </w:rPr>
        <w:tab/>
        <w:t>La sangle étant placée dans la position de référence définie au paragraphe</w:t>
      </w:r>
      <w:r w:rsidR="00261E48">
        <w:rPr>
          <w:lang w:val="fr-FR"/>
        </w:rPr>
        <w:t> </w:t>
      </w:r>
      <w:r w:rsidRPr="00042678">
        <w:rPr>
          <w:lang w:val="fr-FR"/>
        </w:rPr>
        <w:t>7.2.6.</w:t>
      </w:r>
      <w:r w:rsidRPr="00261E48">
        <w:rPr>
          <w:b/>
          <w:bCs/>
          <w:lang w:val="fr-FR"/>
        </w:rPr>
        <w:t>2</w:t>
      </w:r>
      <w:r w:rsidRPr="00042678">
        <w:rPr>
          <w:lang w:val="fr-FR"/>
        </w:rPr>
        <w:t xml:space="preserve"> du présent Règlement, extraire au moins 50 mm de sangle du harnais intégré en tirant sur l</w:t>
      </w:r>
      <w:r w:rsidR="00F50B94">
        <w:rPr>
          <w:lang w:val="fr-FR"/>
        </w:rPr>
        <w:t>’</w:t>
      </w:r>
      <w:r w:rsidRPr="00042678">
        <w:rPr>
          <w:lang w:val="fr-FR"/>
        </w:rPr>
        <w:t>extrémité libre de la sangle.</w:t>
      </w:r>
    </w:p>
    <w:p w14:paraId="5A942303" w14:textId="36F3E50E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2.1.</w:t>
      </w:r>
      <w:r w:rsidRPr="00042678">
        <w:rPr>
          <w:lang w:val="fr-FR"/>
        </w:rPr>
        <w:t>3</w:t>
      </w:r>
      <w:r w:rsidRPr="00042678">
        <w:rPr>
          <w:lang w:val="fr-FR"/>
        </w:rPr>
        <w:tab/>
        <w:t>Fixer l</w:t>
      </w:r>
      <w:r w:rsidR="00F50B94">
        <w:rPr>
          <w:lang w:val="fr-FR"/>
        </w:rPr>
        <w:t>’</w:t>
      </w:r>
      <w:r w:rsidRPr="00042678">
        <w:rPr>
          <w:lang w:val="fr-FR"/>
        </w:rPr>
        <w:t>extrémité tendeur de la sangle au dispositif de traction A.</w:t>
      </w:r>
    </w:p>
    <w:p w14:paraId="001003EF" w14:textId="514CEC4C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2.1.</w:t>
      </w:r>
      <w:r w:rsidRPr="00042678">
        <w:rPr>
          <w:lang w:val="fr-FR"/>
        </w:rPr>
        <w:t>4</w:t>
      </w:r>
      <w:r w:rsidRPr="00042678">
        <w:rPr>
          <w:lang w:val="fr-FR"/>
        </w:rPr>
        <w:tab/>
        <w:t>Actionner le tendeur C et extraire au moins 150 mm de sangle à travers le tendeur. Cette longueur représente la moitié d</w:t>
      </w:r>
      <w:r w:rsidR="00F50B94">
        <w:rPr>
          <w:lang w:val="fr-FR"/>
        </w:rPr>
        <w:t>’</w:t>
      </w:r>
      <w:r w:rsidRPr="00042678">
        <w:rPr>
          <w:lang w:val="fr-FR"/>
        </w:rPr>
        <w:t>un cycle et place le dispositif de traction A dans la position d</w:t>
      </w:r>
      <w:r w:rsidR="00F50B94">
        <w:rPr>
          <w:lang w:val="fr-FR"/>
        </w:rPr>
        <w:t>’</w:t>
      </w:r>
      <w:r w:rsidRPr="00042678">
        <w:rPr>
          <w:lang w:val="fr-FR"/>
        </w:rPr>
        <w:t>extraction maximum de la sangle.</w:t>
      </w:r>
    </w:p>
    <w:p w14:paraId="01739323" w14:textId="418CCC13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2.1.</w:t>
      </w:r>
      <w:r w:rsidRPr="00042678">
        <w:rPr>
          <w:lang w:val="fr-FR"/>
        </w:rPr>
        <w:t>5</w:t>
      </w:r>
      <w:r w:rsidRPr="00042678">
        <w:rPr>
          <w:lang w:val="fr-FR"/>
        </w:rPr>
        <w:tab/>
        <w:t>Raccorder l</w:t>
      </w:r>
      <w:r w:rsidR="00F50B94">
        <w:rPr>
          <w:lang w:val="fr-FR"/>
        </w:rPr>
        <w:t>’</w:t>
      </w:r>
      <w:r w:rsidRPr="00042678">
        <w:rPr>
          <w:lang w:val="fr-FR"/>
        </w:rPr>
        <w:t>extrémité libre de la sangle au dispositif de traction B.</w:t>
      </w:r>
    </w:p>
    <w:p w14:paraId="49E058BE" w14:textId="29EC39E5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</w:t>
      </w:r>
      <w:r w:rsidRPr="00042678">
        <w:rPr>
          <w:lang w:val="fr-FR"/>
        </w:rPr>
        <w:t>2.</w:t>
      </w:r>
      <w:r w:rsidRPr="00042678">
        <w:rPr>
          <w:lang w:val="fr-FR"/>
        </w:rPr>
        <w:tab/>
        <w:t>Le cycle se compose des phases suivantes</w:t>
      </w:r>
      <w:r w:rsidR="00551709">
        <w:rPr>
          <w:lang w:val="fr-FR"/>
        </w:rPr>
        <w:t> </w:t>
      </w:r>
      <w:r w:rsidRPr="00042678">
        <w:rPr>
          <w:lang w:val="fr-FR"/>
        </w:rPr>
        <w:t>:</w:t>
      </w:r>
    </w:p>
    <w:p w14:paraId="3EB94CE7" w14:textId="64C425EC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</w:t>
      </w:r>
      <w:r w:rsidRPr="00042678">
        <w:rPr>
          <w:lang w:val="fr-FR"/>
        </w:rPr>
        <w:t>2.1</w:t>
      </w:r>
      <w:r w:rsidRPr="00042678">
        <w:rPr>
          <w:lang w:val="fr-FR"/>
        </w:rPr>
        <w:tab/>
        <w:t xml:space="preserve">Tirer B sur au moins 150 mm </w:t>
      </w:r>
      <w:r>
        <w:rPr>
          <w:lang w:val="fr-FR"/>
        </w:rPr>
        <w:t>tandis</w:t>
      </w:r>
      <w:r w:rsidRPr="00042678">
        <w:rPr>
          <w:lang w:val="fr-FR"/>
        </w:rPr>
        <w:t xml:space="preserve"> que A n</w:t>
      </w:r>
      <w:r w:rsidR="00F50B94">
        <w:rPr>
          <w:lang w:val="fr-FR"/>
        </w:rPr>
        <w:t>’</w:t>
      </w:r>
      <w:r w:rsidRPr="00042678">
        <w:rPr>
          <w:lang w:val="fr-FR"/>
        </w:rPr>
        <w:t>exerce pas de tension sur la sangle.</w:t>
      </w:r>
    </w:p>
    <w:p w14:paraId="65C81AF3" w14:textId="007BFC8A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</w:t>
      </w:r>
      <w:r w:rsidRPr="00042678">
        <w:rPr>
          <w:lang w:val="fr-FR"/>
        </w:rPr>
        <w:t>2.2</w:t>
      </w:r>
      <w:r w:rsidRPr="00042678">
        <w:rPr>
          <w:lang w:val="fr-FR"/>
        </w:rPr>
        <w:tab/>
        <w:t xml:space="preserve">Actionner le tendeur C et exercer une traction avec A </w:t>
      </w:r>
      <w:r>
        <w:rPr>
          <w:lang w:val="fr-FR"/>
        </w:rPr>
        <w:t>tandis</w:t>
      </w:r>
      <w:r w:rsidRPr="00042678">
        <w:rPr>
          <w:lang w:val="fr-FR"/>
        </w:rPr>
        <w:t xml:space="preserve"> que B n</w:t>
      </w:r>
      <w:r w:rsidR="00F50B94">
        <w:rPr>
          <w:lang w:val="fr-FR"/>
        </w:rPr>
        <w:t>’</w:t>
      </w:r>
      <w:r w:rsidRPr="00042678">
        <w:rPr>
          <w:lang w:val="fr-FR"/>
        </w:rPr>
        <w:t>exerce pas de tension sur l</w:t>
      </w:r>
      <w:r w:rsidR="00F50B94">
        <w:rPr>
          <w:lang w:val="fr-FR"/>
        </w:rPr>
        <w:t>’</w:t>
      </w:r>
      <w:r w:rsidRPr="00042678">
        <w:rPr>
          <w:lang w:val="fr-FR"/>
        </w:rPr>
        <w:t>extrémité libre de la sangle.</w:t>
      </w:r>
    </w:p>
    <w:p w14:paraId="48BEBEBC" w14:textId="77777777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</w:t>
      </w:r>
      <w:r w:rsidRPr="00042678">
        <w:rPr>
          <w:lang w:val="fr-FR"/>
        </w:rPr>
        <w:t>2.3</w:t>
      </w:r>
      <w:r w:rsidRPr="00042678">
        <w:rPr>
          <w:lang w:val="fr-FR"/>
        </w:rPr>
        <w:tab/>
        <w:t>En fin de course, mettre hors fonction le tendeur.</w:t>
      </w:r>
    </w:p>
    <w:p w14:paraId="58A7FFB2" w14:textId="2259D6B7" w:rsidR="00A97847" w:rsidRPr="00042678" w:rsidRDefault="00A97847" w:rsidP="00F50B94">
      <w:pPr>
        <w:pStyle w:val="SingleTxtG"/>
        <w:ind w:left="2268" w:hanging="1134"/>
        <w:rPr>
          <w:rFonts w:eastAsia="Times New Roman"/>
          <w:lang w:val="fr-FR"/>
        </w:rPr>
      </w:pPr>
      <w:r w:rsidRPr="00F50B94">
        <w:rPr>
          <w:b/>
          <w:bCs/>
          <w:lang w:val="fr-FR"/>
        </w:rPr>
        <w:t>2.</w:t>
      </w:r>
      <w:r w:rsidRPr="00042678">
        <w:rPr>
          <w:lang w:val="fr-FR"/>
        </w:rPr>
        <w:t xml:space="preserve">2.4 </w:t>
      </w:r>
      <w:r w:rsidRPr="00042678">
        <w:rPr>
          <w:lang w:val="fr-FR"/>
        </w:rPr>
        <w:tab/>
        <w:t>Répéter le cycle comme prescrit au paragraphe 6.7.2.7 du présent Règlement.</w:t>
      </w:r>
      <w:r w:rsidR="00F50B94">
        <w:rPr>
          <w:lang w:val="fr-FR"/>
        </w:rPr>
        <w:t> ».</w:t>
      </w:r>
    </w:p>
    <w:p w14:paraId="400941DB" w14:textId="194E7FFE" w:rsidR="00A97847" w:rsidRPr="00042678" w:rsidRDefault="00A97847" w:rsidP="00F50B94">
      <w:pPr>
        <w:pStyle w:val="SingleTxtG"/>
        <w:keepNext/>
        <w:ind w:left="567"/>
        <w:rPr>
          <w:rFonts w:eastAsia="Times New Roman"/>
          <w:i/>
          <w:lang w:val="fr-FR"/>
        </w:rPr>
      </w:pPr>
      <w:r w:rsidRPr="00042678">
        <w:rPr>
          <w:i/>
          <w:iCs/>
          <w:lang w:val="fr-FR"/>
        </w:rPr>
        <w:t xml:space="preserve">Annexe 27, </w:t>
      </w:r>
      <w:r w:rsidRPr="00042678">
        <w:rPr>
          <w:lang w:val="fr-FR"/>
        </w:rPr>
        <w:t>lire</w:t>
      </w:r>
      <w:r w:rsidR="00F50B94">
        <w:rPr>
          <w:lang w:val="fr-FR"/>
        </w:rPr>
        <w:t> </w:t>
      </w:r>
      <w:r w:rsidRPr="00042678">
        <w:rPr>
          <w:lang w:val="fr-FR"/>
        </w:rPr>
        <w:t>:</w:t>
      </w:r>
    </w:p>
    <w:p w14:paraId="3E304181" w14:textId="0DC305F6" w:rsidR="00A97847" w:rsidRPr="00042678" w:rsidRDefault="00A97847" w:rsidP="00F50B94">
      <w:pPr>
        <w:pStyle w:val="HChG"/>
        <w:rPr>
          <w:b w:val="0"/>
          <w:iCs/>
          <w:lang w:val="fr-FR"/>
        </w:rPr>
      </w:pPr>
      <w:r w:rsidRPr="00042678">
        <w:rPr>
          <w:lang w:val="fr-FR"/>
        </w:rPr>
        <w:tab/>
      </w:r>
      <w:r w:rsidR="00F50B94" w:rsidRPr="00F50B94">
        <w:rPr>
          <w:b w:val="0"/>
          <w:bCs/>
          <w:sz w:val="20"/>
          <w:lang w:val="fr-FR"/>
        </w:rPr>
        <w:t>« </w:t>
      </w:r>
      <w:r w:rsidRPr="00042678">
        <w:rPr>
          <w:lang w:val="fr-FR"/>
        </w:rPr>
        <w:t>Annexe 27</w:t>
      </w:r>
    </w:p>
    <w:p w14:paraId="5C4DCEA0" w14:textId="6A6AA9F8" w:rsidR="00A97847" w:rsidRPr="00042678" w:rsidRDefault="00A97847" w:rsidP="00F50B94">
      <w:pPr>
        <w:pStyle w:val="HChG"/>
        <w:ind w:left="2268" w:hanging="2268"/>
        <w:rPr>
          <w:lang w:val="fr-FR"/>
        </w:rPr>
      </w:pPr>
      <w:r w:rsidRPr="00042678">
        <w:rPr>
          <w:lang w:val="fr-FR"/>
        </w:rPr>
        <w:tab/>
      </w:r>
      <w:r w:rsidRPr="00042678">
        <w:rPr>
          <w:lang w:val="fr-FR"/>
        </w:rPr>
        <w:tab/>
        <w:t xml:space="preserve">Liste des renseignements à fournir au minimum </w:t>
      </w:r>
      <w:r w:rsidR="00F50B94">
        <w:rPr>
          <w:lang w:val="fr-FR"/>
        </w:rPr>
        <w:br/>
      </w:r>
      <w:r w:rsidRPr="00042678">
        <w:rPr>
          <w:lang w:val="fr-FR"/>
        </w:rPr>
        <w:t>dans le procès-verbal d</w:t>
      </w:r>
      <w:r w:rsidR="00F50B94">
        <w:rPr>
          <w:lang w:val="fr-FR"/>
        </w:rPr>
        <w:t>’</w:t>
      </w:r>
      <w:r w:rsidRPr="00042678">
        <w:rPr>
          <w:lang w:val="fr-FR"/>
        </w:rPr>
        <w:t>essai joint à la demande d</w:t>
      </w:r>
      <w:r w:rsidR="00F50B94">
        <w:rPr>
          <w:lang w:val="fr-FR"/>
        </w:rPr>
        <w:t>’</w:t>
      </w:r>
      <w:r w:rsidRPr="00042678">
        <w:rPr>
          <w:lang w:val="fr-FR"/>
        </w:rPr>
        <w:t>homologation de type</w:t>
      </w:r>
    </w:p>
    <w:p w14:paraId="2FFCA505" w14:textId="3B2F46B6" w:rsidR="00A97847" w:rsidRPr="00042678" w:rsidRDefault="00A97847" w:rsidP="00F50B94">
      <w:pPr>
        <w:pStyle w:val="SingleTxtG"/>
        <w:ind w:left="2268"/>
        <w:rPr>
          <w:rFonts w:eastAsia="Times New Roman"/>
          <w:lang w:val="fr-FR"/>
        </w:rPr>
      </w:pPr>
      <w:r w:rsidRPr="00042678">
        <w:rPr>
          <w:lang w:val="fr-FR"/>
        </w:rPr>
        <w:t>On trouvera énumérés dans la présente annexe les renseignements qui doivent figurer au minimum dans le procès-verbal d</w:t>
      </w:r>
      <w:r w:rsidR="00F50B94">
        <w:rPr>
          <w:lang w:val="fr-FR"/>
        </w:rPr>
        <w:t>’</w:t>
      </w:r>
      <w:r w:rsidRPr="00042678">
        <w:rPr>
          <w:lang w:val="fr-FR"/>
        </w:rPr>
        <w:t>essai joint à la demande d</w:t>
      </w:r>
      <w:r w:rsidR="00F50B94">
        <w:rPr>
          <w:lang w:val="fr-FR"/>
        </w:rPr>
        <w:t>’</w:t>
      </w:r>
      <w:r w:rsidRPr="00F50B94">
        <w:rPr>
          <w:b/>
          <w:bCs/>
          <w:lang w:val="fr-FR"/>
        </w:rPr>
        <w:t>une nouvelle</w:t>
      </w:r>
      <w:r w:rsidRPr="00042678">
        <w:rPr>
          <w:lang w:val="fr-FR"/>
        </w:rPr>
        <w:t xml:space="preserve"> homologation de type. </w:t>
      </w:r>
      <w:r w:rsidRPr="00F50B94">
        <w:rPr>
          <w:b/>
          <w:bCs/>
          <w:lang w:val="fr-FR"/>
        </w:rPr>
        <w:t>Pour l</w:t>
      </w:r>
      <w:r w:rsidR="00F50B94">
        <w:rPr>
          <w:b/>
          <w:bCs/>
          <w:lang w:val="fr-FR"/>
        </w:rPr>
        <w:t>’</w:t>
      </w:r>
      <w:r w:rsidRPr="00F50B94">
        <w:rPr>
          <w:b/>
          <w:bCs/>
          <w:lang w:val="fr-FR"/>
        </w:rPr>
        <w:t>extension d</w:t>
      </w:r>
      <w:r w:rsidR="00F50B94">
        <w:rPr>
          <w:b/>
          <w:bCs/>
          <w:lang w:val="fr-FR"/>
        </w:rPr>
        <w:t>’</w:t>
      </w:r>
      <w:r w:rsidRPr="00F50B94">
        <w:rPr>
          <w:b/>
          <w:bCs/>
          <w:lang w:val="fr-FR"/>
        </w:rPr>
        <w:t>une homologation, seuls les renseignements relatifs aux modifications apportées au système amélioré de retenue pour enfants doivent être fournis.</w:t>
      </w:r>
    </w:p>
    <w:p w14:paraId="0A5382F1" w14:textId="6F1B3623" w:rsidR="00A97847" w:rsidRPr="00042678" w:rsidRDefault="00A97847" w:rsidP="00F50B94">
      <w:pPr>
        <w:pStyle w:val="SingleTxtG"/>
        <w:ind w:left="2268"/>
        <w:rPr>
          <w:rFonts w:eastAsia="Times New Roman"/>
          <w:lang w:val="fr-FR"/>
        </w:rPr>
      </w:pPr>
      <w:r w:rsidRPr="00042678">
        <w:rPr>
          <w:lang w:val="fr-FR"/>
        </w:rPr>
        <w:lastRenderedPageBreak/>
        <w:t>La manière dont ces renseignements sont présentés dans la demande d</w:t>
      </w:r>
      <w:r w:rsidR="00F50B94">
        <w:rPr>
          <w:lang w:val="fr-FR"/>
        </w:rPr>
        <w:t>’</w:t>
      </w:r>
      <w:r w:rsidRPr="00042678">
        <w:rPr>
          <w:lang w:val="fr-FR"/>
        </w:rPr>
        <w:t>homologation est laissée au choix du service technique, qui peut modifier leur mise en page, leur mise en forme et leur ordre de présentation.</w:t>
      </w:r>
    </w:p>
    <w:p w14:paraId="40D30E06" w14:textId="3A563A10" w:rsidR="00A97847" w:rsidRPr="00042678" w:rsidRDefault="00A97847" w:rsidP="00F50B94">
      <w:pPr>
        <w:pStyle w:val="SingleTxtG"/>
        <w:ind w:left="2268"/>
        <w:rPr>
          <w:rFonts w:eastAsia="Calibri"/>
          <w:color w:val="000000"/>
          <w:lang w:val="fr-FR"/>
        </w:rPr>
      </w:pPr>
      <w:r w:rsidRPr="00042678">
        <w:rPr>
          <w:lang w:val="fr-FR"/>
        </w:rPr>
        <w:t>...</w:t>
      </w:r>
      <w:r w:rsidR="00F50B94">
        <w:rPr>
          <w:lang w:val="fr-FR"/>
        </w:rPr>
        <w:t> »</w:t>
      </w:r>
      <w:r w:rsidRPr="00403A46">
        <w:rPr>
          <w:lang w:val="fr-FR"/>
        </w:rPr>
        <w:t>.</w:t>
      </w:r>
    </w:p>
    <w:p w14:paraId="7BCDD80A" w14:textId="6E5EC067" w:rsidR="00A97847" w:rsidRPr="00042678" w:rsidRDefault="00F50B94" w:rsidP="00F50B94">
      <w:pPr>
        <w:pStyle w:val="HChG"/>
        <w:rPr>
          <w:lang w:val="fr-FR"/>
        </w:rPr>
      </w:pPr>
      <w:r>
        <w:rPr>
          <w:lang w:val="fr-FR"/>
        </w:rPr>
        <w:tab/>
      </w:r>
      <w:r w:rsidR="00A97847" w:rsidRPr="00042678">
        <w:rPr>
          <w:lang w:val="fr-FR"/>
        </w:rPr>
        <w:t>II.</w:t>
      </w:r>
      <w:r w:rsidR="00A97847" w:rsidRPr="00042678">
        <w:rPr>
          <w:lang w:val="fr-FR"/>
        </w:rPr>
        <w:tab/>
        <w:t>Justification</w:t>
      </w:r>
    </w:p>
    <w:p w14:paraId="22E5EC00" w14:textId="067E1DEE" w:rsidR="00A97847" w:rsidRPr="00042678" w:rsidRDefault="00F50B94" w:rsidP="00F50B94">
      <w:pPr>
        <w:pStyle w:val="SingleTxtG"/>
        <w:rPr>
          <w:rFonts w:eastAsia="Times New Roman"/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</w:r>
      <w:r w:rsidR="00A97847" w:rsidRPr="00042678">
        <w:rPr>
          <w:lang w:val="fr-FR"/>
        </w:rPr>
        <w:t>Les propositions de modifications du paragraphe 6.7.2.7 et de l</w:t>
      </w:r>
      <w:r>
        <w:rPr>
          <w:lang w:val="fr-FR"/>
        </w:rPr>
        <w:t>’</w:t>
      </w:r>
      <w:r w:rsidR="00A97847" w:rsidRPr="00042678">
        <w:rPr>
          <w:lang w:val="fr-FR"/>
        </w:rPr>
        <w:t>annexe 15 visent à corriger les erreurs rédactionnelles qui ont été faites dans les propositions adoptées à la soixante et unième session du Groupe de travail de la sécurité passive (GRSP)</w:t>
      </w:r>
      <w:r w:rsidR="00A97847">
        <w:rPr>
          <w:lang w:val="fr-FR"/>
        </w:rPr>
        <w:t>, avant d</w:t>
      </w:r>
      <w:r>
        <w:rPr>
          <w:lang w:val="fr-FR"/>
        </w:rPr>
        <w:t>’</w:t>
      </w:r>
      <w:r w:rsidR="00A97847">
        <w:rPr>
          <w:lang w:val="fr-FR"/>
        </w:rPr>
        <w:t>être</w:t>
      </w:r>
      <w:r w:rsidR="00A97847" w:rsidRPr="00042678">
        <w:rPr>
          <w:lang w:val="fr-FR"/>
        </w:rPr>
        <w:t xml:space="preserve"> intégrées dans les séries 01 et 02 d</w:t>
      </w:r>
      <w:r>
        <w:rPr>
          <w:lang w:val="fr-FR"/>
        </w:rPr>
        <w:t>’</w:t>
      </w:r>
      <w:r w:rsidR="00A97847" w:rsidRPr="00042678">
        <w:rPr>
          <w:lang w:val="fr-FR"/>
        </w:rPr>
        <w:t>amendements au Règlement ONU n</w:t>
      </w:r>
      <w:r w:rsidR="00A97847" w:rsidRPr="00042678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="00A97847" w:rsidRPr="00042678">
        <w:rPr>
          <w:lang w:val="fr-FR"/>
        </w:rPr>
        <w:t>129. La modification du paragraphe 6.7.2.7 intégrerait des modifications approuvées à la session susmentionnée du GRSP, qui figuraient dans la série 01 d</w:t>
      </w:r>
      <w:r>
        <w:rPr>
          <w:lang w:val="fr-FR"/>
        </w:rPr>
        <w:t>’</w:t>
      </w:r>
      <w:r w:rsidR="00A97847" w:rsidRPr="00042678">
        <w:rPr>
          <w:lang w:val="fr-FR"/>
        </w:rPr>
        <w:t>amendements mais ont été omises par erreur dans la série 02 (puis dans la série 03). La proposition de modification de l</w:t>
      </w:r>
      <w:r>
        <w:rPr>
          <w:lang w:val="fr-FR"/>
        </w:rPr>
        <w:t>’</w:t>
      </w:r>
      <w:r w:rsidR="00A97847" w:rsidRPr="00042678">
        <w:rPr>
          <w:lang w:val="fr-FR"/>
        </w:rPr>
        <w:t>annexe 15 réintroduit une figure et une méthode d</w:t>
      </w:r>
      <w:r>
        <w:rPr>
          <w:lang w:val="fr-FR"/>
        </w:rPr>
        <w:t>’</w:t>
      </w:r>
      <w:r w:rsidR="00A97847" w:rsidRPr="00042678">
        <w:rPr>
          <w:lang w:val="fr-FR"/>
        </w:rPr>
        <w:t>essai concernant les</w:t>
      </w:r>
      <w:r w:rsidR="00A97847" w:rsidRPr="00042678">
        <w:rPr>
          <w:i/>
          <w:iCs/>
          <w:lang w:val="fr-FR"/>
        </w:rPr>
        <w:t xml:space="preserve"> </w:t>
      </w:r>
      <w:r w:rsidR="00A97847" w:rsidRPr="00DA67E7">
        <w:rPr>
          <w:iCs/>
          <w:lang w:val="fr-FR"/>
        </w:rPr>
        <w:t>tendeurs montés directement sur le système amélioré de retenue pour enfants</w:t>
      </w:r>
      <w:r w:rsidR="00A97847" w:rsidRPr="00042678">
        <w:rPr>
          <w:lang w:val="fr-FR"/>
        </w:rPr>
        <w:t>, qui auraient dû être ajoutées à, et non remplacées par, une figure et une procédure d</w:t>
      </w:r>
      <w:r>
        <w:rPr>
          <w:lang w:val="fr-FR"/>
        </w:rPr>
        <w:t>’</w:t>
      </w:r>
      <w:r w:rsidR="00A97847" w:rsidRPr="00042678">
        <w:rPr>
          <w:lang w:val="fr-FR"/>
        </w:rPr>
        <w:t xml:space="preserve">essai concernant les </w:t>
      </w:r>
      <w:r w:rsidR="00A97847" w:rsidRPr="00DA67E7">
        <w:rPr>
          <w:iCs/>
          <w:lang w:val="fr-FR"/>
        </w:rPr>
        <w:t>tendeurs montés sur une sangle</w:t>
      </w:r>
      <w:r w:rsidR="00A97847" w:rsidRPr="00042678">
        <w:rPr>
          <w:lang w:val="fr-FR"/>
        </w:rPr>
        <w:t xml:space="preserve">. </w:t>
      </w:r>
    </w:p>
    <w:p w14:paraId="699B72EC" w14:textId="7E0894C5" w:rsidR="00A97847" w:rsidRPr="00042678" w:rsidRDefault="00F50B94" w:rsidP="00F50B94">
      <w:pPr>
        <w:pStyle w:val="SingleTxtG"/>
        <w:rPr>
          <w:rFonts w:eastAsia="Times New Roman"/>
          <w:lang w:val="fr-FR"/>
        </w:rPr>
      </w:pPr>
      <w:r>
        <w:rPr>
          <w:lang w:val="fr-FR"/>
        </w:rPr>
        <w:t>2.</w:t>
      </w:r>
      <w:r>
        <w:rPr>
          <w:lang w:val="fr-FR"/>
        </w:rPr>
        <w:tab/>
      </w:r>
      <w:r w:rsidR="00A97847" w:rsidRPr="00042678">
        <w:rPr>
          <w:lang w:val="fr-FR"/>
        </w:rPr>
        <w:t>La proposition de modification du paragraphe 8.1 permet de préciser que dans le cas des extensions d</w:t>
      </w:r>
      <w:r>
        <w:rPr>
          <w:lang w:val="fr-FR"/>
        </w:rPr>
        <w:t>’</w:t>
      </w:r>
      <w:r w:rsidR="00A97847" w:rsidRPr="00042678">
        <w:rPr>
          <w:lang w:val="fr-FR"/>
        </w:rPr>
        <w:t>homologations de type, seuls les renseignements relatifs aux modifications apportées au système amélioré de retenue pour enfants doivent être fournis, et qu</w:t>
      </w:r>
      <w:r>
        <w:rPr>
          <w:lang w:val="fr-FR"/>
        </w:rPr>
        <w:t>’</w:t>
      </w:r>
      <w:r w:rsidR="00A97847" w:rsidRPr="00042678">
        <w:rPr>
          <w:lang w:val="fr-FR"/>
        </w:rPr>
        <w:t>un rapport complet n</w:t>
      </w:r>
      <w:r>
        <w:rPr>
          <w:lang w:val="fr-FR"/>
        </w:rPr>
        <w:t>’</w:t>
      </w:r>
      <w:r w:rsidR="00A97847" w:rsidRPr="00042678">
        <w:rPr>
          <w:lang w:val="fr-FR"/>
        </w:rPr>
        <w:t>est donc pas nécessaire.</w:t>
      </w:r>
    </w:p>
    <w:p w14:paraId="5645B299" w14:textId="752E74E3" w:rsidR="00A97847" w:rsidRDefault="00F50B94" w:rsidP="00F50B94">
      <w:pPr>
        <w:pStyle w:val="SingleTxtG"/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</w:r>
      <w:r w:rsidR="00A97847" w:rsidRPr="00042678">
        <w:rPr>
          <w:lang w:val="fr-FR"/>
        </w:rPr>
        <w:t xml:space="preserve">En ce qui concerne le paragraphe 14 intitulé </w:t>
      </w:r>
      <w:r>
        <w:rPr>
          <w:lang w:val="fr-FR"/>
        </w:rPr>
        <w:t>« </w:t>
      </w:r>
      <w:r w:rsidR="00A97847" w:rsidRPr="00042678">
        <w:rPr>
          <w:lang w:val="fr-FR"/>
        </w:rPr>
        <w:t>Informations à l</w:t>
      </w:r>
      <w:r>
        <w:rPr>
          <w:lang w:val="fr-FR"/>
        </w:rPr>
        <w:t>’</w:t>
      </w:r>
      <w:r w:rsidR="00A97847" w:rsidRPr="00042678">
        <w:rPr>
          <w:lang w:val="fr-FR"/>
        </w:rPr>
        <w:t>intention des utilisateurs</w:t>
      </w:r>
      <w:r>
        <w:rPr>
          <w:lang w:val="fr-FR"/>
        </w:rPr>
        <w:t> »</w:t>
      </w:r>
      <w:r w:rsidR="00A97847" w:rsidRPr="00042678">
        <w:rPr>
          <w:lang w:val="fr-FR"/>
        </w:rPr>
        <w:t>, l</w:t>
      </w:r>
      <w:r>
        <w:rPr>
          <w:lang w:val="fr-FR"/>
        </w:rPr>
        <w:t>’</w:t>
      </w:r>
      <w:r w:rsidR="00A97847" w:rsidRPr="00042678">
        <w:rPr>
          <w:lang w:val="fr-FR"/>
        </w:rPr>
        <w:t>alinéa b) du paragraphe 14.1 a été modifié pour que les services techniques l</w:t>
      </w:r>
      <w:r>
        <w:rPr>
          <w:lang w:val="fr-FR"/>
        </w:rPr>
        <w:t>’</w:t>
      </w:r>
      <w:r w:rsidR="00A97847" w:rsidRPr="00042678">
        <w:rPr>
          <w:lang w:val="fr-FR"/>
        </w:rPr>
        <w:t>interprètent correctement.</w:t>
      </w:r>
    </w:p>
    <w:p w14:paraId="429F1BD0" w14:textId="6A99E8C8" w:rsidR="00F50B94" w:rsidRPr="00F50B94" w:rsidRDefault="00F50B94" w:rsidP="00F50B9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50B94" w:rsidRPr="00F50B94" w:rsidSect="00A9784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B22C" w14:textId="77777777" w:rsidR="000759AC" w:rsidRDefault="000759AC" w:rsidP="00F95C08">
      <w:pPr>
        <w:spacing w:line="240" w:lineRule="auto"/>
      </w:pPr>
    </w:p>
  </w:endnote>
  <w:endnote w:type="continuationSeparator" w:id="0">
    <w:p w14:paraId="659850E9" w14:textId="77777777" w:rsidR="000759AC" w:rsidRPr="00AC3823" w:rsidRDefault="000759AC" w:rsidP="00AC3823">
      <w:pPr>
        <w:pStyle w:val="Pieddepage"/>
      </w:pPr>
    </w:p>
  </w:endnote>
  <w:endnote w:type="continuationNotice" w:id="1">
    <w:p w14:paraId="7DA80324" w14:textId="77777777" w:rsidR="000759AC" w:rsidRDefault="000759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2923" w14:textId="5A602E09" w:rsidR="00A97847" w:rsidRPr="00A97847" w:rsidRDefault="00A97847" w:rsidP="00A97847">
    <w:pPr>
      <w:pStyle w:val="Pieddepage"/>
      <w:tabs>
        <w:tab w:val="right" w:pos="9638"/>
      </w:tabs>
    </w:pPr>
    <w:r w:rsidRPr="00A97847">
      <w:rPr>
        <w:b/>
        <w:sz w:val="18"/>
      </w:rPr>
      <w:fldChar w:fldCharType="begin"/>
    </w:r>
    <w:r w:rsidRPr="00A97847">
      <w:rPr>
        <w:b/>
        <w:sz w:val="18"/>
      </w:rPr>
      <w:instrText xml:space="preserve"> PAGE  \* MERGEFORMAT </w:instrText>
    </w:r>
    <w:r w:rsidRPr="00A97847">
      <w:rPr>
        <w:b/>
        <w:sz w:val="18"/>
      </w:rPr>
      <w:fldChar w:fldCharType="separate"/>
    </w:r>
    <w:r w:rsidRPr="00A97847">
      <w:rPr>
        <w:b/>
        <w:noProof/>
        <w:sz w:val="18"/>
      </w:rPr>
      <w:t>2</w:t>
    </w:r>
    <w:r w:rsidRPr="00A97847">
      <w:rPr>
        <w:b/>
        <w:sz w:val="18"/>
      </w:rPr>
      <w:fldChar w:fldCharType="end"/>
    </w:r>
    <w:r>
      <w:rPr>
        <w:b/>
        <w:sz w:val="18"/>
      </w:rPr>
      <w:tab/>
    </w:r>
    <w:r>
      <w:t>GE.22-02235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956" w14:textId="2B0FD112" w:rsidR="00A97847" w:rsidRPr="00A97847" w:rsidRDefault="00A97847" w:rsidP="00A97847">
    <w:pPr>
      <w:pStyle w:val="Pieddepage"/>
      <w:tabs>
        <w:tab w:val="right" w:pos="9638"/>
      </w:tabs>
      <w:rPr>
        <w:b/>
        <w:sz w:val="18"/>
      </w:rPr>
    </w:pPr>
    <w:r>
      <w:t>GE.22-02235</w:t>
    </w:r>
    <w:r>
      <w:tab/>
    </w:r>
    <w:r w:rsidRPr="00A97847">
      <w:rPr>
        <w:b/>
        <w:sz w:val="18"/>
      </w:rPr>
      <w:fldChar w:fldCharType="begin"/>
    </w:r>
    <w:r w:rsidRPr="00A97847">
      <w:rPr>
        <w:b/>
        <w:sz w:val="18"/>
      </w:rPr>
      <w:instrText xml:space="preserve"> PAGE  \* MERGEFORMAT </w:instrText>
    </w:r>
    <w:r w:rsidRPr="00A97847">
      <w:rPr>
        <w:b/>
        <w:sz w:val="18"/>
      </w:rPr>
      <w:fldChar w:fldCharType="separate"/>
    </w:r>
    <w:r w:rsidRPr="00A97847">
      <w:rPr>
        <w:b/>
        <w:noProof/>
        <w:sz w:val="18"/>
      </w:rPr>
      <w:t>3</w:t>
    </w:r>
    <w:r w:rsidRPr="00A9784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2025" w14:textId="7F3B508E" w:rsidR="007F20FA" w:rsidRPr="00A97847" w:rsidRDefault="00A97847" w:rsidP="00A97847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7FD687D1" wp14:editId="0DF499F4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22-02235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644A0C6" wp14:editId="30F4FD24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598">
      <w:rPr>
        <w:sz w:val="20"/>
      </w:rPr>
      <w:t xml:space="preserve">    210322    210322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8F2A" w14:textId="77777777" w:rsidR="000759AC" w:rsidRPr="00AC3823" w:rsidRDefault="000759A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6BB246F" w14:textId="77777777" w:rsidR="000759AC" w:rsidRPr="00AC3823" w:rsidRDefault="000759A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DD230B3" w14:textId="77777777" w:rsidR="000759AC" w:rsidRPr="00AC3823" w:rsidRDefault="000759AC">
      <w:pPr>
        <w:spacing w:line="240" w:lineRule="auto"/>
        <w:rPr>
          <w:sz w:val="2"/>
          <w:szCs w:val="2"/>
        </w:rPr>
      </w:pPr>
    </w:p>
  </w:footnote>
  <w:footnote w:id="2">
    <w:p w14:paraId="729FF1DA" w14:textId="609C2940" w:rsidR="00261E48" w:rsidRPr="00261E48" w:rsidRDefault="00261E48">
      <w:pPr>
        <w:pStyle w:val="Notedebasdepage"/>
      </w:pPr>
      <w:r>
        <w:rPr>
          <w:rStyle w:val="Appelnotedebasdep"/>
        </w:rPr>
        <w:tab/>
      </w:r>
      <w:r w:rsidRPr="00261E48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2022 tel qu’il figure dans le projet de budget-programme pour 2022 (A/76/6 (Sect. 20), par. 20.76),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2D08" w14:textId="0890AAF6" w:rsidR="00A97847" w:rsidRPr="00A97847" w:rsidRDefault="00A97847">
    <w:pPr>
      <w:pStyle w:val="En-tte"/>
    </w:pPr>
    <w:fldSimple w:instr=" TITLE  \* MERGEFORMAT ">
      <w:r w:rsidR="00FE2571">
        <w:t>ECE/TRANS/WP.29/GRSP/2022/7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0653" w14:textId="361309B8" w:rsidR="00A97847" w:rsidRPr="00A97847" w:rsidRDefault="00A97847" w:rsidP="00A97847">
    <w:pPr>
      <w:pStyle w:val="En-tte"/>
      <w:jc w:val="right"/>
    </w:pPr>
    <w:fldSimple w:instr=" TITLE  \* MERGEFORMAT ">
      <w:r w:rsidR="00FE2571">
        <w:t>ECE/TRANS/WP.29/GRSP/2022/7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AC"/>
    <w:rsid w:val="00017F94"/>
    <w:rsid w:val="00023842"/>
    <w:rsid w:val="000334F9"/>
    <w:rsid w:val="00045FEB"/>
    <w:rsid w:val="000759AC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61E48"/>
    <w:rsid w:val="002744B8"/>
    <w:rsid w:val="002832AC"/>
    <w:rsid w:val="002D7C93"/>
    <w:rsid w:val="00305801"/>
    <w:rsid w:val="003916DE"/>
    <w:rsid w:val="003B126B"/>
    <w:rsid w:val="00403A46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51709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879B1"/>
    <w:rsid w:val="008D5EF9"/>
    <w:rsid w:val="009446C0"/>
    <w:rsid w:val="009705C8"/>
    <w:rsid w:val="00995252"/>
    <w:rsid w:val="009C1CF4"/>
    <w:rsid w:val="009F6B74"/>
    <w:rsid w:val="00A3029F"/>
    <w:rsid w:val="00A30353"/>
    <w:rsid w:val="00A32C35"/>
    <w:rsid w:val="00A97847"/>
    <w:rsid w:val="00AC3823"/>
    <w:rsid w:val="00AE323C"/>
    <w:rsid w:val="00AF0CB5"/>
    <w:rsid w:val="00B00181"/>
    <w:rsid w:val="00B00B0D"/>
    <w:rsid w:val="00B119EC"/>
    <w:rsid w:val="00B45F2E"/>
    <w:rsid w:val="00B61598"/>
    <w:rsid w:val="00B765F7"/>
    <w:rsid w:val="00B77993"/>
    <w:rsid w:val="00BA0CA9"/>
    <w:rsid w:val="00C02897"/>
    <w:rsid w:val="00C97039"/>
    <w:rsid w:val="00CB4618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50B94"/>
    <w:rsid w:val="00F660DF"/>
    <w:rsid w:val="00F94664"/>
    <w:rsid w:val="00F9573C"/>
    <w:rsid w:val="00F95C08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A9BEB9"/>
  <w15:docId w15:val="{60866740-0FB6-4C22-9BE5-F4A0E7C1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qFormat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paragraph" w:customStyle="1" w:styleId="SingleTxtGR">
    <w:name w:val="_ Single Txt_GR"/>
    <w:basedOn w:val="Normal"/>
    <w:link w:val="SingleTxtGR0"/>
    <w:qFormat/>
    <w:rsid w:val="003B126B"/>
    <w:pPr>
      <w:tabs>
        <w:tab w:val="left" w:pos="1701"/>
        <w:tab w:val="left" w:pos="2268"/>
        <w:tab w:val="left" w:pos="2835"/>
        <w:tab w:val="left" w:pos="3402"/>
        <w:tab w:val="left" w:pos="3969"/>
      </w:tabs>
      <w:kinsoku/>
      <w:overflowPunct/>
      <w:autoSpaceDE/>
      <w:autoSpaceDN/>
      <w:adjustRightInd/>
      <w:snapToGrid/>
      <w:spacing w:after="120"/>
      <w:ind w:left="1134" w:right="1134"/>
      <w:jc w:val="both"/>
    </w:pPr>
    <w:rPr>
      <w:rFonts w:eastAsia="Times New Roman"/>
      <w:lang w:val="ru-RU"/>
    </w:rPr>
  </w:style>
  <w:style w:type="character" w:customStyle="1" w:styleId="SingleTxtGR0">
    <w:name w:val="_ Single Txt_GR Знак"/>
    <w:basedOn w:val="Policepardfaut"/>
    <w:link w:val="SingleTxtGR"/>
    <w:rsid w:val="003B126B"/>
    <w:rPr>
      <w:rFonts w:ascii="Times New Roman" w:hAnsi="Times New Roman" w:cs="Times New Roman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5</Pages>
  <Words>926</Words>
  <Characters>6482</Characters>
  <Application>Microsoft Office Word</Application>
  <DocSecurity>0</DocSecurity>
  <Lines>540</Lines>
  <Paragraphs>296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ECE/TRANS/WP.29/GRSP/2022/7</vt:lpstr>
    </vt:vector>
  </TitlesOfParts>
  <Company>DCM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ECE/TRANS/WP.29/GRSP/2022/7</dc:title>
  <dc:subject/>
  <dc:creator>Julien OKRZESIK</dc:creator>
  <cp:keywords/>
  <cp:lastModifiedBy>Julien Okrzesik</cp:lastModifiedBy>
  <cp:revision>3</cp:revision>
  <cp:lastPrinted>2022-03-21T13:55:00Z</cp:lastPrinted>
  <dcterms:created xsi:type="dcterms:W3CDTF">2022-03-21T13:55:00Z</dcterms:created>
  <dcterms:modified xsi:type="dcterms:W3CDTF">2022-03-21T13:56:00Z</dcterms:modified>
</cp:coreProperties>
</file>