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2136AB1F" w14:textId="77777777" w:rsidTr="00C97039">
        <w:trPr>
          <w:trHeight w:hRule="exact" w:val="851"/>
        </w:trPr>
        <w:tc>
          <w:tcPr>
            <w:tcW w:w="1276" w:type="dxa"/>
            <w:tcBorders>
              <w:bottom w:val="single" w:sz="4" w:space="0" w:color="auto"/>
            </w:tcBorders>
          </w:tcPr>
          <w:p w14:paraId="0B1921E7" w14:textId="77777777" w:rsidR="00F35BAF" w:rsidRPr="00DB58B5" w:rsidRDefault="00F35BAF" w:rsidP="000171A4"/>
        </w:tc>
        <w:tc>
          <w:tcPr>
            <w:tcW w:w="2268" w:type="dxa"/>
            <w:tcBorders>
              <w:bottom w:val="single" w:sz="4" w:space="0" w:color="auto"/>
            </w:tcBorders>
            <w:vAlign w:val="bottom"/>
          </w:tcPr>
          <w:p w14:paraId="5E365EE0"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6E2ADE9" w14:textId="1DF80419" w:rsidR="00F35BAF" w:rsidRPr="00DB58B5" w:rsidRDefault="000171A4" w:rsidP="000171A4">
            <w:pPr>
              <w:jc w:val="right"/>
            </w:pPr>
            <w:r w:rsidRPr="000171A4">
              <w:rPr>
                <w:sz w:val="40"/>
              </w:rPr>
              <w:t>ECE</w:t>
            </w:r>
            <w:r>
              <w:t>/TRANS/WP</w:t>
            </w:r>
            <w:r w:rsidR="00C76BED" w:rsidRPr="00C76BED">
              <w:t>.</w:t>
            </w:r>
            <w:r>
              <w:t>29/GRSP/2022/3</w:t>
            </w:r>
          </w:p>
        </w:tc>
      </w:tr>
      <w:tr w:rsidR="00F35BAF" w:rsidRPr="00DB58B5" w14:paraId="7B20E216" w14:textId="77777777" w:rsidTr="00C97039">
        <w:trPr>
          <w:trHeight w:hRule="exact" w:val="2835"/>
        </w:trPr>
        <w:tc>
          <w:tcPr>
            <w:tcW w:w="1276" w:type="dxa"/>
            <w:tcBorders>
              <w:top w:val="single" w:sz="4" w:space="0" w:color="auto"/>
              <w:bottom w:val="single" w:sz="12" w:space="0" w:color="auto"/>
            </w:tcBorders>
          </w:tcPr>
          <w:p w14:paraId="494F982E" w14:textId="77777777" w:rsidR="00F35BAF" w:rsidRPr="00DB58B5" w:rsidRDefault="00F35BAF" w:rsidP="00C97039">
            <w:pPr>
              <w:spacing w:before="120"/>
              <w:jc w:val="center"/>
            </w:pPr>
            <w:r>
              <w:rPr>
                <w:noProof/>
                <w:lang w:eastAsia="fr-CH"/>
              </w:rPr>
              <w:drawing>
                <wp:inline distT="0" distB="0" distL="0" distR="0" wp14:anchorId="7C6BCEC3" wp14:editId="4EE7F87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D8E0756"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264F2E3" w14:textId="03F27CDF" w:rsidR="00F35BAF" w:rsidRDefault="000171A4" w:rsidP="00C97039">
            <w:pPr>
              <w:spacing w:before="240"/>
            </w:pPr>
            <w:proofErr w:type="spellStart"/>
            <w:r>
              <w:t>Distr</w:t>
            </w:r>
            <w:proofErr w:type="spellEnd"/>
            <w:r w:rsidR="00C76BED" w:rsidRPr="00C76BED">
              <w:t>.</w:t>
            </w:r>
            <w:r>
              <w:t xml:space="preserve"> générale</w:t>
            </w:r>
          </w:p>
          <w:p w14:paraId="4FEFF166" w14:textId="77777777" w:rsidR="000171A4" w:rsidRDefault="000171A4" w:rsidP="000171A4">
            <w:pPr>
              <w:spacing w:line="240" w:lineRule="exact"/>
            </w:pPr>
            <w:r>
              <w:t>17 février 2022</w:t>
            </w:r>
          </w:p>
          <w:p w14:paraId="5BA64A0C" w14:textId="77777777" w:rsidR="000171A4" w:rsidRDefault="000171A4" w:rsidP="000171A4">
            <w:pPr>
              <w:spacing w:line="240" w:lineRule="exact"/>
            </w:pPr>
            <w:r>
              <w:t>Français</w:t>
            </w:r>
          </w:p>
          <w:p w14:paraId="1CBC33EE" w14:textId="0C0EE046" w:rsidR="000171A4" w:rsidRPr="00DB58B5" w:rsidRDefault="000171A4" w:rsidP="000171A4">
            <w:pPr>
              <w:spacing w:line="240" w:lineRule="exact"/>
            </w:pPr>
            <w:r>
              <w:t>Original : anglais</w:t>
            </w:r>
          </w:p>
        </w:tc>
      </w:tr>
    </w:tbl>
    <w:p w14:paraId="378E61C6" w14:textId="77777777" w:rsidR="007F20FA" w:rsidRPr="000312C0" w:rsidRDefault="007F20FA" w:rsidP="007F20FA">
      <w:pPr>
        <w:spacing w:before="120"/>
        <w:rPr>
          <w:b/>
          <w:sz w:val="28"/>
          <w:szCs w:val="28"/>
        </w:rPr>
      </w:pPr>
      <w:r w:rsidRPr="000312C0">
        <w:rPr>
          <w:b/>
          <w:sz w:val="28"/>
          <w:szCs w:val="28"/>
        </w:rPr>
        <w:t>Commission économique pour l’Europe</w:t>
      </w:r>
    </w:p>
    <w:p w14:paraId="6C49C577" w14:textId="77777777" w:rsidR="007F20FA" w:rsidRDefault="007F20FA" w:rsidP="007F20FA">
      <w:pPr>
        <w:spacing w:before="120"/>
        <w:rPr>
          <w:sz w:val="28"/>
          <w:szCs w:val="28"/>
        </w:rPr>
      </w:pPr>
      <w:r w:rsidRPr="00685843">
        <w:rPr>
          <w:sz w:val="28"/>
          <w:szCs w:val="28"/>
        </w:rPr>
        <w:t>Comité des transports intérieurs</w:t>
      </w:r>
    </w:p>
    <w:p w14:paraId="641624DB" w14:textId="76F5F2EB" w:rsidR="00814FCC" w:rsidRPr="00E208D4" w:rsidRDefault="00814FCC" w:rsidP="00814FCC">
      <w:pPr>
        <w:spacing w:before="120"/>
        <w:rPr>
          <w:b/>
          <w:sz w:val="24"/>
          <w:szCs w:val="24"/>
          <w:lang w:val="fr-FR"/>
        </w:rPr>
      </w:pPr>
      <w:r w:rsidRPr="00E208D4">
        <w:rPr>
          <w:b/>
          <w:bCs/>
          <w:sz w:val="24"/>
          <w:szCs w:val="24"/>
          <w:lang w:val="fr-FR"/>
        </w:rPr>
        <w:t xml:space="preserve">Forum mondial de l’harmonisation </w:t>
      </w:r>
      <w:r w:rsidR="005A271F" w:rsidRPr="00E208D4">
        <w:rPr>
          <w:b/>
          <w:bCs/>
          <w:sz w:val="24"/>
          <w:szCs w:val="24"/>
          <w:lang w:val="fr-FR"/>
        </w:rPr>
        <w:br/>
      </w:r>
      <w:r w:rsidRPr="00E208D4">
        <w:rPr>
          <w:b/>
          <w:bCs/>
          <w:sz w:val="24"/>
          <w:szCs w:val="24"/>
          <w:lang w:val="fr-FR"/>
        </w:rPr>
        <w:t>des Règlements concernant les véhicules</w:t>
      </w:r>
    </w:p>
    <w:p w14:paraId="4090BECC" w14:textId="77777777" w:rsidR="00814FCC" w:rsidRPr="00EB283D" w:rsidRDefault="00814FCC" w:rsidP="00814FCC">
      <w:pPr>
        <w:spacing w:before="120"/>
        <w:rPr>
          <w:b/>
          <w:lang w:val="fr-FR"/>
        </w:rPr>
      </w:pPr>
      <w:r>
        <w:rPr>
          <w:b/>
          <w:bCs/>
          <w:lang w:val="fr-FR"/>
        </w:rPr>
        <w:t>Groupe de travail de la sécurité passive</w:t>
      </w:r>
    </w:p>
    <w:p w14:paraId="0BF47EC4" w14:textId="77777777" w:rsidR="00814FCC" w:rsidRPr="00EB283D" w:rsidRDefault="00814FCC" w:rsidP="00814FCC">
      <w:pPr>
        <w:spacing w:before="120"/>
        <w:rPr>
          <w:b/>
          <w:lang w:val="fr-FR"/>
        </w:rPr>
      </w:pPr>
      <w:r>
        <w:rPr>
          <w:b/>
          <w:bCs/>
          <w:lang w:val="fr-FR"/>
        </w:rPr>
        <w:t>Soixante et onzième session</w:t>
      </w:r>
      <w:r>
        <w:rPr>
          <w:lang w:val="fr-FR"/>
        </w:rPr>
        <w:t xml:space="preserve"> </w:t>
      </w:r>
    </w:p>
    <w:p w14:paraId="3DAFD2D6" w14:textId="77777777" w:rsidR="00814FCC" w:rsidRPr="00EB283D" w:rsidRDefault="00814FCC" w:rsidP="00814FCC">
      <w:pPr>
        <w:rPr>
          <w:bCs/>
          <w:lang w:val="fr-FR"/>
        </w:rPr>
      </w:pPr>
      <w:r>
        <w:rPr>
          <w:lang w:val="fr-FR"/>
        </w:rPr>
        <w:t>Genève, 9-13 mai 2022</w:t>
      </w:r>
      <w:bookmarkStart w:id="0" w:name="_Hlk30413188"/>
      <w:bookmarkEnd w:id="0"/>
    </w:p>
    <w:p w14:paraId="1D3826F9" w14:textId="77777777" w:rsidR="00814FCC" w:rsidRPr="00EB283D" w:rsidRDefault="00814FCC" w:rsidP="00814FCC">
      <w:pPr>
        <w:rPr>
          <w:bCs/>
          <w:lang w:val="fr-FR"/>
        </w:rPr>
      </w:pPr>
      <w:r>
        <w:rPr>
          <w:lang w:val="fr-FR"/>
        </w:rPr>
        <w:t>Point 5 de l’ordre du jour provisoire</w:t>
      </w:r>
    </w:p>
    <w:p w14:paraId="0E3BE006" w14:textId="77777777" w:rsidR="00814FCC" w:rsidRPr="00EB283D" w:rsidRDefault="00814FCC" w:rsidP="00814FCC">
      <w:pPr>
        <w:rPr>
          <w:b/>
          <w:lang w:val="fr-FR"/>
        </w:rPr>
      </w:pPr>
      <w:r>
        <w:rPr>
          <w:b/>
          <w:bCs/>
          <w:lang w:val="fr-FR"/>
        </w:rPr>
        <w:t>Règlement ONU n</w:t>
      </w:r>
      <w:r>
        <w:rPr>
          <w:b/>
          <w:bCs/>
          <w:vertAlign w:val="superscript"/>
          <w:lang w:val="fr-FR"/>
        </w:rPr>
        <w:t>o</w:t>
      </w:r>
      <w:r>
        <w:rPr>
          <w:b/>
          <w:bCs/>
          <w:lang w:val="fr-FR"/>
        </w:rPr>
        <w:t> 16 (Ceintures de sécurité)</w:t>
      </w:r>
    </w:p>
    <w:p w14:paraId="2A0DF72F" w14:textId="40AC7759" w:rsidR="00814FCC" w:rsidRPr="00EB283D" w:rsidRDefault="00814FCC" w:rsidP="005B4F34">
      <w:pPr>
        <w:pStyle w:val="HChG"/>
        <w:rPr>
          <w:lang w:val="fr-FR"/>
        </w:rPr>
      </w:pPr>
      <w:r>
        <w:rPr>
          <w:lang w:val="fr-FR"/>
        </w:rPr>
        <w:tab/>
      </w:r>
      <w:r>
        <w:rPr>
          <w:lang w:val="fr-FR"/>
        </w:rPr>
        <w:tab/>
        <w:t>Proposition de série 09 d’amendements</w:t>
      </w:r>
    </w:p>
    <w:p w14:paraId="74D097F8" w14:textId="4E883C87" w:rsidR="00814FCC" w:rsidRPr="00EB283D" w:rsidRDefault="005B4F34" w:rsidP="005B4F34">
      <w:pPr>
        <w:pStyle w:val="H1G"/>
        <w:rPr>
          <w:lang w:val="fr-FR"/>
        </w:rPr>
      </w:pPr>
      <w:r>
        <w:rPr>
          <w:lang w:val="fr-FR"/>
        </w:rPr>
        <w:tab/>
      </w:r>
      <w:r>
        <w:rPr>
          <w:lang w:val="fr-FR"/>
        </w:rPr>
        <w:tab/>
      </w:r>
      <w:r w:rsidR="00814FCC">
        <w:rPr>
          <w:lang w:val="fr-FR"/>
        </w:rPr>
        <w:t>Communication des experts du Japon</w:t>
      </w:r>
      <w:r w:rsidR="00814FCC" w:rsidRPr="005B4F34">
        <w:rPr>
          <w:b w:val="0"/>
          <w:bCs/>
          <w:sz w:val="20"/>
          <w:lang w:val="fr-FR"/>
        </w:rPr>
        <w:footnoteReference w:customMarkFollows="1" w:id="2"/>
        <w:t>*</w:t>
      </w:r>
    </w:p>
    <w:p w14:paraId="0162F364" w14:textId="5E93E025" w:rsidR="00814FCC" w:rsidRPr="00EB283D" w:rsidRDefault="005B4F34" w:rsidP="005B4F34">
      <w:pPr>
        <w:pStyle w:val="SingleTxtG"/>
        <w:rPr>
          <w:lang w:val="fr-FR"/>
        </w:rPr>
      </w:pPr>
      <w:r>
        <w:rPr>
          <w:lang w:val="fr-FR"/>
        </w:rPr>
        <w:tab/>
      </w:r>
      <w:r>
        <w:rPr>
          <w:lang w:val="fr-FR"/>
        </w:rPr>
        <w:tab/>
      </w:r>
      <w:r w:rsidR="00814FCC">
        <w:rPr>
          <w:lang w:val="fr-FR"/>
        </w:rPr>
        <w:t>Le texte ci-après décrit les nouvelles prescriptions relatives aux ceintures de sécurité des sièges équipés d’ancrages ISOFIX inférieurs</w:t>
      </w:r>
      <w:r w:rsidR="00C76BED" w:rsidRPr="00C76BED">
        <w:rPr>
          <w:lang w:val="fr-FR"/>
        </w:rPr>
        <w:t>.</w:t>
      </w:r>
      <w:r w:rsidR="00814FCC">
        <w:rPr>
          <w:lang w:val="fr-FR"/>
        </w:rPr>
        <w:t xml:space="preserve"> Il est fondé sur le document informel GRSP-69-23 distribué à la soixante-neuvième session du Groupe de travail de la sécurité passive (GRSP)</w:t>
      </w:r>
      <w:r w:rsidR="00C76BED" w:rsidRPr="00C76BED">
        <w:rPr>
          <w:lang w:val="fr-FR"/>
        </w:rPr>
        <w:t>.</w:t>
      </w:r>
      <w:r w:rsidR="00814FCC">
        <w:rPr>
          <w:lang w:val="fr-FR"/>
        </w:rPr>
        <w:t xml:space="preserve"> Les modifications qu’il est proposé d’apporter au texte actuel du Règlement ONU n</w:t>
      </w:r>
      <w:r w:rsidR="00814FCC">
        <w:rPr>
          <w:vertAlign w:val="superscript"/>
          <w:lang w:val="fr-FR"/>
        </w:rPr>
        <w:t>o</w:t>
      </w:r>
      <w:r w:rsidR="00814FCC">
        <w:rPr>
          <w:lang w:val="fr-FR"/>
        </w:rPr>
        <w:t> 16 figurent en caractères gras pour les ajouts et biffés pour les suppressions</w:t>
      </w:r>
      <w:r w:rsidR="00C76BED" w:rsidRPr="00C76BED">
        <w:rPr>
          <w:lang w:val="fr-FR"/>
        </w:rPr>
        <w:t>.</w:t>
      </w:r>
      <w:bookmarkStart w:id="1" w:name="_Hlk32483961"/>
      <w:bookmarkEnd w:id="1"/>
    </w:p>
    <w:p w14:paraId="12A4E117" w14:textId="77777777" w:rsidR="00814FCC" w:rsidRPr="00EB283D" w:rsidRDefault="00814FCC" w:rsidP="005B4F34">
      <w:pPr>
        <w:pStyle w:val="SingleTxtG"/>
        <w:rPr>
          <w:rFonts w:eastAsia="Times New Roman"/>
          <w:sz w:val="24"/>
          <w:szCs w:val="24"/>
          <w:lang w:val="fr-FR"/>
        </w:rPr>
      </w:pPr>
      <w:r w:rsidRPr="00EB283D">
        <w:rPr>
          <w:lang w:val="fr-FR"/>
        </w:rPr>
        <w:br w:type="page"/>
      </w:r>
    </w:p>
    <w:p w14:paraId="5A5BF0C4" w14:textId="3CC5EFBB" w:rsidR="00814FCC" w:rsidRPr="004A1221" w:rsidRDefault="00814FCC" w:rsidP="005B4F34">
      <w:pPr>
        <w:pStyle w:val="HChG"/>
        <w:rPr>
          <w:rFonts w:eastAsia="Times New Roman"/>
          <w:lang w:val="fr-FR"/>
        </w:rPr>
      </w:pPr>
      <w:bookmarkStart w:id="2" w:name="_Hlk534364985"/>
      <w:r w:rsidRPr="004A1221">
        <w:rPr>
          <w:lang w:val="fr-FR"/>
        </w:rPr>
        <w:lastRenderedPageBreak/>
        <w:tab/>
        <w:t>I</w:t>
      </w:r>
      <w:r w:rsidR="00C76BED" w:rsidRPr="00C76BED">
        <w:rPr>
          <w:lang w:val="fr-FR"/>
        </w:rPr>
        <w:t>.</w:t>
      </w:r>
      <w:r w:rsidRPr="004A1221">
        <w:rPr>
          <w:lang w:val="fr-FR"/>
        </w:rPr>
        <w:tab/>
        <w:t>Proposition</w:t>
      </w:r>
    </w:p>
    <w:bookmarkEnd w:id="2"/>
    <w:p w14:paraId="14307F00" w14:textId="7306469B" w:rsidR="00814FCC" w:rsidRPr="00EB283D" w:rsidRDefault="00814FCC" w:rsidP="00814FCC">
      <w:pPr>
        <w:tabs>
          <w:tab w:val="left" w:pos="1701"/>
        </w:tabs>
        <w:spacing w:after="120"/>
        <w:ind w:left="2268" w:right="1134" w:hanging="1134"/>
        <w:rPr>
          <w:rFonts w:eastAsia="SimSun" w:cs="Arial"/>
          <w:szCs w:val="22"/>
          <w:lang w:val="fr-FR"/>
        </w:rPr>
      </w:pPr>
      <w:r>
        <w:rPr>
          <w:i/>
          <w:iCs/>
          <w:lang w:val="fr-FR"/>
        </w:rPr>
        <w:t>Ajouter les nouveaux paragraphes 2</w:t>
      </w:r>
      <w:r w:rsidR="00C76BED" w:rsidRPr="00C76BED">
        <w:rPr>
          <w:i/>
          <w:iCs/>
          <w:lang w:val="fr-FR"/>
        </w:rPr>
        <w:t>.</w:t>
      </w:r>
      <w:r>
        <w:rPr>
          <w:i/>
          <w:iCs/>
          <w:lang w:val="fr-FR"/>
        </w:rPr>
        <w:t>48 et 2</w:t>
      </w:r>
      <w:r w:rsidR="00C76BED" w:rsidRPr="00C76BED">
        <w:rPr>
          <w:i/>
          <w:iCs/>
          <w:lang w:val="fr-FR"/>
        </w:rPr>
        <w:t>.</w:t>
      </w:r>
      <w:r>
        <w:rPr>
          <w:i/>
          <w:iCs/>
          <w:lang w:val="fr-FR"/>
        </w:rPr>
        <w:t>49</w:t>
      </w:r>
      <w:r>
        <w:rPr>
          <w:lang w:val="fr-FR"/>
        </w:rPr>
        <w:t xml:space="preserve">, libellés comme suit : </w:t>
      </w:r>
    </w:p>
    <w:p w14:paraId="2384D6C7" w14:textId="7B6A75BF" w:rsidR="00814FCC" w:rsidRPr="00EB283D" w:rsidRDefault="00814FCC" w:rsidP="00814FCC">
      <w:pPr>
        <w:spacing w:after="120" w:line="240" w:lineRule="exact"/>
        <w:ind w:left="2268" w:right="1134" w:hanging="1134"/>
        <w:jc w:val="both"/>
        <w:rPr>
          <w:rFonts w:eastAsia="Times New Roman"/>
          <w:b/>
          <w:bCs/>
          <w:lang w:val="fr-FR"/>
        </w:rPr>
      </w:pPr>
      <w:r>
        <w:rPr>
          <w:lang w:val="fr-FR"/>
        </w:rPr>
        <w:t>« </w:t>
      </w:r>
      <w:r>
        <w:rPr>
          <w:b/>
          <w:bCs/>
          <w:lang w:val="fr-FR"/>
        </w:rPr>
        <w:t>2</w:t>
      </w:r>
      <w:r w:rsidR="00C76BED" w:rsidRPr="00C76BED">
        <w:rPr>
          <w:b/>
          <w:bCs/>
          <w:lang w:val="fr-FR"/>
        </w:rPr>
        <w:t>.</w:t>
      </w:r>
      <w:r>
        <w:rPr>
          <w:b/>
          <w:bCs/>
          <w:lang w:val="fr-FR"/>
        </w:rPr>
        <w:t>48</w:t>
      </w:r>
      <w:r>
        <w:rPr>
          <w:lang w:val="fr-FR"/>
        </w:rPr>
        <w:tab/>
      </w:r>
      <w:r>
        <w:rPr>
          <w:b/>
          <w:bCs/>
          <w:lang w:val="fr-FR"/>
        </w:rPr>
        <w:t>“</w:t>
      </w:r>
      <w:r>
        <w:rPr>
          <w:b/>
          <w:bCs/>
          <w:i/>
          <w:iCs/>
          <w:lang w:val="fr-FR"/>
        </w:rPr>
        <w:t>Ancrage effectif</w:t>
      </w:r>
      <w:r>
        <w:rPr>
          <w:b/>
          <w:bCs/>
          <w:lang w:val="fr-FR"/>
        </w:rPr>
        <w:t>” désigne le point utilisé pour déterminer conventionnellement, conformément aux dispositions du paragraphe 5</w:t>
      </w:r>
      <w:r w:rsidR="00C76BED" w:rsidRPr="00C76BED">
        <w:rPr>
          <w:b/>
          <w:bCs/>
          <w:lang w:val="fr-FR"/>
        </w:rPr>
        <w:t>.</w:t>
      </w:r>
      <w:r>
        <w:rPr>
          <w:b/>
          <w:bCs/>
          <w:lang w:val="fr-FR"/>
        </w:rPr>
        <w:t>4 du Règlement ONU n</w:t>
      </w:r>
      <w:r>
        <w:rPr>
          <w:b/>
          <w:bCs/>
          <w:vertAlign w:val="superscript"/>
          <w:lang w:val="fr-FR"/>
        </w:rPr>
        <w:t>o</w:t>
      </w:r>
      <w:r>
        <w:rPr>
          <w:b/>
          <w:bCs/>
          <w:lang w:val="fr-FR"/>
        </w:rPr>
        <w:t> 14, l’angle de chaque partie de la ceinture de sécurité par rapport au porteur, c’est-à-dire le point où une sangle devrait être fixée pour avoir une position identique à la position prévue de la ceinture lorsque celle-ci est utilisée, et qui peut correspondre ou non à l’ancrage réel, selon la configuration des pièces de fixation de la ceinture à l’endroit où celle-ci est fixée à l’ancrage</w:t>
      </w:r>
      <w:r w:rsidR="00C76BED" w:rsidRPr="00C76BED">
        <w:rPr>
          <w:b/>
          <w:bCs/>
          <w:lang w:val="fr-FR"/>
        </w:rPr>
        <w:t>.</w:t>
      </w:r>
    </w:p>
    <w:p w14:paraId="3A30577A" w14:textId="14F257D8" w:rsidR="00814FCC" w:rsidRPr="00EB283D" w:rsidRDefault="00814FCC" w:rsidP="00814FCC">
      <w:pPr>
        <w:spacing w:after="120" w:line="240" w:lineRule="exact"/>
        <w:ind w:left="2268" w:right="1134" w:hanging="1134"/>
        <w:jc w:val="both"/>
        <w:rPr>
          <w:rFonts w:eastAsia="Times New Roman"/>
          <w:bCs/>
          <w:lang w:val="fr-FR"/>
        </w:rPr>
      </w:pPr>
      <w:r>
        <w:rPr>
          <w:b/>
          <w:bCs/>
          <w:lang w:val="fr-FR"/>
        </w:rPr>
        <w:t>2</w:t>
      </w:r>
      <w:r w:rsidR="00C76BED" w:rsidRPr="00C76BED">
        <w:rPr>
          <w:b/>
          <w:bCs/>
          <w:lang w:val="fr-FR"/>
        </w:rPr>
        <w:t>.</w:t>
      </w:r>
      <w:r>
        <w:rPr>
          <w:b/>
          <w:bCs/>
          <w:lang w:val="fr-FR"/>
        </w:rPr>
        <w:t>49</w:t>
      </w:r>
      <w:r>
        <w:rPr>
          <w:lang w:val="fr-FR"/>
        </w:rPr>
        <w:tab/>
      </w:r>
      <w:r>
        <w:rPr>
          <w:b/>
          <w:bCs/>
          <w:lang w:val="fr-FR"/>
        </w:rPr>
        <w:t>“</w:t>
      </w:r>
      <w:r>
        <w:rPr>
          <w:b/>
          <w:bCs/>
          <w:i/>
          <w:iCs/>
          <w:lang w:val="fr-FR"/>
        </w:rPr>
        <w:t>Point BP de la sangle de la boucle</w:t>
      </w:r>
      <w:r>
        <w:rPr>
          <w:b/>
          <w:bCs/>
          <w:lang w:val="fr-FR"/>
        </w:rPr>
        <w:t>” désigne le point défini au paragraphe 3</w:t>
      </w:r>
      <w:r w:rsidR="00C76BED" w:rsidRPr="00C76BED">
        <w:rPr>
          <w:b/>
          <w:bCs/>
          <w:lang w:val="fr-FR"/>
        </w:rPr>
        <w:t>.</w:t>
      </w:r>
      <w:r>
        <w:rPr>
          <w:b/>
          <w:bCs/>
          <w:lang w:val="fr-FR"/>
        </w:rPr>
        <w:t>2 de l’appendice 1 de l’annexe 17</w:t>
      </w:r>
      <w:r w:rsidR="00C76BED" w:rsidRPr="00C76BED">
        <w:rPr>
          <w:b/>
          <w:bCs/>
          <w:lang w:val="fr-FR"/>
        </w:rPr>
        <w:t>.</w:t>
      </w:r>
      <w:r>
        <w:rPr>
          <w:lang w:val="fr-FR"/>
        </w:rPr>
        <w:t> »</w:t>
      </w:r>
      <w:r w:rsidR="00C76BED" w:rsidRPr="00C76BED">
        <w:rPr>
          <w:lang w:val="fr-FR"/>
        </w:rPr>
        <w:t>.</w:t>
      </w:r>
    </w:p>
    <w:p w14:paraId="6B98AC39" w14:textId="33191B63" w:rsidR="00814FCC" w:rsidRPr="00EB283D" w:rsidRDefault="00814FCC" w:rsidP="00814FCC">
      <w:pPr>
        <w:pStyle w:val="para"/>
        <w:rPr>
          <w:lang w:val="fr-FR"/>
        </w:rPr>
      </w:pPr>
      <w:r>
        <w:rPr>
          <w:i/>
          <w:iCs/>
          <w:lang w:val="fr-FR"/>
        </w:rPr>
        <w:t>Paragraphe 5</w:t>
      </w:r>
      <w:r w:rsidR="00C76BED" w:rsidRPr="00C76BED">
        <w:rPr>
          <w:i/>
          <w:iCs/>
          <w:lang w:val="fr-FR"/>
        </w:rPr>
        <w:t>.</w:t>
      </w:r>
      <w:r>
        <w:rPr>
          <w:i/>
          <w:iCs/>
          <w:lang w:val="fr-FR"/>
        </w:rPr>
        <w:t>3</w:t>
      </w:r>
      <w:r w:rsidR="00C76BED" w:rsidRPr="00C76BED">
        <w:rPr>
          <w:i/>
          <w:iCs/>
          <w:lang w:val="fr-FR"/>
        </w:rPr>
        <w:t>.</w:t>
      </w:r>
      <w:r>
        <w:rPr>
          <w:i/>
          <w:iCs/>
          <w:lang w:val="fr-FR"/>
        </w:rPr>
        <w:t>2</w:t>
      </w:r>
      <w:r>
        <w:rPr>
          <w:lang w:val="fr-FR"/>
        </w:rPr>
        <w:t>, lire :</w:t>
      </w:r>
    </w:p>
    <w:p w14:paraId="5B13FCCB" w14:textId="1EB9DF00" w:rsidR="00814FCC" w:rsidRPr="00EB283D" w:rsidRDefault="00814FCC" w:rsidP="00814FCC">
      <w:pPr>
        <w:pStyle w:val="para"/>
        <w:rPr>
          <w:lang w:val="fr-FR"/>
        </w:rPr>
      </w:pPr>
      <w:r>
        <w:rPr>
          <w:lang w:val="fr-FR"/>
        </w:rPr>
        <w:t>« 5</w:t>
      </w:r>
      <w:r w:rsidR="00C76BED" w:rsidRPr="00C76BED">
        <w:rPr>
          <w:lang w:val="fr-FR"/>
        </w:rPr>
        <w:t>.</w:t>
      </w:r>
      <w:r>
        <w:rPr>
          <w:lang w:val="fr-FR"/>
        </w:rPr>
        <w:t>3</w:t>
      </w:r>
      <w:r w:rsidR="00C76BED" w:rsidRPr="00C76BED">
        <w:rPr>
          <w:lang w:val="fr-FR"/>
        </w:rPr>
        <w:t>.</w:t>
      </w:r>
      <w:r>
        <w:rPr>
          <w:lang w:val="fr-FR"/>
        </w:rPr>
        <w:t>2</w:t>
      </w:r>
      <w:r>
        <w:rPr>
          <w:lang w:val="fr-FR"/>
        </w:rPr>
        <w:tab/>
        <w:t>Chaque homologation comporte l’attribution d’un numéro d’homologation dont les deux premiers chiffres (actuellement 0</w:t>
      </w:r>
      <w:r>
        <w:rPr>
          <w:b/>
          <w:bCs/>
          <w:lang w:val="fr-FR"/>
        </w:rPr>
        <w:t>9</w:t>
      </w:r>
      <w:r>
        <w:rPr>
          <w:lang w:val="fr-FR"/>
        </w:rPr>
        <w:t xml:space="preserve"> correspondant à la série 0</w:t>
      </w:r>
      <w:r>
        <w:rPr>
          <w:b/>
          <w:bCs/>
          <w:lang w:val="fr-FR"/>
        </w:rPr>
        <w:t>9</w:t>
      </w:r>
      <w:r>
        <w:rPr>
          <w:lang w:val="fr-FR"/>
        </w:rPr>
        <w:t xml:space="preserve"> d’amendements) indiquent la série d’amendements</w:t>
      </w:r>
      <w:r w:rsidR="00C76BED" w:rsidRPr="00C76BED">
        <w:rPr>
          <w:lang w:val="fr-FR"/>
        </w:rPr>
        <w:t>.</w:t>
      </w:r>
      <w:r>
        <w:rPr>
          <w:lang w:val="fr-FR"/>
        </w:rPr>
        <w:t> »</w:t>
      </w:r>
      <w:r w:rsidR="00C76BED" w:rsidRPr="00C76BED">
        <w:rPr>
          <w:lang w:val="fr-FR"/>
        </w:rPr>
        <w:t>.</w:t>
      </w:r>
      <w:r>
        <w:rPr>
          <w:lang w:val="fr-FR"/>
        </w:rPr>
        <w:t xml:space="preserve"> </w:t>
      </w:r>
    </w:p>
    <w:p w14:paraId="28D5DBC7" w14:textId="452F53E7" w:rsidR="00814FCC" w:rsidRPr="00EB283D" w:rsidRDefault="00814FCC" w:rsidP="00814FCC">
      <w:pPr>
        <w:tabs>
          <w:tab w:val="left" w:pos="1701"/>
        </w:tabs>
        <w:spacing w:after="120"/>
        <w:ind w:left="2268" w:right="1134" w:hanging="1134"/>
        <w:rPr>
          <w:rFonts w:eastAsia="SimSun" w:cs="Arial"/>
          <w:szCs w:val="22"/>
          <w:lang w:val="fr-FR"/>
        </w:rPr>
      </w:pPr>
      <w:r>
        <w:rPr>
          <w:i/>
          <w:iCs/>
          <w:lang w:val="fr-FR"/>
        </w:rPr>
        <w:t>Ajouter les nouveaux paragraphes 8</w:t>
      </w:r>
      <w:r w:rsidR="00C76BED" w:rsidRPr="00C76BED">
        <w:rPr>
          <w:i/>
          <w:iCs/>
          <w:lang w:val="fr-FR"/>
        </w:rPr>
        <w:t>.</w:t>
      </w:r>
      <w:r>
        <w:rPr>
          <w:i/>
          <w:iCs/>
          <w:lang w:val="fr-FR"/>
        </w:rPr>
        <w:t>2</w:t>
      </w:r>
      <w:r w:rsidR="00C76BED" w:rsidRPr="00C76BED">
        <w:rPr>
          <w:i/>
          <w:iCs/>
          <w:lang w:val="fr-FR"/>
        </w:rPr>
        <w:t>.</w:t>
      </w:r>
      <w:r>
        <w:rPr>
          <w:i/>
          <w:iCs/>
          <w:lang w:val="fr-FR"/>
        </w:rPr>
        <w:t>3 à 8</w:t>
      </w:r>
      <w:r w:rsidR="00C76BED" w:rsidRPr="00C76BED">
        <w:rPr>
          <w:i/>
          <w:iCs/>
          <w:lang w:val="fr-FR"/>
        </w:rPr>
        <w:t>.</w:t>
      </w:r>
      <w:r>
        <w:rPr>
          <w:i/>
          <w:iCs/>
          <w:lang w:val="fr-FR"/>
        </w:rPr>
        <w:t>2</w:t>
      </w:r>
      <w:r w:rsidR="00C76BED" w:rsidRPr="00C76BED">
        <w:rPr>
          <w:i/>
          <w:iCs/>
          <w:lang w:val="fr-FR"/>
        </w:rPr>
        <w:t>.</w:t>
      </w:r>
      <w:r>
        <w:rPr>
          <w:i/>
          <w:iCs/>
          <w:lang w:val="fr-FR"/>
        </w:rPr>
        <w:t>3</w:t>
      </w:r>
      <w:r w:rsidR="00C76BED" w:rsidRPr="00C76BED">
        <w:rPr>
          <w:i/>
          <w:iCs/>
          <w:lang w:val="fr-FR"/>
        </w:rPr>
        <w:t>.</w:t>
      </w:r>
      <w:r>
        <w:rPr>
          <w:i/>
          <w:iCs/>
          <w:lang w:val="fr-FR"/>
        </w:rPr>
        <w:t>3</w:t>
      </w:r>
      <w:r>
        <w:rPr>
          <w:lang w:val="fr-FR"/>
        </w:rPr>
        <w:t>, libellés comme suit :</w:t>
      </w:r>
    </w:p>
    <w:p w14:paraId="2F5D2794" w14:textId="43064766" w:rsidR="00814FCC" w:rsidRPr="00EB283D" w:rsidRDefault="00814FCC" w:rsidP="00814FCC">
      <w:pPr>
        <w:spacing w:after="120" w:line="240" w:lineRule="exact"/>
        <w:ind w:left="2268" w:right="1134" w:hanging="1134"/>
        <w:jc w:val="both"/>
        <w:rPr>
          <w:rFonts w:eastAsia="Times New Roman"/>
          <w:b/>
          <w:lang w:val="fr-FR"/>
        </w:rPr>
      </w:pPr>
      <w:r>
        <w:rPr>
          <w:lang w:val="fr-FR"/>
        </w:rPr>
        <w:t>« </w:t>
      </w:r>
      <w:r>
        <w:rPr>
          <w:b/>
          <w:bCs/>
          <w:lang w:val="fr-FR"/>
        </w:rPr>
        <w:t>8</w:t>
      </w:r>
      <w:r w:rsidR="00C76BED" w:rsidRPr="00C76BED">
        <w:rPr>
          <w:b/>
          <w:bCs/>
          <w:lang w:val="fr-FR"/>
        </w:rPr>
        <w:t>.</w:t>
      </w:r>
      <w:r>
        <w:rPr>
          <w:b/>
          <w:bCs/>
          <w:lang w:val="fr-FR"/>
        </w:rPr>
        <w:t>2</w:t>
      </w:r>
      <w:r w:rsidR="00C76BED" w:rsidRPr="00C76BED">
        <w:rPr>
          <w:b/>
          <w:bCs/>
          <w:lang w:val="fr-FR"/>
        </w:rPr>
        <w:t>.</w:t>
      </w:r>
      <w:r>
        <w:rPr>
          <w:b/>
          <w:bCs/>
          <w:lang w:val="fr-FR"/>
        </w:rPr>
        <w:t>3</w:t>
      </w:r>
      <w:r>
        <w:rPr>
          <w:lang w:val="fr-FR"/>
        </w:rPr>
        <w:tab/>
      </w:r>
      <w:r>
        <w:rPr>
          <w:b/>
          <w:bCs/>
          <w:lang w:val="fr-FR"/>
        </w:rPr>
        <w:t>Prescriptions relatives à la sangle reliant la boucle à l’ancrage effectif sur les sièges équipés d’ancrages ISOFIX inférieurs</w:t>
      </w:r>
    </w:p>
    <w:p w14:paraId="23C41AC8" w14:textId="0189E16A" w:rsidR="00814FCC" w:rsidRPr="00EB283D" w:rsidRDefault="00814FCC" w:rsidP="00814FCC">
      <w:pPr>
        <w:spacing w:after="120" w:line="240" w:lineRule="exact"/>
        <w:ind w:left="2268" w:right="1134" w:hanging="1134"/>
        <w:jc w:val="both"/>
        <w:rPr>
          <w:rFonts w:ascii="MS Mincho" w:hAnsi="MS Mincho"/>
          <w:b/>
          <w:lang w:val="fr-FR"/>
        </w:rPr>
      </w:pPr>
      <w:r>
        <w:rPr>
          <w:b/>
          <w:bCs/>
          <w:lang w:val="fr-FR"/>
        </w:rPr>
        <w:t>8</w:t>
      </w:r>
      <w:r w:rsidR="00C76BED" w:rsidRPr="00C76BED">
        <w:rPr>
          <w:b/>
          <w:bCs/>
          <w:lang w:val="fr-FR"/>
        </w:rPr>
        <w:t>.</w:t>
      </w:r>
      <w:r>
        <w:rPr>
          <w:b/>
          <w:bCs/>
          <w:lang w:val="fr-FR"/>
        </w:rPr>
        <w:t>2</w:t>
      </w:r>
      <w:r w:rsidR="00C76BED" w:rsidRPr="00C76BED">
        <w:rPr>
          <w:b/>
          <w:bCs/>
          <w:lang w:val="fr-FR"/>
        </w:rPr>
        <w:t>.</w:t>
      </w:r>
      <w:r>
        <w:rPr>
          <w:b/>
          <w:bCs/>
          <w:lang w:val="fr-FR"/>
        </w:rPr>
        <w:t>3</w:t>
      </w:r>
      <w:r w:rsidR="00C76BED" w:rsidRPr="00C76BED">
        <w:rPr>
          <w:b/>
          <w:bCs/>
          <w:lang w:val="fr-FR"/>
        </w:rPr>
        <w:t>.</w:t>
      </w:r>
      <w:r>
        <w:rPr>
          <w:b/>
          <w:bCs/>
          <w:lang w:val="fr-FR"/>
        </w:rPr>
        <w:t>1</w:t>
      </w:r>
      <w:r>
        <w:rPr>
          <w:lang w:val="fr-FR"/>
        </w:rPr>
        <w:tab/>
      </w:r>
      <w:r>
        <w:rPr>
          <w:b/>
          <w:bCs/>
          <w:lang w:val="fr-FR"/>
        </w:rPr>
        <w:t>L’écart entre la longueur réelle de la sangle et la distance rectiligne qui sépare l’ancrage effectif du point BP de la sangle de la boucle, tel que défini au paragraphe 3</w:t>
      </w:r>
      <w:r w:rsidR="00C76BED" w:rsidRPr="00C76BED">
        <w:rPr>
          <w:b/>
          <w:bCs/>
          <w:lang w:val="fr-FR"/>
        </w:rPr>
        <w:t>.</w:t>
      </w:r>
      <w:r>
        <w:rPr>
          <w:b/>
          <w:bCs/>
          <w:lang w:val="fr-FR"/>
        </w:rPr>
        <w:t>2 de l’appendice 1 de l’annexe 17, ne doit pas dépasser 50 </w:t>
      </w:r>
      <w:proofErr w:type="spellStart"/>
      <w:r>
        <w:rPr>
          <w:b/>
          <w:bCs/>
          <w:lang w:val="fr-FR"/>
        </w:rPr>
        <w:t>mm</w:t>
      </w:r>
      <w:r w:rsidR="00C76BED" w:rsidRPr="00C76BED">
        <w:rPr>
          <w:b/>
          <w:bCs/>
          <w:lang w:val="fr-FR"/>
        </w:rPr>
        <w:t>.</w:t>
      </w:r>
      <w:proofErr w:type="spellEnd"/>
    </w:p>
    <w:p w14:paraId="35441F1B" w14:textId="400735A0" w:rsidR="00814FCC" w:rsidRPr="00EB283D" w:rsidRDefault="00814FCC" w:rsidP="00814FCC">
      <w:pPr>
        <w:spacing w:after="120" w:line="240" w:lineRule="exact"/>
        <w:ind w:left="2268" w:right="1134" w:hanging="1134"/>
        <w:jc w:val="both"/>
        <w:rPr>
          <w:rFonts w:ascii="MS Mincho" w:hAnsi="MS Mincho"/>
          <w:b/>
          <w:lang w:val="fr-FR"/>
        </w:rPr>
      </w:pPr>
      <w:r>
        <w:rPr>
          <w:b/>
          <w:bCs/>
          <w:lang w:val="fr-FR"/>
        </w:rPr>
        <w:t>8</w:t>
      </w:r>
      <w:r w:rsidR="00C76BED" w:rsidRPr="00C76BED">
        <w:rPr>
          <w:b/>
          <w:bCs/>
          <w:lang w:val="fr-FR"/>
        </w:rPr>
        <w:t>.</w:t>
      </w:r>
      <w:r>
        <w:rPr>
          <w:b/>
          <w:bCs/>
          <w:lang w:val="fr-FR"/>
        </w:rPr>
        <w:t>2</w:t>
      </w:r>
      <w:r w:rsidR="00C76BED" w:rsidRPr="00C76BED">
        <w:rPr>
          <w:b/>
          <w:bCs/>
          <w:lang w:val="fr-FR"/>
        </w:rPr>
        <w:t>.</w:t>
      </w:r>
      <w:r>
        <w:rPr>
          <w:b/>
          <w:bCs/>
          <w:lang w:val="fr-FR"/>
        </w:rPr>
        <w:t>3</w:t>
      </w:r>
      <w:r w:rsidR="00C76BED" w:rsidRPr="00C76BED">
        <w:rPr>
          <w:b/>
          <w:bCs/>
          <w:lang w:val="fr-FR"/>
        </w:rPr>
        <w:t>.</w:t>
      </w:r>
      <w:r>
        <w:rPr>
          <w:b/>
          <w:bCs/>
          <w:lang w:val="fr-FR"/>
        </w:rPr>
        <w:t>2</w:t>
      </w:r>
      <w:r>
        <w:rPr>
          <w:lang w:val="fr-FR"/>
        </w:rPr>
        <w:tab/>
      </w:r>
      <w:r>
        <w:rPr>
          <w:b/>
          <w:bCs/>
          <w:lang w:val="fr-FR"/>
        </w:rPr>
        <w:t>Si le passage de la sangle entre la boucle et l’ancrage effectif est défini par une pièce rigide qui ne se déforme pas pendant l’essai dynamique spécifié dans le Règlement ONU n</w:t>
      </w:r>
      <w:r>
        <w:rPr>
          <w:b/>
          <w:bCs/>
          <w:vertAlign w:val="superscript"/>
          <w:lang w:val="fr-FR"/>
        </w:rPr>
        <w:t>o</w:t>
      </w:r>
      <w:r>
        <w:rPr>
          <w:b/>
          <w:bCs/>
          <w:lang w:val="fr-FR"/>
        </w:rPr>
        <w:t> 94 ou n</w:t>
      </w:r>
      <w:r>
        <w:rPr>
          <w:b/>
          <w:bCs/>
          <w:vertAlign w:val="superscript"/>
          <w:lang w:val="fr-FR"/>
        </w:rPr>
        <w:t>o</w:t>
      </w:r>
      <w:r>
        <w:rPr>
          <w:b/>
          <w:bCs/>
          <w:lang w:val="fr-FR"/>
        </w:rPr>
        <w:t> 137 et si les données à cet égard, telles que présentées par le constructeur, sont confirmées par le service technique, le paragraphe 8</w:t>
      </w:r>
      <w:r w:rsidR="00C76BED" w:rsidRPr="00C76BED">
        <w:rPr>
          <w:b/>
          <w:bCs/>
          <w:lang w:val="fr-FR"/>
        </w:rPr>
        <w:t>.</w:t>
      </w:r>
      <w:r>
        <w:rPr>
          <w:b/>
          <w:bCs/>
          <w:lang w:val="fr-FR"/>
        </w:rPr>
        <w:t>2</w:t>
      </w:r>
      <w:r w:rsidR="00C76BED" w:rsidRPr="00C76BED">
        <w:rPr>
          <w:b/>
          <w:bCs/>
          <w:lang w:val="fr-FR"/>
        </w:rPr>
        <w:t>.</w:t>
      </w:r>
      <w:r>
        <w:rPr>
          <w:b/>
          <w:bCs/>
          <w:lang w:val="fr-FR"/>
        </w:rPr>
        <w:t>3</w:t>
      </w:r>
      <w:r w:rsidR="00C76BED" w:rsidRPr="00C76BED">
        <w:rPr>
          <w:b/>
          <w:bCs/>
          <w:lang w:val="fr-FR"/>
        </w:rPr>
        <w:t>.</w:t>
      </w:r>
      <w:r>
        <w:rPr>
          <w:b/>
          <w:bCs/>
          <w:lang w:val="fr-FR"/>
        </w:rPr>
        <w:t>1 ne s’applique pas</w:t>
      </w:r>
      <w:r w:rsidR="00C76BED" w:rsidRPr="00C76BED">
        <w:rPr>
          <w:b/>
          <w:bCs/>
          <w:lang w:val="fr-FR"/>
        </w:rPr>
        <w:t>.</w:t>
      </w:r>
    </w:p>
    <w:p w14:paraId="116A2E58" w14:textId="245B37DA" w:rsidR="00814FCC" w:rsidRPr="00EB283D" w:rsidRDefault="00814FCC" w:rsidP="00814FCC">
      <w:pPr>
        <w:spacing w:after="120" w:line="240" w:lineRule="exact"/>
        <w:ind w:left="2268" w:right="1134" w:hanging="1134"/>
        <w:jc w:val="both"/>
        <w:rPr>
          <w:rFonts w:ascii="MS Mincho" w:hAnsi="MS Mincho"/>
          <w:b/>
          <w:lang w:val="fr-FR"/>
        </w:rPr>
      </w:pPr>
      <w:r>
        <w:rPr>
          <w:b/>
          <w:bCs/>
          <w:lang w:val="fr-FR"/>
        </w:rPr>
        <w:t>8</w:t>
      </w:r>
      <w:r w:rsidR="00C76BED" w:rsidRPr="00C76BED">
        <w:rPr>
          <w:b/>
          <w:bCs/>
          <w:lang w:val="fr-FR"/>
        </w:rPr>
        <w:t>.</w:t>
      </w:r>
      <w:r>
        <w:rPr>
          <w:b/>
          <w:bCs/>
          <w:lang w:val="fr-FR"/>
        </w:rPr>
        <w:t>2</w:t>
      </w:r>
      <w:r w:rsidR="00C76BED" w:rsidRPr="00C76BED">
        <w:rPr>
          <w:b/>
          <w:bCs/>
          <w:lang w:val="fr-FR"/>
        </w:rPr>
        <w:t>.</w:t>
      </w:r>
      <w:r>
        <w:rPr>
          <w:b/>
          <w:bCs/>
          <w:lang w:val="fr-FR"/>
        </w:rPr>
        <w:t>3</w:t>
      </w:r>
      <w:r w:rsidR="00C76BED" w:rsidRPr="00C76BED">
        <w:rPr>
          <w:b/>
          <w:bCs/>
          <w:lang w:val="fr-FR"/>
        </w:rPr>
        <w:t>.</w:t>
      </w:r>
      <w:r>
        <w:rPr>
          <w:b/>
          <w:bCs/>
          <w:lang w:val="fr-FR"/>
        </w:rPr>
        <w:t>3</w:t>
      </w:r>
      <w:r>
        <w:rPr>
          <w:lang w:val="fr-FR"/>
        </w:rPr>
        <w:tab/>
      </w:r>
      <w:r>
        <w:rPr>
          <w:b/>
          <w:bCs/>
          <w:lang w:val="fr-FR"/>
        </w:rPr>
        <w:t>Si le passage de la sangle entre la boucle et l’ancrage effectif n’est pas rectiligne pendant l’essai dynamique spécifié dans le Règlement ONU n</w:t>
      </w:r>
      <w:r>
        <w:rPr>
          <w:b/>
          <w:bCs/>
          <w:vertAlign w:val="superscript"/>
          <w:lang w:val="fr-FR"/>
        </w:rPr>
        <w:t>o</w:t>
      </w:r>
      <w:r>
        <w:rPr>
          <w:b/>
          <w:bCs/>
          <w:lang w:val="fr-FR"/>
        </w:rPr>
        <w:t> 94 ou n</w:t>
      </w:r>
      <w:r>
        <w:rPr>
          <w:b/>
          <w:bCs/>
          <w:vertAlign w:val="superscript"/>
          <w:lang w:val="fr-FR"/>
        </w:rPr>
        <w:t>o</w:t>
      </w:r>
      <w:r>
        <w:rPr>
          <w:b/>
          <w:bCs/>
          <w:lang w:val="fr-FR"/>
        </w:rPr>
        <w:t> 137 et si la longueur de la sangle entre la boucle et l’ancrage effectif pendant cet essai, telle qu’indiquée par le constructeur, est confirmée par le service technique, alors, pendant l’essai dynamique, l’écart entre la longueur réelle de la sangle et la longueur du passage depuis l’ancrage effectif jusqu’au point BP de la sangle de la boucle, tel que défini au paragraphe 3</w:t>
      </w:r>
      <w:r w:rsidR="00C76BED" w:rsidRPr="00C76BED">
        <w:rPr>
          <w:b/>
          <w:bCs/>
          <w:lang w:val="fr-FR"/>
        </w:rPr>
        <w:t>.</w:t>
      </w:r>
      <w:r>
        <w:rPr>
          <w:b/>
          <w:bCs/>
          <w:lang w:val="fr-FR"/>
        </w:rPr>
        <w:t>2 de l’appendice 1 de l’annexe 17, ne doit pas dépasser 50 </w:t>
      </w:r>
      <w:proofErr w:type="spellStart"/>
      <w:r>
        <w:rPr>
          <w:b/>
          <w:bCs/>
          <w:lang w:val="fr-FR"/>
        </w:rPr>
        <w:t>mm</w:t>
      </w:r>
      <w:r w:rsidR="00C76BED" w:rsidRPr="00C76BED">
        <w:rPr>
          <w:b/>
          <w:bCs/>
          <w:lang w:val="fr-FR"/>
        </w:rPr>
        <w:t>.</w:t>
      </w:r>
      <w:proofErr w:type="spellEnd"/>
      <w:r>
        <w:rPr>
          <w:lang w:val="fr-FR"/>
        </w:rPr>
        <w:t> »</w:t>
      </w:r>
      <w:r w:rsidR="00BA0331">
        <w:rPr>
          <w:lang w:val="fr-FR"/>
        </w:rPr>
        <w:t>.</w:t>
      </w:r>
    </w:p>
    <w:p w14:paraId="3180B026" w14:textId="5CBCB6B9" w:rsidR="00814FCC" w:rsidRPr="00EB283D" w:rsidRDefault="00814FCC" w:rsidP="00814FCC">
      <w:pPr>
        <w:spacing w:after="120" w:line="240" w:lineRule="exact"/>
        <w:ind w:left="2268" w:right="1134" w:hanging="1134"/>
        <w:jc w:val="both"/>
        <w:rPr>
          <w:i/>
          <w:lang w:val="fr-FR"/>
        </w:rPr>
      </w:pPr>
      <w:r>
        <w:rPr>
          <w:i/>
          <w:iCs/>
          <w:lang w:val="fr-FR"/>
        </w:rPr>
        <w:t>Ajouter les nouveaux paragraphes 15</w:t>
      </w:r>
      <w:r w:rsidR="00C76BED" w:rsidRPr="00C76BED">
        <w:rPr>
          <w:i/>
          <w:iCs/>
          <w:lang w:val="fr-FR"/>
        </w:rPr>
        <w:t>.</w:t>
      </w:r>
      <w:r>
        <w:rPr>
          <w:i/>
          <w:iCs/>
          <w:lang w:val="fr-FR"/>
        </w:rPr>
        <w:t>6 à 15</w:t>
      </w:r>
      <w:r w:rsidR="00C76BED" w:rsidRPr="00C76BED">
        <w:rPr>
          <w:i/>
          <w:iCs/>
          <w:lang w:val="fr-FR"/>
        </w:rPr>
        <w:t>.</w:t>
      </w:r>
      <w:r>
        <w:rPr>
          <w:i/>
          <w:iCs/>
          <w:lang w:val="fr-FR"/>
        </w:rPr>
        <w:t>14</w:t>
      </w:r>
      <w:r>
        <w:rPr>
          <w:lang w:val="fr-FR"/>
        </w:rPr>
        <w:t>, libellés comme suit :</w:t>
      </w:r>
    </w:p>
    <w:p w14:paraId="30F274E7" w14:textId="1DBAC671" w:rsidR="00814FCC" w:rsidRPr="00EB283D" w:rsidRDefault="00814FCC" w:rsidP="00814FCC">
      <w:pPr>
        <w:spacing w:after="120" w:line="240" w:lineRule="exact"/>
        <w:ind w:left="2268" w:right="1134" w:hanging="1134"/>
        <w:jc w:val="both"/>
        <w:rPr>
          <w:b/>
          <w:lang w:val="fr-FR"/>
        </w:rPr>
      </w:pPr>
      <w:r>
        <w:rPr>
          <w:lang w:val="fr-FR"/>
        </w:rPr>
        <w:t>« </w:t>
      </w:r>
      <w:r>
        <w:rPr>
          <w:b/>
          <w:bCs/>
          <w:lang w:val="fr-FR"/>
        </w:rPr>
        <w:t>15</w:t>
      </w:r>
      <w:r w:rsidR="00C76BED" w:rsidRPr="00C76BED">
        <w:rPr>
          <w:b/>
          <w:bCs/>
          <w:lang w:val="fr-FR"/>
        </w:rPr>
        <w:t>.</w:t>
      </w:r>
      <w:r>
        <w:rPr>
          <w:b/>
          <w:bCs/>
          <w:lang w:val="fr-FR"/>
        </w:rPr>
        <w:t>6</w:t>
      </w:r>
      <w:r>
        <w:rPr>
          <w:lang w:val="fr-FR"/>
        </w:rPr>
        <w:tab/>
      </w:r>
      <w:r>
        <w:rPr>
          <w:b/>
          <w:bCs/>
          <w:lang w:val="fr-FR"/>
        </w:rPr>
        <w:t>À compter de la date officielle d’entrée en vigueur de la série 09 d’amendements, aucune Partie contractante appliquant le présent Règlement ONU ne pourra refuser d’accorder ou d’accepter une homologation de type conformément audit Règlement tel que modifié par la série 09 d’amendements</w:t>
      </w:r>
      <w:r w:rsidR="00C76BED" w:rsidRPr="00C76BED">
        <w:rPr>
          <w:b/>
          <w:bCs/>
          <w:lang w:val="fr-FR"/>
        </w:rPr>
        <w:t>.</w:t>
      </w:r>
    </w:p>
    <w:p w14:paraId="607B8640" w14:textId="4CAE9275" w:rsidR="00814FCC" w:rsidRPr="00EB283D" w:rsidRDefault="00814FCC" w:rsidP="00814FCC">
      <w:pPr>
        <w:spacing w:after="120" w:line="240" w:lineRule="exact"/>
        <w:ind w:left="2268" w:right="1134" w:hanging="1134"/>
        <w:jc w:val="both"/>
        <w:rPr>
          <w:b/>
          <w:lang w:val="fr-FR"/>
        </w:rPr>
      </w:pPr>
      <w:r>
        <w:rPr>
          <w:b/>
          <w:bCs/>
          <w:lang w:val="fr-FR"/>
        </w:rPr>
        <w:t>15</w:t>
      </w:r>
      <w:r w:rsidR="00C76BED" w:rsidRPr="00C76BED">
        <w:rPr>
          <w:b/>
          <w:bCs/>
          <w:lang w:val="fr-FR"/>
        </w:rPr>
        <w:t>.</w:t>
      </w:r>
      <w:r>
        <w:rPr>
          <w:b/>
          <w:bCs/>
          <w:lang w:val="fr-FR"/>
        </w:rPr>
        <w:t>7</w:t>
      </w:r>
      <w:r>
        <w:rPr>
          <w:lang w:val="fr-FR"/>
        </w:rPr>
        <w:tab/>
      </w:r>
      <w:r>
        <w:rPr>
          <w:b/>
          <w:bCs/>
          <w:lang w:val="fr-FR"/>
        </w:rPr>
        <w:t>À compter du [1</w:t>
      </w:r>
      <w:r>
        <w:rPr>
          <w:b/>
          <w:bCs/>
          <w:vertAlign w:val="superscript"/>
          <w:lang w:val="fr-FR"/>
        </w:rPr>
        <w:t>er</w:t>
      </w:r>
      <w:r>
        <w:rPr>
          <w:b/>
          <w:bCs/>
          <w:lang w:val="fr-FR"/>
        </w:rPr>
        <w:t xml:space="preserve"> septembre 2024], les Parties contractantes appliquant le présent Règlement ONU ne seront plus tenues d’accepter les homologations de type établies conformément aux précédentes séries d’amendements, délivrées pour la première fois après le [1</w:t>
      </w:r>
      <w:r>
        <w:rPr>
          <w:b/>
          <w:bCs/>
          <w:vertAlign w:val="superscript"/>
          <w:lang w:val="fr-FR"/>
        </w:rPr>
        <w:t>er</w:t>
      </w:r>
      <w:r>
        <w:rPr>
          <w:b/>
          <w:bCs/>
          <w:lang w:val="fr-FR"/>
        </w:rPr>
        <w:t xml:space="preserve"> septembre 2024]</w:t>
      </w:r>
      <w:r w:rsidR="00C76BED" w:rsidRPr="00C76BED">
        <w:rPr>
          <w:b/>
          <w:bCs/>
          <w:lang w:val="fr-FR"/>
        </w:rPr>
        <w:t>.</w:t>
      </w:r>
    </w:p>
    <w:p w14:paraId="7DDA3843" w14:textId="4FBC4FCA" w:rsidR="00814FCC" w:rsidRPr="00EB283D" w:rsidRDefault="00814FCC" w:rsidP="005B4F34">
      <w:pPr>
        <w:keepNext/>
        <w:keepLines/>
        <w:spacing w:after="120" w:line="240" w:lineRule="exact"/>
        <w:ind w:left="2268" w:right="1134" w:hanging="1134"/>
        <w:jc w:val="both"/>
        <w:rPr>
          <w:b/>
          <w:lang w:val="fr-FR"/>
        </w:rPr>
      </w:pPr>
      <w:r>
        <w:rPr>
          <w:b/>
          <w:bCs/>
          <w:lang w:val="fr-FR"/>
        </w:rPr>
        <w:lastRenderedPageBreak/>
        <w:t>15</w:t>
      </w:r>
      <w:r w:rsidR="00C76BED" w:rsidRPr="00C76BED">
        <w:rPr>
          <w:b/>
          <w:bCs/>
          <w:lang w:val="fr-FR"/>
        </w:rPr>
        <w:t>.</w:t>
      </w:r>
      <w:r>
        <w:rPr>
          <w:b/>
          <w:bCs/>
          <w:lang w:val="fr-FR"/>
        </w:rPr>
        <w:t>8</w:t>
      </w:r>
      <w:r>
        <w:rPr>
          <w:lang w:val="fr-FR"/>
        </w:rPr>
        <w:tab/>
      </w:r>
      <w:r>
        <w:rPr>
          <w:b/>
          <w:bCs/>
          <w:lang w:val="fr-FR"/>
        </w:rPr>
        <w:t>Jusqu’au [1</w:t>
      </w:r>
      <w:r>
        <w:rPr>
          <w:b/>
          <w:bCs/>
          <w:vertAlign w:val="superscript"/>
          <w:lang w:val="fr-FR"/>
        </w:rPr>
        <w:t>er</w:t>
      </w:r>
      <w:r>
        <w:rPr>
          <w:b/>
          <w:bCs/>
          <w:lang w:val="fr-FR"/>
        </w:rPr>
        <w:t xml:space="preserve"> septembre 2026], les Parties contractantes appliquant le présent Règlement ONU seront tenues d’accepter les homologations de type établies conformément aux précédentes séries d’amendements, délivrées pour la première fois avant le [1</w:t>
      </w:r>
      <w:r>
        <w:rPr>
          <w:b/>
          <w:bCs/>
          <w:vertAlign w:val="superscript"/>
          <w:lang w:val="fr-FR"/>
        </w:rPr>
        <w:t>er</w:t>
      </w:r>
      <w:r>
        <w:rPr>
          <w:b/>
          <w:bCs/>
          <w:lang w:val="fr-FR"/>
        </w:rPr>
        <w:t xml:space="preserve"> septembre 2024]</w:t>
      </w:r>
      <w:r w:rsidR="00C76BED" w:rsidRPr="00C76BED">
        <w:rPr>
          <w:b/>
          <w:bCs/>
          <w:lang w:val="fr-FR"/>
        </w:rPr>
        <w:t>.</w:t>
      </w:r>
    </w:p>
    <w:p w14:paraId="37AD5B93" w14:textId="769591D3" w:rsidR="00814FCC" w:rsidRPr="00EB283D" w:rsidRDefault="00814FCC" w:rsidP="00814FCC">
      <w:pPr>
        <w:spacing w:after="120" w:line="240" w:lineRule="exact"/>
        <w:ind w:left="2268" w:right="1134" w:hanging="1134"/>
        <w:jc w:val="both"/>
        <w:rPr>
          <w:b/>
          <w:lang w:val="fr-FR"/>
        </w:rPr>
      </w:pPr>
      <w:r>
        <w:rPr>
          <w:b/>
          <w:bCs/>
          <w:lang w:val="fr-FR"/>
        </w:rPr>
        <w:t>15</w:t>
      </w:r>
      <w:r w:rsidR="00C76BED" w:rsidRPr="00C76BED">
        <w:rPr>
          <w:b/>
          <w:bCs/>
          <w:lang w:val="fr-FR"/>
        </w:rPr>
        <w:t>.</w:t>
      </w:r>
      <w:r>
        <w:rPr>
          <w:b/>
          <w:bCs/>
          <w:lang w:val="fr-FR"/>
        </w:rPr>
        <w:t>9</w:t>
      </w:r>
      <w:r>
        <w:rPr>
          <w:lang w:val="fr-FR"/>
        </w:rPr>
        <w:tab/>
      </w:r>
      <w:r>
        <w:rPr>
          <w:b/>
          <w:bCs/>
          <w:lang w:val="fr-FR"/>
        </w:rPr>
        <w:t>À compter du [1</w:t>
      </w:r>
      <w:r>
        <w:rPr>
          <w:b/>
          <w:bCs/>
          <w:vertAlign w:val="superscript"/>
          <w:lang w:val="fr-FR"/>
        </w:rPr>
        <w:t>er</w:t>
      </w:r>
      <w:r>
        <w:rPr>
          <w:b/>
          <w:bCs/>
          <w:lang w:val="fr-FR"/>
        </w:rPr>
        <w:t xml:space="preserve"> septembre 2026], les Parties contractantes appliquant le présent Règlement ONU ne seront plus tenues d’accepter les homologations de type délivrées conformément aux précédentes séries d’amendements audit Règlement ONU</w:t>
      </w:r>
      <w:r w:rsidR="00C76BED" w:rsidRPr="00C76BED">
        <w:rPr>
          <w:b/>
          <w:bCs/>
          <w:lang w:val="fr-FR"/>
        </w:rPr>
        <w:t>.</w:t>
      </w:r>
    </w:p>
    <w:p w14:paraId="109EEC59" w14:textId="09836C6A" w:rsidR="00814FCC" w:rsidRPr="00EB283D" w:rsidRDefault="00814FCC" w:rsidP="00814FCC">
      <w:pPr>
        <w:spacing w:after="120" w:line="240" w:lineRule="exact"/>
        <w:ind w:left="2268" w:right="1134" w:hanging="1134"/>
        <w:jc w:val="both"/>
        <w:rPr>
          <w:rFonts w:eastAsia="Times New Roman"/>
          <w:b/>
          <w:lang w:val="fr-FR"/>
        </w:rPr>
      </w:pPr>
      <w:r>
        <w:rPr>
          <w:b/>
          <w:bCs/>
          <w:lang w:val="fr-FR"/>
        </w:rPr>
        <w:t>15</w:t>
      </w:r>
      <w:r w:rsidR="00C76BED" w:rsidRPr="00C76BED">
        <w:rPr>
          <w:b/>
          <w:bCs/>
          <w:lang w:val="fr-FR"/>
        </w:rPr>
        <w:t>.</w:t>
      </w:r>
      <w:r>
        <w:rPr>
          <w:b/>
          <w:bCs/>
          <w:lang w:val="fr-FR"/>
        </w:rPr>
        <w:t>10</w:t>
      </w:r>
      <w:r>
        <w:rPr>
          <w:lang w:val="fr-FR"/>
        </w:rPr>
        <w:tab/>
      </w:r>
      <w:r>
        <w:rPr>
          <w:b/>
          <w:bCs/>
          <w:lang w:val="fr-FR"/>
        </w:rPr>
        <w:t>Nonobstant les dispositions transitoires ci-dessus, les Parties contractantes qui commenceront à appliquer le présent Règlement ONU après la date d’entrée en vigueur de la série d’amendements la plus récente ne seront pas tenues d’accepter les homologations de type établies conformément à l’une quelconque des précédentes séries d’amendements audit Règlement, mais devront accepter les homologations de type délivrées conformément à la série 09 d’amendements</w:t>
      </w:r>
      <w:r w:rsidR="00C76BED" w:rsidRPr="00C76BED">
        <w:rPr>
          <w:b/>
          <w:bCs/>
          <w:lang w:val="fr-FR"/>
        </w:rPr>
        <w:t>.</w:t>
      </w:r>
    </w:p>
    <w:p w14:paraId="3BDDD2EC" w14:textId="5AA2A295" w:rsidR="00814FCC" w:rsidRPr="00EB283D" w:rsidRDefault="00814FCC" w:rsidP="00814FCC">
      <w:pPr>
        <w:spacing w:after="120" w:line="240" w:lineRule="exact"/>
        <w:ind w:left="2268" w:right="1134" w:hanging="1134"/>
        <w:jc w:val="both"/>
        <w:rPr>
          <w:b/>
          <w:lang w:val="fr-FR"/>
        </w:rPr>
      </w:pPr>
      <w:r>
        <w:rPr>
          <w:b/>
          <w:bCs/>
          <w:lang w:val="fr-FR"/>
        </w:rPr>
        <w:t>15</w:t>
      </w:r>
      <w:r w:rsidR="00C76BED" w:rsidRPr="00C76BED">
        <w:rPr>
          <w:b/>
          <w:bCs/>
          <w:lang w:val="fr-FR"/>
        </w:rPr>
        <w:t>.</w:t>
      </w:r>
      <w:r>
        <w:rPr>
          <w:b/>
          <w:bCs/>
          <w:lang w:val="fr-FR"/>
        </w:rPr>
        <w:t>11</w:t>
      </w:r>
      <w:r>
        <w:rPr>
          <w:lang w:val="fr-FR"/>
        </w:rPr>
        <w:tab/>
      </w:r>
      <w:r>
        <w:rPr>
          <w:b/>
          <w:bCs/>
          <w:lang w:val="fr-FR"/>
        </w:rPr>
        <w:t>Nonobstant les dispositions du paragraphe 15</w:t>
      </w:r>
      <w:r w:rsidR="00C76BED" w:rsidRPr="00C76BED">
        <w:rPr>
          <w:b/>
          <w:bCs/>
          <w:lang w:val="fr-FR"/>
        </w:rPr>
        <w:t>.</w:t>
      </w:r>
      <w:r>
        <w:rPr>
          <w:b/>
          <w:bCs/>
          <w:lang w:val="fr-FR"/>
        </w:rPr>
        <w:t>9, les Parties contractantes appliquant le présent Règlement ONU continueront de reconnaître les homologations de type délivrées conformément aux précédentes séries d’amendements audit Règlement ONU pour les véhicules non concernés par les modifications apportées par la série 09 d’amendements</w:t>
      </w:r>
      <w:r w:rsidR="00C76BED" w:rsidRPr="00C76BED">
        <w:rPr>
          <w:b/>
          <w:bCs/>
          <w:lang w:val="fr-FR"/>
        </w:rPr>
        <w:t>.</w:t>
      </w:r>
    </w:p>
    <w:p w14:paraId="47F1713D" w14:textId="10586CD3" w:rsidR="00814FCC" w:rsidRPr="00EB283D" w:rsidRDefault="00814FCC" w:rsidP="00814FCC">
      <w:pPr>
        <w:spacing w:after="120" w:line="240" w:lineRule="exact"/>
        <w:ind w:left="2268" w:right="1134" w:hanging="1134"/>
        <w:jc w:val="both"/>
        <w:rPr>
          <w:b/>
          <w:lang w:val="fr-FR"/>
        </w:rPr>
      </w:pPr>
      <w:r>
        <w:rPr>
          <w:b/>
          <w:bCs/>
          <w:lang w:val="fr-FR"/>
        </w:rPr>
        <w:t>15</w:t>
      </w:r>
      <w:r w:rsidR="00C76BED" w:rsidRPr="00C76BED">
        <w:rPr>
          <w:b/>
          <w:bCs/>
          <w:lang w:val="fr-FR"/>
        </w:rPr>
        <w:t>.</w:t>
      </w:r>
      <w:r>
        <w:rPr>
          <w:b/>
          <w:bCs/>
          <w:lang w:val="fr-FR"/>
        </w:rPr>
        <w:t>12</w:t>
      </w:r>
      <w:r>
        <w:rPr>
          <w:lang w:val="fr-FR"/>
        </w:rPr>
        <w:tab/>
      </w:r>
      <w:r>
        <w:rPr>
          <w:b/>
          <w:bCs/>
          <w:lang w:val="fr-FR"/>
        </w:rPr>
        <w:t>Nonobstant les dispositions du paragraphe 15</w:t>
      </w:r>
      <w:r w:rsidR="00C76BED" w:rsidRPr="00C76BED">
        <w:rPr>
          <w:b/>
          <w:bCs/>
          <w:lang w:val="fr-FR"/>
        </w:rPr>
        <w:t>.</w:t>
      </w:r>
      <w:r>
        <w:rPr>
          <w:b/>
          <w:bCs/>
          <w:lang w:val="fr-FR"/>
        </w:rPr>
        <w:t>9, les Parties contractantes appliquant le présent Règlement ONU continueront de reconnaître les homologations de type délivrées pour des ceintures de sécurité et des systèmes de retenue conformément aux précédentes séries d’amendements audit Règlement ONU</w:t>
      </w:r>
      <w:r w:rsidR="00C76BED" w:rsidRPr="00C76BED">
        <w:rPr>
          <w:b/>
          <w:bCs/>
          <w:lang w:val="fr-FR"/>
        </w:rPr>
        <w:t>.</w:t>
      </w:r>
    </w:p>
    <w:p w14:paraId="14921245" w14:textId="6309A5CD" w:rsidR="00814FCC" w:rsidRPr="00EB283D" w:rsidRDefault="00814FCC" w:rsidP="00814FCC">
      <w:pPr>
        <w:spacing w:after="120" w:line="240" w:lineRule="exact"/>
        <w:ind w:left="2268" w:right="1134" w:hanging="1134"/>
        <w:jc w:val="both"/>
        <w:rPr>
          <w:rFonts w:eastAsia="Times New Roman"/>
          <w:b/>
          <w:lang w:val="fr-FR"/>
        </w:rPr>
      </w:pPr>
      <w:r>
        <w:rPr>
          <w:b/>
          <w:bCs/>
          <w:lang w:val="fr-FR"/>
        </w:rPr>
        <w:t>15</w:t>
      </w:r>
      <w:r w:rsidR="00C76BED" w:rsidRPr="00C76BED">
        <w:rPr>
          <w:b/>
          <w:bCs/>
          <w:lang w:val="fr-FR"/>
        </w:rPr>
        <w:t>.</w:t>
      </w:r>
      <w:r>
        <w:rPr>
          <w:b/>
          <w:bCs/>
          <w:lang w:val="fr-FR"/>
        </w:rPr>
        <w:t>13</w:t>
      </w:r>
      <w:r>
        <w:rPr>
          <w:lang w:val="fr-FR"/>
        </w:rPr>
        <w:tab/>
      </w:r>
      <w:r>
        <w:rPr>
          <w:b/>
          <w:bCs/>
          <w:lang w:val="fr-FR"/>
        </w:rPr>
        <w:t>Les Parties contractantes appliquant le présent Règlement ONU pourront accorder des homologations de type conformément à l’une quelconque des précédentes séries d’amendements audit Règlement ONU</w:t>
      </w:r>
      <w:r w:rsidR="00C76BED" w:rsidRPr="00C76BED">
        <w:rPr>
          <w:b/>
          <w:bCs/>
          <w:lang w:val="fr-FR"/>
        </w:rPr>
        <w:t>.</w:t>
      </w:r>
    </w:p>
    <w:p w14:paraId="42D3A421" w14:textId="57F6ADAB" w:rsidR="00814FCC" w:rsidRPr="00EB283D" w:rsidRDefault="00814FCC" w:rsidP="00814FCC">
      <w:pPr>
        <w:spacing w:after="120" w:line="240" w:lineRule="exact"/>
        <w:ind w:left="2268" w:right="1134" w:hanging="1134"/>
        <w:jc w:val="both"/>
        <w:rPr>
          <w:bCs/>
          <w:lang w:val="fr-FR"/>
        </w:rPr>
      </w:pPr>
      <w:r>
        <w:rPr>
          <w:b/>
          <w:bCs/>
          <w:lang w:val="fr-FR"/>
        </w:rPr>
        <w:t>15</w:t>
      </w:r>
      <w:r w:rsidR="00C76BED" w:rsidRPr="00C76BED">
        <w:rPr>
          <w:b/>
          <w:bCs/>
          <w:lang w:val="fr-FR"/>
        </w:rPr>
        <w:t>.</w:t>
      </w:r>
      <w:r>
        <w:rPr>
          <w:b/>
          <w:bCs/>
          <w:lang w:val="fr-FR"/>
        </w:rPr>
        <w:t>14</w:t>
      </w:r>
      <w:r>
        <w:rPr>
          <w:lang w:val="fr-FR"/>
        </w:rPr>
        <w:tab/>
      </w:r>
      <w:r>
        <w:rPr>
          <w:b/>
          <w:bCs/>
          <w:lang w:val="fr-FR"/>
        </w:rPr>
        <w:t>Les Parties contractantes appliquant le présent Règlement ONU continueront d’accorder des extensions aux homologations déjà délivrées conformément à l’une quelconque des précédentes séries d’amendements audit Règlement</w:t>
      </w:r>
      <w:r w:rsidR="00C76BED" w:rsidRPr="00C76BED">
        <w:rPr>
          <w:b/>
          <w:bCs/>
          <w:lang w:val="fr-FR"/>
        </w:rPr>
        <w:t>.</w:t>
      </w:r>
      <w:r>
        <w:rPr>
          <w:lang w:val="fr-FR"/>
        </w:rPr>
        <w:t> »</w:t>
      </w:r>
      <w:r w:rsidR="00C76BED" w:rsidRPr="00C76BED">
        <w:rPr>
          <w:lang w:val="fr-FR"/>
        </w:rPr>
        <w:t>.</w:t>
      </w:r>
    </w:p>
    <w:p w14:paraId="4C4C4F45" w14:textId="77777777" w:rsidR="00814FCC" w:rsidRPr="00EB283D" w:rsidRDefault="00814FCC" w:rsidP="00814FCC">
      <w:pPr>
        <w:spacing w:after="120" w:line="240" w:lineRule="exact"/>
        <w:ind w:left="2268" w:right="1134" w:hanging="1134"/>
        <w:jc w:val="both"/>
        <w:rPr>
          <w:bCs/>
          <w:lang w:val="fr-FR"/>
        </w:rPr>
      </w:pPr>
      <w:r>
        <w:rPr>
          <w:i/>
          <w:iCs/>
          <w:lang w:val="fr-FR"/>
        </w:rPr>
        <w:t>Annexe 2</w:t>
      </w:r>
      <w:r>
        <w:rPr>
          <w:lang w:val="fr-FR"/>
        </w:rPr>
        <w:t>, lire :</w:t>
      </w:r>
    </w:p>
    <w:p w14:paraId="2689D645" w14:textId="77777777" w:rsidR="00814FCC" w:rsidRPr="00EB283D" w:rsidRDefault="00814FCC" w:rsidP="00814FCC">
      <w:pPr>
        <w:pStyle w:val="HChG"/>
        <w:rPr>
          <w:lang w:val="fr-FR"/>
        </w:rPr>
      </w:pPr>
      <w:r w:rsidRPr="0081106A">
        <w:rPr>
          <w:sz w:val="20"/>
          <w:lang w:val="fr-FR"/>
        </w:rPr>
        <w:t>« </w:t>
      </w:r>
      <w:r>
        <w:rPr>
          <w:bCs/>
          <w:lang w:val="fr-FR"/>
        </w:rPr>
        <w:t>Annexe 2</w:t>
      </w:r>
    </w:p>
    <w:p w14:paraId="10EDE47E" w14:textId="77777777" w:rsidR="00814FCC" w:rsidRPr="00EB283D" w:rsidRDefault="00814FCC" w:rsidP="00814FCC">
      <w:pPr>
        <w:pStyle w:val="HChG"/>
        <w:rPr>
          <w:lang w:val="fr-FR"/>
        </w:rPr>
      </w:pPr>
      <w:r>
        <w:rPr>
          <w:lang w:val="fr-FR"/>
        </w:rPr>
        <w:tab/>
      </w:r>
      <w:r>
        <w:rPr>
          <w:lang w:val="fr-FR"/>
        </w:rPr>
        <w:tab/>
      </w:r>
      <w:r>
        <w:rPr>
          <w:bCs/>
          <w:lang w:val="fr-FR"/>
        </w:rPr>
        <w:t>Exemples de marques d’homologation</w:t>
      </w:r>
    </w:p>
    <w:p w14:paraId="11637DEF" w14:textId="70C1E1F1" w:rsidR="00814FCC" w:rsidRPr="00EB283D" w:rsidRDefault="00814FCC" w:rsidP="00814FCC">
      <w:pPr>
        <w:pStyle w:val="para"/>
        <w:rPr>
          <w:lang w:val="fr-FR"/>
        </w:rPr>
      </w:pPr>
      <w:r>
        <w:rPr>
          <w:lang w:val="fr-FR"/>
        </w:rPr>
        <w:t>1</w:t>
      </w:r>
      <w:r w:rsidR="00C76BED" w:rsidRPr="00C76BED">
        <w:rPr>
          <w:lang w:val="fr-FR"/>
        </w:rPr>
        <w:t>.</w:t>
      </w:r>
      <w:r>
        <w:rPr>
          <w:lang w:val="fr-FR"/>
        </w:rPr>
        <w:tab/>
        <w:t>Exemples des marques d’homologation du véhicule pour ce qui est des ceintures de sécurité</w:t>
      </w:r>
    </w:p>
    <w:p w14:paraId="30E2EA3B" w14:textId="77777777" w:rsidR="00814FCC" w:rsidRPr="00EB283D" w:rsidRDefault="00814FCC" w:rsidP="005B4F34">
      <w:pPr>
        <w:pStyle w:val="Titre1"/>
        <w:ind w:left="567" w:firstLine="567"/>
        <w:rPr>
          <w:lang w:val="fr-FR"/>
        </w:rPr>
      </w:pPr>
      <w:r>
        <w:rPr>
          <w:lang w:val="fr-FR"/>
        </w:rPr>
        <w:lastRenderedPageBreak/>
        <w:t>Modèle A</w:t>
      </w:r>
    </w:p>
    <w:p w14:paraId="0C4099F3" w14:textId="0405E400" w:rsidR="00814FCC" w:rsidRPr="00EB283D" w:rsidRDefault="00814FCC" w:rsidP="005B4F34">
      <w:pPr>
        <w:pStyle w:val="SingleTxtG"/>
        <w:keepNext/>
        <w:rPr>
          <w:lang w:val="fr-FR"/>
        </w:rPr>
      </w:pPr>
      <w:r>
        <w:rPr>
          <w:lang w:val="fr-FR"/>
        </w:rPr>
        <w:t>(voir par</w:t>
      </w:r>
      <w:r w:rsidR="00C76BED" w:rsidRPr="00C76BED">
        <w:rPr>
          <w:lang w:val="fr-FR"/>
        </w:rPr>
        <w:t>.</w:t>
      </w:r>
      <w:r>
        <w:rPr>
          <w:lang w:val="fr-FR"/>
        </w:rPr>
        <w:t xml:space="preserve"> 5</w:t>
      </w:r>
      <w:r w:rsidR="00C76BED" w:rsidRPr="00C76BED">
        <w:rPr>
          <w:lang w:val="fr-FR"/>
        </w:rPr>
        <w:t>.</w:t>
      </w:r>
      <w:r>
        <w:rPr>
          <w:lang w:val="fr-FR"/>
        </w:rPr>
        <w:t>2</w:t>
      </w:r>
      <w:r w:rsidR="00C76BED" w:rsidRPr="00C76BED">
        <w:rPr>
          <w:lang w:val="fr-FR"/>
        </w:rPr>
        <w:t>.</w:t>
      </w:r>
      <w:r>
        <w:rPr>
          <w:lang w:val="fr-FR"/>
        </w:rPr>
        <w:t>4 du présent Règlement)</w:t>
      </w:r>
    </w:p>
    <w:p w14:paraId="3737E615" w14:textId="768276B0" w:rsidR="005B4F34" w:rsidRDefault="005B4F34" w:rsidP="005B4F34">
      <w:pPr>
        <w:pStyle w:val="SingleTxtG"/>
        <w:keepNext/>
        <w:rPr>
          <w:lang w:val="fr-FR"/>
        </w:rPr>
      </w:pPr>
      <w:r w:rsidRPr="00371534">
        <w:rPr>
          <w:noProof/>
        </w:rPr>
        <w:drawing>
          <wp:inline distT="0" distB="0" distL="0" distR="0" wp14:anchorId="06102D96" wp14:editId="75B89C6E">
            <wp:extent cx="2943636" cy="1590897"/>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43636" cy="1590897"/>
                    </a:xfrm>
                    <a:prstGeom prst="rect">
                      <a:avLst/>
                    </a:prstGeom>
                  </pic:spPr>
                </pic:pic>
              </a:graphicData>
            </a:graphic>
          </wp:inline>
        </w:drawing>
      </w:r>
    </w:p>
    <w:p w14:paraId="1C6EE4E4" w14:textId="246DE700" w:rsidR="00814FCC" w:rsidRPr="00EB283D" w:rsidRDefault="00814FCC" w:rsidP="005B4F34">
      <w:pPr>
        <w:tabs>
          <w:tab w:val="left" w:pos="-1242"/>
          <w:tab w:val="left" w:pos="-720"/>
          <w:tab w:val="left" w:pos="0"/>
          <w:tab w:val="left" w:pos="1473"/>
        </w:tabs>
        <w:spacing w:before="120" w:after="240"/>
        <w:ind w:left="2835" w:right="1134"/>
        <w:jc w:val="center"/>
        <w:rPr>
          <w:lang w:val="fr-FR"/>
        </w:rPr>
      </w:pPr>
      <w:r>
        <w:rPr>
          <w:lang w:val="fr-FR"/>
        </w:rPr>
        <w:t xml:space="preserve">a = 8 </w:t>
      </w:r>
      <w:proofErr w:type="spellStart"/>
      <w:r>
        <w:rPr>
          <w:lang w:val="fr-FR"/>
        </w:rPr>
        <w:t>mm</w:t>
      </w:r>
      <w:r w:rsidR="005B4F34">
        <w:rPr>
          <w:lang w:val="fr-FR"/>
        </w:rPr>
        <w:t>.</w:t>
      </w:r>
      <w:proofErr w:type="spellEnd"/>
    </w:p>
    <w:p w14:paraId="654FB380" w14:textId="30103B45" w:rsidR="00814FCC" w:rsidRPr="00EB283D" w:rsidRDefault="00814FCC" w:rsidP="00814FCC">
      <w:pPr>
        <w:pStyle w:val="SingleTxtG"/>
        <w:spacing w:before="120"/>
        <w:ind w:firstLine="567"/>
        <w:rPr>
          <w:lang w:val="fr-FR"/>
        </w:rPr>
      </w:pPr>
      <w:r>
        <w:rPr>
          <w:lang w:val="fr-FR"/>
        </w:rPr>
        <w:t>La marque d’homologation ci-dessus, apposée sur un véhicule, indique que ce type de véhicule a été homologué aux Pays-Bas (E 4), pour ce qui est des ceintures de sécurité, en application du Règlement ONU n</w:t>
      </w:r>
      <w:r>
        <w:rPr>
          <w:vertAlign w:val="superscript"/>
          <w:lang w:val="fr-FR"/>
        </w:rPr>
        <w:t>o</w:t>
      </w:r>
      <w:r>
        <w:rPr>
          <w:lang w:val="fr-FR"/>
        </w:rPr>
        <w:t> 16</w:t>
      </w:r>
      <w:r w:rsidR="00C76BED" w:rsidRPr="00C76BED">
        <w:rPr>
          <w:lang w:val="fr-FR"/>
        </w:rPr>
        <w:t>.</w:t>
      </w:r>
      <w:r>
        <w:rPr>
          <w:lang w:val="fr-FR"/>
        </w:rPr>
        <w:t xml:space="preserve"> Le numéro d’homologation indique que l’homologation a été délivrée au titre du Règlement ONU n</w:t>
      </w:r>
      <w:r>
        <w:rPr>
          <w:vertAlign w:val="superscript"/>
          <w:lang w:val="fr-FR"/>
        </w:rPr>
        <w:t>o</w:t>
      </w:r>
      <w:r>
        <w:rPr>
          <w:lang w:val="fr-FR"/>
        </w:rPr>
        <w:t> 16 tel qu’il a été modifié par la série 0</w:t>
      </w:r>
      <w:r>
        <w:rPr>
          <w:strike/>
          <w:lang w:val="fr-FR"/>
        </w:rPr>
        <w:t>8</w:t>
      </w:r>
      <w:r>
        <w:rPr>
          <w:b/>
          <w:bCs/>
          <w:lang w:val="fr-FR"/>
        </w:rPr>
        <w:t>9</w:t>
      </w:r>
      <w:r>
        <w:rPr>
          <w:lang w:val="fr-FR"/>
        </w:rPr>
        <w:t xml:space="preserve"> d’amendements</w:t>
      </w:r>
      <w:r w:rsidR="00C76BED" w:rsidRPr="00C76BED">
        <w:rPr>
          <w:lang w:val="fr-FR"/>
        </w:rPr>
        <w:t>.</w:t>
      </w:r>
    </w:p>
    <w:p w14:paraId="3DA629F0" w14:textId="77777777" w:rsidR="00814FCC" w:rsidRPr="00EB283D" w:rsidRDefault="00814FCC" w:rsidP="00814FCC">
      <w:pPr>
        <w:pStyle w:val="Titre1"/>
        <w:ind w:left="567" w:firstLine="567"/>
        <w:rPr>
          <w:lang w:val="fr-FR"/>
        </w:rPr>
      </w:pPr>
      <w:r>
        <w:rPr>
          <w:lang w:val="fr-FR"/>
        </w:rPr>
        <w:t>Modèle B</w:t>
      </w:r>
    </w:p>
    <w:p w14:paraId="2AA3C05E" w14:textId="214C77F2" w:rsidR="00814FCC" w:rsidRPr="00EB283D" w:rsidRDefault="00814FCC" w:rsidP="005B4F34">
      <w:pPr>
        <w:pStyle w:val="SingleTxtG"/>
        <w:rPr>
          <w:lang w:val="fr-FR"/>
        </w:rPr>
      </w:pPr>
      <w:r>
        <w:rPr>
          <w:lang w:val="fr-FR"/>
        </w:rPr>
        <w:t>(voir par</w:t>
      </w:r>
      <w:r w:rsidR="00C76BED" w:rsidRPr="00C76BED">
        <w:rPr>
          <w:lang w:val="fr-FR"/>
        </w:rPr>
        <w:t>.</w:t>
      </w:r>
      <w:r>
        <w:rPr>
          <w:lang w:val="fr-FR"/>
        </w:rPr>
        <w:t xml:space="preserve"> 5</w:t>
      </w:r>
      <w:r w:rsidR="00C76BED" w:rsidRPr="00C76BED">
        <w:rPr>
          <w:lang w:val="fr-FR"/>
        </w:rPr>
        <w:t>.</w:t>
      </w:r>
      <w:r>
        <w:rPr>
          <w:lang w:val="fr-FR"/>
        </w:rPr>
        <w:t>2</w:t>
      </w:r>
      <w:r w:rsidR="00C76BED" w:rsidRPr="00C76BED">
        <w:rPr>
          <w:lang w:val="fr-FR"/>
        </w:rPr>
        <w:t>.</w:t>
      </w:r>
      <w:r>
        <w:rPr>
          <w:lang w:val="fr-FR"/>
        </w:rPr>
        <w:t>5 du présent Règlement)</w:t>
      </w:r>
    </w:p>
    <w:p w14:paraId="347D7DB8" w14:textId="77777777" w:rsidR="00814FCC" w:rsidRPr="00EB283D" w:rsidRDefault="00814FCC" w:rsidP="00814FCC">
      <w:pPr>
        <w:pStyle w:val="SingleTxtG"/>
        <w:jc w:val="right"/>
        <w:rPr>
          <w:lang w:val="fr-FR"/>
        </w:rPr>
      </w:pPr>
      <w:r w:rsidRPr="00371534">
        <w:rPr>
          <w:noProof/>
        </w:rPr>
        <w:drawing>
          <wp:inline distT="0" distB="0" distL="0" distR="0" wp14:anchorId="31F7743E" wp14:editId="4DD427CC">
            <wp:extent cx="4676965" cy="1050939"/>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05141" cy="1057270"/>
                    </a:xfrm>
                    <a:prstGeom prst="rect">
                      <a:avLst/>
                    </a:prstGeom>
                  </pic:spPr>
                </pic:pic>
              </a:graphicData>
            </a:graphic>
          </wp:inline>
        </w:drawing>
      </w:r>
    </w:p>
    <w:p w14:paraId="4D4CD455" w14:textId="221DBBE2" w:rsidR="00814FCC" w:rsidRPr="00EB283D" w:rsidRDefault="00814FCC" w:rsidP="005B4F34">
      <w:pPr>
        <w:pStyle w:val="SingleTxtG"/>
        <w:spacing w:after="240"/>
        <w:jc w:val="right"/>
        <w:rPr>
          <w:lang w:val="fr-FR"/>
        </w:rPr>
      </w:pPr>
      <w:r>
        <w:rPr>
          <w:lang w:val="fr-FR"/>
        </w:rPr>
        <w:t>a = 8 mm min</w:t>
      </w:r>
      <w:r w:rsidR="00C76BED" w:rsidRPr="00C76BED">
        <w:rPr>
          <w:lang w:val="fr-FR"/>
        </w:rPr>
        <w:t>.</w:t>
      </w:r>
    </w:p>
    <w:p w14:paraId="5888143E" w14:textId="41823464" w:rsidR="00814FCC" w:rsidRPr="00EB283D" w:rsidRDefault="00814FCC" w:rsidP="00814FCC">
      <w:pPr>
        <w:pStyle w:val="SingleTxtG"/>
        <w:ind w:firstLine="567"/>
        <w:rPr>
          <w:lang w:val="fr-FR"/>
        </w:rPr>
      </w:pPr>
      <w:r>
        <w:rPr>
          <w:lang w:val="fr-FR"/>
        </w:rPr>
        <w:t>La marque d’homologation ci-dessus, apposée sur un véhicule, indique que ce type de véhicule a été homologué aux Pays-Bas (E 4), en application des Règlements ONU n</w:t>
      </w:r>
      <w:r>
        <w:rPr>
          <w:vertAlign w:val="superscript"/>
          <w:lang w:val="fr-FR"/>
        </w:rPr>
        <w:t>os</w:t>
      </w:r>
      <w:r>
        <w:rPr>
          <w:lang w:val="fr-FR"/>
        </w:rPr>
        <w:t> 16 et</w:t>
      </w:r>
      <w:r w:rsidR="00E208D4">
        <w:rPr>
          <w:lang w:val="fr-FR"/>
        </w:rPr>
        <w:t> </w:t>
      </w:r>
      <w:r>
        <w:rPr>
          <w:lang w:val="fr-FR"/>
        </w:rPr>
        <w:t>52</w:t>
      </w:r>
      <w:r w:rsidRPr="008E6F6A">
        <w:rPr>
          <w:rStyle w:val="Appelnotedebasdep"/>
        </w:rPr>
        <w:footnoteReference w:id="3"/>
      </w:r>
      <w:r w:rsidR="00C76BED" w:rsidRPr="00C76BED">
        <w:rPr>
          <w:lang w:val="fr-FR"/>
        </w:rPr>
        <w:t>.</w:t>
      </w:r>
      <w:r>
        <w:rPr>
          <w:lang w:val="fr-FR"/>
        </w:rPr>
        <w:t xml:space="preserve"> Les numéros d’homologation indiquent qu’aux dates respectives où les homologations ont été délivrées, le Règlement ONU n</w:t>
      </w:r>
      <w:r>
        <w:rPr>
          <w:vertAlign w:val="superscript"/>
          <w:lang w:val="fr-FR"/>
        </w:rPr>
        <w:t>o</w:t>
      </w:r>
      <w:r>
        <w:rPr>
          <w:lang w:val="fr-FR"/>
        </w:rPr>
        <w:t> 16 comprenait la série 0</w:t>
      </w:r>
      <w:r>
        <w:rPr>
          <w:strike/>
          <w:lang w:val="fr-FR"/>
        </w:rPr>
        <w:t>8</w:t>
      </w:r>
      <w:r>
        <w:rPr>
          <w:b/>
          <w:bCs/>
          <w:lang w:val="fr-FR"/>
        </w:rPr>
        <w:t>9</w:t>
      </w:r>
      <w:r>
        <w:rPr>
          <w:lang w:val="fr-FR"/>
        </w:rPr>
        <w:t xml:space="preserve"> d’amendements, et le Règlement ONU n</w:t>
      </w:r>
      <w:r>
        <w:rPr>
          <w:vertAlign w:val="superscript"/>
          <w:lang w:val="fr-FR"/>
        </w:rPr>
        <w:t>o</w:t>
      </w:r>
      <w:r>
        <w:rPr>
          <w:lang w:val="fr-FR"/>
        </w:rPr>
        <w:t> 52 la série 01 d’amendements</w:t>
      </w:r>
      <w:r w:rsidR="00C76BED" w:rsidRPr="00C76BED">
        <w:rPr>
          <w:lang w:val="fr-FR"/>
        </w:rPr>
        <w:t>.</w:t>
      </w:r>
    </w:p>
    <w:p w14:paraId="777D7C5E" w14:textId="13624A61" w:rsidR="00814FCC" w:rsidRPr="00EB283D" w:rsidRDefault="00814FCC" w:rsidP="00814FCC">
      <w:pPr>
        <w:pStyle w:val="para"/>
        <w:keepNext/>
        <w:keepLines/>
        <w:rPr>
          <w:lang w:val="fr-FR"/>
        </w:rPr>
      </w:pPr>
      <w:r>
        <w:rPr>
          <w:lang w:val="fr-FR"/>
        </w:rPr>
        <w:t>2</w:t>
      </w:r>
      <w:r w:rsidR="00C76BED" w:rsidRPr="00C76BED">
        <w:rPr>
          <w:lang w:val="fr-FR"/>
        </w:rPr>
        <w:t>.</w:t>
      </w:r>
      <w:r>
        <w:rPr>
          <w:lang w:val="fr-FR"/>
        </w:rPr>
        <w:tab/>
        <w:t>Exemples de marques d’homologation pour ce qui est des ceintures de sécurité (voir par</w:t>
      </w:r>
      <w:r w:rsidR="00C76BED" w:rsidRPr="00C76BED">
        <w:rPr>
          <w:lang w:val="fr-FR"/>
        </w:rPr>
        <w:t>.</w:t>
      </w:r>
      <w:r>
        <w:rPr>
          <w:lang w:val="fr-FR"/>
        </w:rPr>
        <w:t xml:space="preserve"> 5</w:t>
      </w:r>
      <w:r w:rsidR="00C76BED" w:rsidRPr="00C76BED">
        <w:rPr>
          <w:lang w:val="fr-FR"/>
        </w:rPr>
        <w:t>.</w:t>
      </w:r>
      <w:r>
        <w:rPr>
          <w:lang w:val="fr-FR"/>
        </w:rPr>
        <w:t>3</w:t>
      </w:r>
      <w:r w:rsidR="00C76BED" w:rsidRPr="00C76BED">
        <w:rPr>
          <w:lang w:val="fr-FR"/>
        </w:rPr>
        <w:t>.</w:t>
      </w:r>
      <w:r>
        <w:rPr>
          <w:lang w:val="fr-FR"/>
        </w:rPr>
        <w:t xml:space="preserve">5 du présent Règlement) </w:t>
      </w:r>
    </w:p>
    <w:p w14:paraId="12CA6957" w14:textId="7B78E1E3" w:rsidR="00814FCC" w:rsidRDefault="008E6F6A" w:rsidP="008E6F6A">
      <w:pPr>
        <w:pStyle w:val="SingleTxtG"/>
        <w:jc w:val="center"/>
        <w:rPr>
          <w:lang w:val="fr-FR"/>
        </w:rPr>
      </w:pPr>
      <w:r>
        <w:rPr>
          <w:noProof/>
        </w:rPr>
        <w:drawing>
          <wp:inline distT="0" distB="0" distL="0" distR="0" wp14:anchorId="677EC15E" wp14:editId="79B472B6">
            <wp:extent cx="2399782" cy="2094725"/>
            <wp:effectExtent l="0" t="0" r="635"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7278" cy="2101269"/>
                    </a:xfrm>
                    <a:prstGeom prst="rect">
                      <a:avLst/>
                    </a:prstGeom>
                  </pic:spPr>
                </pic:pic>
              </a:graphicData>
            </a:graphic>
          </wp:inline>
        </w:drawing>
      </w:r>
    </w:p>
    <w:p w14:paraId="7A37DB43" w14:textId="7E2D7F5D" w:rsidR="00814FCC" w:rsidRPr="00EB283D" w:rsidRDefault="008E6F6A" w:rsidP="008E6F6A">
      <w:pPr>
        <w:tabs>
          <w:tab w:val="left" w:pos="-1227"/>
          <w:tab w:val="left" w:pos="-720"/>
          <w:tab w:val="left" w:pos="0"/>
          <w:tab w:val="left" w:pos="566"/>
          <w:tab w:val="left" w:pos="2947"/>
          <w:tab w:val="left" w:pos="3344"/>
          <w:tab w:val="left" w:pos="5760"/>
          <w:tab w:val="left" w:pos="6480"/>
          <w:tab w:val="left" w:pos="7200"/>
          <w:tab w:val="left" w:pos="7920"/>
          <w:tab w:val="left" w:pos="8640"/>
          <w:tab w:val="left" w:pos="9360"/>
        </w:tabs>
        <w:ind w:left="1134" w:right="1134"/>
        <w:jc w:val="center"/>
        <w:rPr>
          <w:lang w:val="fr-FR"/>
        </w:rPr>
      </w:pPr>
      <w:r>
        <w:tab/>
      </w:r>
      <w:r w:rsidR="005B4F34" w:rsidRPr="00A25541">
        <w:t>a = 8 mm min</w:t>
      </w:r>
      <w:r w:rsidR="00C76BED" w:rsidRPr="00C76BED">
        <w:t>.</w:t>
      </w:r>
    </w:p>
    <w:p w14:paraId="4BE39412" w14:textId="5D0564D3" w:rsidR="00814FCC" w:rsidRDefault="00814FCC" w:rsidP="00814FCC">
      <w:pPr>
        <w:pStyle w:val="SingleTxtG"/>
        <w:rPr>
          <w:lang w:val="fr-FR"/>
        </w:rPr>
      </w:pPr>
      <w:r>
        <w:rPr>
          <w:lang w:val="fr-FR"/>
        </w:rPr>
        <w:lastRenderedPageBreak/>
        <w:tab/>
      </w:r>
      <w:r>
        <w:rPr>
          <w:lang w:val="fr-FR"/>
        </w:rPr>
        <w:tab/>
        <w:t>La ceinture portant la marque d’homologation ci-dessus est une ceinture trois points (“A”) munie d’un dispositif d’absorption d’énergie (“e”) et homologuée aux Pays-Bas (E 4) sous le numéro 0</w:t>
      </w:r>
      <w:r>
        <w:rPr>
          <w:strike/>
          <w:lang w:val="fr-FR"/>
        </w:rPr>
        <w:t>8</w:t>
      </w:r>
      <w:r>
        <w:rPr>
          <w:b/>
          <w:bCs/>
          <w:lang w:val="fr-FR"/>
        </w:rPr>
        <w:t>9</w:t>
      </w:r>
      <w:r>
        <w:rPr>
          <w:lang w:val="fr-FR"/>
        </w:rPr>
        <w:t>2439, le présent Règlement contenant déjà les séries 06, 07</w:t>
      </w:r>
      <w:r>
        <w:rPr>
          <w:b/>
          <w:bCs/>
          <w:lang w:val="fr-FR"/>
        </w:rPr>
        <w:t>,</w:t>
      </w:r>
      <w:r>
        <w:rPr>
          <w:lang w:val="fr-FR"/>
        </w:rPr>
        <w:t xml:space="preserve"> </w:t>
      </w:r>
      <w:r>
        <w:rPr>
          <w:strike/>
          <w:lang w:val="fr-FR"/>
        </w:rPr>
        <w:t>ou</w:t>
      </w:r>
      <w:r>
        <w:rPr>
          <w:lang w:val="fr-FR"/>
        </w:rPr>
        <w:t xml:space="preserve"> 08 </w:t>
      </w:r>
      <w:r>
        <w:rPr>
          <w:b/>
          <w:bCs/>
          <w:lang w:val="fr-FR"/>
        </w:rPr>
        <w:t>ou 09</w:t>
      </w:r>
      <w:r>
        <w:rPr>
          <w:lang w:val="fr-FR"/>
        </w:rPr>
        <w:t xml:space="preserve"> d’amendements au moment de l’homologation</w:t>
      </w:r>
      <w:r w:rsidR="00C76BED" w:rsidRPr="00C76BED">
        <w:rPr>
          <w:lang w:val="fr-FR"/>
        </w:rPr>
        <w:t>.</w:t>
      </w:r>
    </w:p>
    <w:p w14:paraId="4AE0A2C0" w14:textId="0E1A463C" w:rsidR="008E6F6A" w:rsidRPr="00EB283D" w:rsidRDefault="008E6F6A" w:rsidP="00536CEA">
      <w:pPr>
        <w:pStyle w:val="SingleTxtG"/>
        <w:spacing w:after="240"/>
        <w:jc w:val="center"/>
        <w:rPr>
          <w:lang w:val="fr-FR"/>
        </w:rPr>
      </w:pPr>
      <w:r>
        <w:rPr>
          <w:noProof/>
        </w:rPr>
        <w:drawing>
          <wp:inline distT="0" distB="0" distL="0" distR="0" wp14:anchorId="210511A3" wp14:editId="0EAF7F6F">
            <wp:extent cx="1468833" cy="1464660"/>
            <wp:effectExtent l="0" t="0" r="0" b="254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75294" cy="1471103"/>
                    </a:xfrm>
                    <a:prstGeom prst="rect">
                      <a:avLst/>
                    </a:prstGeom>
                  </pic:spPr>
                </pic:pic>
              </a:graphicData>
            </a:graphic>
          </wp:inline>
        </w:drawing>
      </w:r>
    </w:p>
    <w:p w14:paraId="275186AC" w14:textId="379947BE" w:rsidR="00814FCC" w:rsidRPr="00EB283D" w:rsidRDefault="00814FCC" w:rsidP="00814FCC">
      <w:pPr>
        <w:pStyle w:val="SingleTxtG"/>
        <w:rPr>
          <w:lang w:val="fr-FR"/>
        </w:rPr>
      </w:pPr>
      <w:r>
        <w:rPr>
          <w:lang w:val="fr-FR"/>
        </w:rPr>
        <w:tab/>
      </w:r>
      <w:r>
        <w:rPr>
          <w:lang w:val="fr-FR"/>
        </w:rPr>
        <w:tab/>
        <w:t>La ceinture portant la marque d’homologation ci-dessus est une ceinture sous-abdominale (“B”) pourvue d’un rétracteur du type 4 à sensibilité multiple (“m”) et homologuée aux Pays-Bas (E 4) sous le numéro 0</w:t>
      </w:r>
      <w:r>
        <w:rPr>
          <w:strike/>
          <w:lang w:val="fr-FR"/>
        </w:rPr>
        <w:t>8</w:t>
      </w:r>
      <w:r>
        <w:rPr>
          <w:b/>
          <w:bCs/>
          <w:lang w:val="fr-FR"/>
        </w:rPr>
        <w:t>9</w:t>
      </w:r>
      <w:r>
        <w:rPr>
          <w:lang w:val="fr-FR"/>
        </w:rPr>
        <w:t>2489, le présent Règlement contenant déjà les séries 06, 07</w:t>
      </w:r>
      <w:r>
        <w:rPr>
          <w:b/>
          <w:bCs/>
          <w:lang w:val="fr-FR"/>
        </w:rPr>
        <w:t>,</w:t>
      </w:r>
      <w:r>
        <w:rPr>
          <w:lang w:val="fr-FR"/>
        </w:rPr>
        <w:t xml:space="preserve"> </w:t>
      </w:r>
      <w:r>
        <w:rPr>
          <w:strike/>
          <w:lang w:val="fr-FR"/>
        </w:rPr>
        <w:t>ou</w:t>
      </w:r>
      <w:r>
        <w:rPr>
          <w:lang w:val="fr-FR"/>
        </w:rPr>
        <w:t xml:space="preserve"> 08 </w:t>
      </w:r>
      <w:r>
        <w:rPr>
          <w:b/>
          <w:bCs/>
          <w:lang w:val="fr-FR"/>
        </w:rPr>
        <w:t>ou 09</w:t>
      </w:r>
      <w:r>
        <w:rPr>
          <w:lang w:val="fr-FR"/>
        </w:rPr>
        <w:t xml:space="preserve"> d’amendements au moment de l’homologation</w:t>
      </w:r>
      <w:r w:rsidR="00C76BED" w:rsidRPr="00C76BED">
        <w:rPr>
          <w:lang w:val="fr-FR"/>
        </w:rPr>
        <w:t>.</w:t>
      </w:r>
    </w:p>
    <w:p w14:paraId="7DA83F7C" w14:textId="1A023427" w:rsidR="00814FCC" w:rsidRDefault="00814FCC" w:rsidP="00814FCC">
      <w:pPr>
        <w:pStyle w:val="SingleTxtG"/>
        <w:rPr>
          <w:lang w:val="fr-FR"/>
        </w:rPr>
      </w:pPr>
      <w:r>
        <w:rPr>
          <w:i/>
          <w:iCs/>
          <w:lang w:val="fr-FR"/>
        </w:rPr>
        <w:t>Note </w:t>
      </w:r>
      <w:r w:rsidRPr="00C76BED">
        <w:rPr>
          <w:lang w:val="fr-FR"/>
        </w:rPr>
        <w:t>:</w:t>
      </w:r>
      <w:r w:rsidR="00C76BED">
        <w:rPr>
          <w:lang w:val="fr-FR"/>
        </w:rPr>
        <w:t xml:space="preserve"> </w:t>
      </w:r>
      <w:r>
        <w:rPr>
          <w:lang w:val="fr-FR"/>
        </w:rPr>
        <w:t>Le numéro d’homologation et le(s) symbole(s) additionnel(s) doivent être placés à proximité du cercle et être disposés soit au-dessus ou au-dessous de la lettre “E”, soit à gauche ou à droite de cette lettre</w:t>
      </w:r>
      <w:r w:rsidR="00C76BED" w:rsidRPr="00C76BED">
        <w:rPr>
          <w:lang w:val="fr-FR"/>
        </w:rPr>
        <w:t>.</w:t>
      </w:r>
      <w:r>
        <w:rPr>
          <w:lang w:val="fr-FR"/>
        </w:rPr>
        <w:t xml:space="preserve"> Les chiffres du numéro d’homologation doivent être disposés du même côté par rapport à la lettre “E” et orientés dans le même sens</w:t>
      </w:r>
      <w:r w:rsidR="00C76BED" w:rsidRPr="00C76BED">
        <w:rPr>
          <w:lang w:val="fr-FR"/>
        </w:rPr>
        <w:t>.</w:t>
      </w:r>
      <w:r>
        <w:rPr>
          <w:lang w:val="fr-FR"/>
        </w:rPr>
        <w:t xml:space="preserve"> Le(s) symbole(s) additionnel(s) doit(doivent) être diamétralement opposé(s) au numéro d’homologation</w:t>
      </w:r>
      <w:r w:rsidR="00C76BED" w:rsidRPr="00C76BED">
        <w:rPr>
          <w:lang w:val="fr-FR"/>
        </w:rPr>
        <w:t>.</w:t>
      </w:r>
      <w:r>
        <w:rPr>
          <w:lang w:val="fr-FR"/>
        </w:rPr>
        <w:t xml:space="preserve"> L’utilisation de chiffres romains pour les numéros d’homologation doit être évitée afin d’exclure toute confusion avec d’autres symboles</w:t>
      </w:r>
      <w:r w:rsidR="00C76BED" w:rsidRPr="00C76BED">
        <w:rPr>
          <w:lang w:val="fr-FR"/>
        </w:rPr>
        <w:t>.</w:t>
      </w:r>
    </w:p>
    <w:p w14:paraId="09B69585" w14:textId="3F42F796" w:rsidR="00536CEA" w:rsidRPr="00EB283D" w:rsidRDefault="00536CEA" w:rsidP="00536CEA">
      <w:pPr>
        <w:pStyle w:val="SingleTxtG"/>
        <w:spacing w:after="240"/>
        <w:jc w:val="center"/>
        <w:rPr>
          <w:lang w:val="fr-FR"/>
        </w:rPr>
      </w:pPr>
      <w:r>
        <w:rPr>
          <w:noProof/>
        </w:rPr>
        <w:drawing>
          <wp:inline distT="0" distB="0" distL="0" distR="0" wp14:anchorId="07211062" wp14:editId="68E9F7E7">
            <wp:extent cx="1597688" cy="2063034"/>
            <wp:effectExtent l="0" t="0" r="254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10781" cy="2079941"/>
                    </a:xfrm>
                    <a:prstGeom prst="rect">
                      <a:avLst/>
                    </a:prstGeom>
                  </pic:spPr>
                </pic:pic>
              </a:graphicData>
            </a:graphic>
          </wp:inline>
        </w:drawing>
      </w:r>
    </w:p>
    <w:p w14:paraId="09B91267" w14:textId="0C4C1FF7" w:rsidR="00814FCC" w:rsidRPr="00EB283D" w:rsidRDefault="00814FCC" w:rsidP="00E208D4">
      <w:pPr>
        <w:pStyle w:val="SingleTxtG"/>
        <w:keepNext/>
        <w:keepLines/>
        <w:jc w:val="left"/>
        <w:rPr>
          <w:lang w:val="fr-FR"/>
        </w:rPr>
      </w:pPr>
      <w:r>
        <w:rPr>
          <w:lang w:val="fr-FR"/>
        </w:rPr>
        <w:tab/>
      </w:r>
      <w:r>
        <w:rPr>
          <w:lang w:val="fr-FR"/>
        </w:rPr>
        <w:tab/>
        <w:t>La ceinture portant la marque d’homologation ci-dessus est une ceinture spéciale (“S”) munie d’un absorbeur d’énergie (“e”) et homologuée aux Pays-Bas (E 4) sous le numéro 0</w:t>
      </w:r>
      <w:r>
        <w:rPr>
          <w:strike/>
          <w:lang w:val="fr-FR"/>
        </w:rPr>
        <w:t>8</w:t>
      </w:r>
      <w:r>
        <w:rPr>
          <w:b/>
          <w:bCs/>
          <w:lang w:val="fr-FR"/>
        </w:rPr>
        <w:t>9</w:t>
      </w:r>
      <w:r>
        <w:rPr>
          <w:lang w:val="fr-FR"/>
        </w:rPr>
        <w:t>22439, le présent Règlement contenant déjà les séries 06, 07</w:t>
      </w:r>
      <w:r>
        <w:rPr>
          <w:b/>
          <w:bCs/>
          <w:lang w:val="fr-FR"/>
        </w:rPr>
        <w:t>,</w:t>
      </w:r>
      <w:r>
        <w:rPr>
          <w:lang w:val="fr-FR"/>
        </w:rPr>
        <w:t xml:space="preserve"> </w:t>
      </w:r>
      <w:r>
        <w:rPr>
          <w:strike/>
          <w:lang w:val="fr-FR"/>
        </w:rPr>
        <w:t>ou</w:t>
      </w:r>
      <w:r>
        <w:rPr>
          <w:lang w:val="fr-FR"/>
        </w:rPr>
        <w:t xml:space="preserve"> 08 </w:t>
      </w:r>
      <w:r>
        <w:rPr>
          <w:b/>
          <w:bCs/>
          <w:lang w:val="fr-FR"/>
        </w:rPr>
        <w:t>ou 09</w:t>
      </w:r>
      <w:r>
        <w:rPr>
          <w:lang w:val="fr-FR"/>
        </w:rPr>
        <w:t xml:space="preserve"> d’amendements au moment de l’homologation</w:t>
      </w:r>
      <w:r w:rsidR="00C76BED" w:rsidRPr="00C76BED">
        <w:rPr>
          <w:lang w:val="fr-FR"/>
        </w:rPr>
        <w:t>.</w:t>
      </w:r>
    </w:p>
    <w:p w14:paraId="1C03AC5F" w14:textId="77777777" w:rsidR="00814FCC" w:rsidRPr="00EB283D" w:rsidRDefault="00814FCC" w:rsidP="00536CEA">
      <w:pPr>
        <w:tabs>
          <w:tab w:val="right" w:pos="693"/>
          <w:tab w:val="left" w:pos="1053"/>
          <w:tab w:val="right" w:pos="1653"/>
          <w:tab w:val="left" w:pos="2253"/>
          <w:tab w:val="right" w:pos="4053"/>
          <w:tab w:val="left" w:pos="6453"/>
        </w:tabs>
        <w:spacing w:after="240"/>
        <w:ind w:left="1134" w:right="1134"/>
        <w:jc w:val="center"/>
        <w:rPr>
          <w:lang w:val="fr-FR"/>
        </w:rPr>
      </w:pPr>
      <w:r w:rsidRPr="00371534">
        <w:rPr>
          <w:noProof/>
        </w:rPr>
        <w:drawing>
          <wp:inline distT="0" distB="0" distL="0" distR="0" wp14:anchorId="4931841D" wp14:editId="0B05A686">
            <wp:extent cx="1990725" cy="163893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90725" cy="1638935"/>
                    </a:xfrm>
                    <a:prstGeom prst="rect">
                      <a:avLst/>
                    </a:prstGeom>
                  </pic:spPr>
                </pic:pic>
              </a:graphicData>
            </a:graphic>
          </wp:inline>
        </w:drawing>
      </w:r>
    </w:p>
    <w:p w14:paraId="4D44333A" w14:textId="5C0091E1" w:rsidR="00814FCC" w:rsidRPr="00E208D4" w:rsidRDefault="00814FCC" w:rsidP="00E208D4">
      <w:pPr>
        <w:pStyle w:val="SingleTxtG"/>
        <w:ind w:firstLine="567"/>
        <w:rPr>
          <w:lang w:val="fr-FR"/>
        </w:rPr>
      </w:pPr>
      <w:r>
        <w:rPr>
          <w:lang w:val="fr-FR"/>
        </w:rPr>
        <w:lastRenderedPageBreak/>
        <w:t>La ceinture portant la marque d’homologation ci-dessus est une ceinture spéciale (“S”) faisant partie d’un système de retenue (“Z”) et munie d’un absorbeur d’énergie (“e”) qui a été homologuée aux Pays-Bas (E 4) sous le numéro 0</w:t>
      </w:r>
      <w:r>
        <w:rPr>
          <w:strike/>
          <w:lang w:val="fr-FR"/>
        </w:rPr>
        <w:t>8</w:t>
      </w:r>
      <w:r>
        <w:rPr>
          <w:b/>
          <w:bCs/>
          <w:lang w:val="fr-FR"/>
        </w:rPr>
        <w:t>9</w:t>
      </w:r>
      <w:r>
        <w:rPr>
          <w:lang w:val="fr-FR"/>
        </w:rPr>
        <w:t>24391, le présent Règlement contenant déjà les séries 06, 07</w:t>
      </w:r>
      <w:r>
        <w:rPr>
          <w:b/>
          <w:bCs/>
          <w:lang w:val="fr-FR"/>
        </w:rPr>
        <w:t>,</w:t>
      </w:r>
      <w:r>
        <w:rPr>
          <w:lang w:val="fr-FR"/>
        </w:rPr>
        <w:t xml:space="preserve"> </w:t>
      </w:r>
      <w:r>
        <w:rPr>
          <w:strike/>
          <w:lang w:val="fr-FR"/>
        </w:rPr>
        <w:t>ou</w:t>
      </w:r>
      <w:r>
        <w:rPr>
          <w:lang w:val="fr-FR"/>
        </w:rPr>
        <w:t xml:space="preserve"> 08 </w:t>
      </w:r>
      <w:r>
        <w:rPr>
          <w:b/>
          <w:bCs/>
          <w:lang w:val="fr-FR"/>
        </w:rPr>
        <w:t>ou 09</w:t>
      </w:r>
      <w:r>
        <w:rPr>
          <w:lang w:val="fr-FR"/>
        </w:rPr>
        <w:t xml:space="preserve"> d’amendements au moment de l’homologation</w:t>
      </w:r>
      <w:r w:rsidR="00C76BED" w:rsidRPr="00C76BED">
        <w:rPr>
          <w:lang w:val="fr-FR"/>
        </w:rPr>
        <w:t>.</w:t>
      </w:r>
      <w:r>
        <w:rPr>
          <w:lang w:val="fr-FR"/>
        </w:rPr>
        <w:t xml:space="preserve"> </w:t>
      </w:r>
    </w:p>
    <w:p w14:paraId="4C6E0758" w14:textId="6366C547" w:rsidR="00814FCC" w:rsidRPr="003931C2" w:rsidRDefault="00536CEA" w:rsidP="00536CEA">
      <w:pPr>
        <w:pStyle w:val="SingleTxtG"/>
        <w:jc w:val="center"/>
      </w:pPr>
      <w:r>
        <w:rPr>
          <w:noProof/>
        </w:rPr>
        <w:drawing>
          <wp:inline distT="0" distB="0" distL="0" distR="0" wp14:anchorId="3D2D3C15" wp14:editId="4BB1DC6C">
            <wp:extent cx="2748224" cy="2637408"/>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66953" cy="2655382"/>
                    </a:xfrm>
                    <a:prstGeom prst="rect">
                      <a:avLst/>
                    </a:prstGeom>
                  </pic:spPr>
                </pic:pic>
              </a:graphicData>
            </a:graphic>
          </wp:inline>
        </w:drawing>
      </w:r>
    </w:p>
    <w:p w14:paraId="341C9B8D" w14:textId="3A5D6D96" w:rsidR="00814FCC" w:rsidRPr="003931C2" w:rsidRDefault="00536CEA" w:rsidP="00536CEA">
      <w:pPr>
        <w:tabs>
          <w:tab w:val="right" w:pos="693"/>
          <w:tab w:val="left" w:pos="1053"/>
          <w:tab w:val="right" w:pos="1653"/>
          <w:tab w:val="left" w:pos="2253"/>
          <w:tab w:val="right" w:pos="4053"/>
          <w:tab w:val="left" w:pos="6453"/>
        </w:tabs>
        <w:ind w:firstLine="1800"/>
        <w:jc w:val="center"/>
      </w:pPr>
      <w:r>
        <w:tab/>
      </w:r>
      <w:r>
        <w:tab/>
      </w:r>
      <w:r w:rsidR="00814FCC" w:rsidRPr="003931C2">
        <w:t>a = 8 mm min</w:t>
      </w:r>
      <w:r w:rsidR="00C76BED" w:rsidRPr="00C76BED">
        <w:t>.</w:t>
      </w:r>
    </w:p>
    <w:p w14:paraId="30547090" w14:textId="77777777" w:rsidR="00814FCC" w:rsidRPr="00B2526C" w:rsidRDefault="00814FCC" w:rsidP="00E208D4">
      <w:pPr>
        <w:spacing w:after="120"/>
        <w:ind w:left="1134" w:right="1134"/>
      </w:pPr>
    </w:p>
    <w:p w14:paraId="6974CBE7" w14:textId="7B2F0D65" w:rsidR="00814FCC" w:rsidRPr="003931C2" w:rsidRDefault="00814FCC" w:rsidP="00E208D4">
      <w:pPr>
        <w:spacing w:after="240"/>
        <w:ind w:left="1134" w:right="1134"/>
        <w:jc w:val="center"/>
      </w:pPr>
      <w:r w:rsidRPr="00371534">
        <w:rPr>
          <w:noProof/>
        </w:rPr>
        <w:drawing>
          <wp:inline distT="0" distB="0" distL="0" distR="0" wp14:anchorId="29ACFB87" wp14:editId="6C3A2635">
            <wp:extent cx="1752600" cy="143256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t="-7204" b="-7204"/>
                    <a:stretch>
                      <a:fillRect/>
                    </a:stretch>
                  </pic:blipFill>
                  <pic:spPr bwMode="auto">
                    <a:xfrm>
                      <a:off x="0" y="0"/>
                      <a:ext cx="1752600" cy="1432560"/>
                    </a:xfrm>
                    <a:prstGeom prst="rect">
                      <a:avLst/>
                    </a:prstGeom>
                    <a:noFill/>
                    <a:ln>
                      <a:noFill/>
                    </a:ln>
                  </pic:spPr>
                </pic:pic>
              </a:graphicData>
            </a:graphic>
          </wp:inline>
        </w:drawing>
      </w:r>
    </w:p>
    <w:p w14:paraId="40BF4239" w14:textId="36AD1CEA" w:rsidR="00814FCC" w:rsidRDefault="00814FCC" w:rsidP="00814FCC">
      <w:pPr>
        <w:pStyle w:val="SingleTxtG"/>
        <w:rPr>
          <w:lang w:val="fr-FR"/>
        </w:rPr>
      </w:pPr>
      <w:r>
        <w:rPr>
          <w:lang w:val="fr-FR"/>
        </w:rPr>
        <w:tab/>
      </w:r>
      <w:r>
        <w:rPr>
          <w:lang w:val="fr-FR"/>
        </w:rPr>
        <w:tab/>
        <w:t>La ceinture portant la marque d’homologation ci-dessus est une ceinture à trois points (“A”), pourvue d’un rétracteur du type 4N (“r4N”) à sensibilité multiple (“m”), pour laquelle l’homologation a été accordée aux Pays-Bas (E 4) sous le numéro 0</w:t>
      </w:r>
      <w:r>
        <w:rPr>
          <w:strike/>
          <w:lang w:val="fr-FR"/>
        </w:rPr>
        <w:t>8</w:t>
      </w:r>
      <w:r>
        <w:rPr>
          <w:b/>
          <w:bCs/>
          <w:lang w:val="fr-FR"/>
        </w:rPr>
        <w:t>9</w:t>
      </w:r>
      <w:r>
        <w:rPr>
          <w:lang w:val="fr-FR"/>
        </w:rPr>
        <w:t>2439, le présent Règlement contenant déjà les séries 06, 07</w:t>
      </w:r>
      <w:r>
        <w:rPr>
          <w:b/>
          <w:bCs/>
          <w:lang w:val="fr-FR"/>
        </w:rPr>
        <w:t>,</w:t>
      </w:r>
      <w:r>
        <w:rPr>
          <w:lang w:val="fr-FR"/>
        </w:rPr>
        <w:t xml:space="preserve"> </w:t>
      </w:r>
      <w:r>
        <w:rPr>
          <w:strike/>
          <w:lang w:val="fr-FR"/>
        </w:rPr>
        <w:t>ou</w:t>
      </w:r>
      <w:r>
        <w:rPr>
          <w:lang w:val="fr-FR"/>
        </w:rPr>
        <w:t xml:space="preserve"> 08 </w:t>
      </w:r>
      <w:r>
        <w:rPr>
          <w:b/>
          <w:bCs/>
          <w:lang w:val="fr-FR"/>
        </w:rPr>
        <w:t>ou 09</w:t>
      </w:r>
      <w:r>
        <w:rPr>
          <w:lang w:val="fr-FR"/>
        </w:rPr>
        <w:t xml:space="preserve"> d’amendements au moment de l’homologation</w:t>
      </w:r>
      <w:r w:rsidR="00C76BED" w:rsidRPr="00C76BED">
        <w:rPr>
          <w:lang w:val="fr-FR"/>
        </w:rPr>
        <w:t>.</w:t>
      </w:r>
      <w:r>
        <w:rPr>
          <w:lang w:val="fr-FR"/>
        </w:rPr>
        <w:t xml:space="preserve"> Cette ceinture ne doit pas être montée sur un véhicule de la catégorie M</w:t>
      </w:r>
      <w:r>
        <w:rPr>
          <w:vertAlign w:val="subscript"/>
          <w:lang w:val="fr-FR"/>
        </w:rPr>
        <w:t>1</w:t>
      </w:r>
      <w:r w:rsidR="00C76BED" w:rsidRPr="00C76BED">
        <w:rPr>
          <w:lang w:val="fr-FR"/>
        </w:rPr>
        <w:t>.</w:t>
      </w:r>
    </w:p>
    <w:p w14:paraId="547EB45B" w14:textId="65D88CBB" w:rsidR="00536CEA" w:rsidRPr="00A25541" w:rsidRDefault="00536CEA" w:rsidP="00E75B94">
      <w:pPr>
        <w:pStyle w:val="SingleTxtG"/>
        <w:spacing w:after="240"/>
        <w:jc w:val="center"/>
      </w:pPr>
      <w:r>
        <w:rPr>
          <w:noProof/>
        </w:rPr>
        <w:lastRenderedPageBreak/>
        <w:drawing>
          <wp:inline distT="0" distB="0" distL="0" distR="0" wp14:anchorId="3F9BE249" wp14:editId="14842277">
            <wp:extent cx="2465431" cy="2921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77777" cy="2935627"/>
                    </a:xfrm>
                    <a:prstGeom prst="rect">
                      <a:avLst/>
                    </a:prstGeom>
                  </pic:spPr>
                </pic:pic>
              </a:graphicData>
            </a:graphic>
          </wp:inline>
        </w:drawing>
      </w:r>
    </w:p>
    <w:p w14:paraId="53F6A0B1" w14:textId="6AEC31F8" w:rsidR="00814FCC" w:rsidRPr="00EB283D" w:rsidRDefault="00536CEA" w:rsidP="00814FCC">
      <w:pPr>
        <w:pStyle w:val="SingleTxtG"/>
        <w:rPr>
          <w:lang w:val="fr-FR"/>
        </w:rPr>
      </w:pPr>
      <w:r>
        <w:rPr>
          <w:lang w:val="fr-FR"/>
        </w:rPr>
        <w:tab/>
      </w:r>
      <w:r>
        <w:rPr>
          <w:lang w:val="fr-FR"/>
        </w:rPr>
        <w:tab/>
      </w:r>
      <w:r w:rsidR="00814FCC">
        <w:rPr>
          <w:lang w:val="fr-FR"/>
        </w:rPr>
        <w:t>La ceinture de sécurité portant la marque d’homologation de type ci-dessus est une ceinture trois points (“A”) homologuée conformément aux prescriptions spécifiques des paragraphes 6</w:t>
      </w:r>
      <w:r w:rsidR="00C76BED" w:rsidRPr="00C76BED">
        <w:rPr>
          <w:lang w:val="fr-FR"/>
        </w:rPr>
        <w:t>.</w:t>
      </w:r>
      <w:r w:rsidR="00814FCC">
        <w:rPr>
          <w:lang w:val="fr-FR"/>
        </w:rPr>
        <w:t>4</w:t>
      </w:r>
      <w:r w:rsidR="00C76BED" w:rsidRPr="00C76BED">
        <w:rPr>
          <w:lang w:val="fr-FR"/>
        </w:rPr>
        <w:t>.</w:t>
      </w:r>
      <w:r w:rsidR="00814FCC">
        <w:rPr>
          <w:lang w:val="fr-FR"/>
        </w:rPr>
        <w:t>1</w:t>
      </w:r>
      <w:r w:rsidR="00C76BED" w:rsidRPr="00C76BED">
        <w:rPr>
          <w:lang w:val="fr-FR"/>
        </w:rPr>
        <w:t>.</w:t>
      </w:r>
      <w:r w:rsidR="00814FCC">
        <w:rPr>
          <w:lang w:val="fr-FR"/>
        </w:rPr>
        <w:t>3</w:t>
      </w:r>
      <w:r w:rsidR="00C76BED" w:rsidRPr="00C76BED">
        <w:rPr>
          <w:lang w:val="fr-FR"/>
        </w:rPr>
        <w:t>.</w:t>
      </w:r>
      <w:r w:rsidR="00814FCC">
        <w:rPr>
          <w:lang w:val="fr-FR"/>
        </w:rPr>
        <w:t>3 ou 6</w:t>
      </w:r>
      <w:r w:rsidR="00C76BED" w:rsidRPr="00C76BED">
        <w:rPr>
          <w:lang w:val="fr-FR"/>
        </w:rPr>
        <w:t>.</w:t>
      </w:r>
      <w:r w:rsidR="00814FCC">
        <w:rPr>
          <w:lang w:val="fr-FR"/>
        </w:rPr>
        <w:t>4</w:t>
      </w:r>
      <w:r w:rsidR="00C76BED" w:rsidRPr="00C76BED">
        <w:rPr>
          <w:lang w:val="fr-FR"/>
        </w:rPr>
        <w:t>.</w:t>
      </w:r>
      <w:r w:rsidR="00814FCC">
        <w:rPr>
          <w:lang w:val="fr-FR"/>
        </w:rPr>
        <w:t>1</w:t>
      </w:r>
      <w:r w:rsidR="00C76BED" w:rsidRPr="00C76BED">
        <w:rPr>
          <w:lang w:val="fr-FR"/>
        </w:rPr>
        <w:t>.</w:t>
      </w:r>
      <w:r w:rsidR="00814FCC">
        <w:rPr>
          <w:lang w:val="fr-FR"/>
        </w:rPr>
        <w:t>3</w:t>
      </w:r>
      <w:r w:rsidR="00C76BED" w:rsidRPr="00C76BED">
        <w:rPr>
          <w:lang w:val="fr-FR"/>
        </w:rPr>
        <w:t>.</w:t>
      </w:r>
      <w:r w:rsidR="00814FCC">
        <w:rPr>
          <w:lang w:val="fr-FR"/>
        </w:rPr>
        <w:t>4 du présent Règlement, munie d’un absorbeur d’énergie (“e”) et d’un rétracteur du type 4 (“r4”) à sensibilité multiple (“m”), pour laquelle une homologation de type a été accordée aux Pays-Bas (E 4) sous le numéro 0</w:t>
      </w:r>
      <w:r w:rsidR="00814FCC">
        <w:rPr>
          <w:strike/>
          <w:lang w:val="fr-FR"/>
        </w:rPr>
        <w:t>8</w:t>
      </w:r>
      <w:r w:rsidR="00814FCC">
        <w:rPr>
          <w:b/>
          <w:bCs/>
          <w:lang w:val="fr-FR"/>
        </w:rPr>
        <w:t>9</w:t>
      </w:r>
      <w:r w:rsidR="00814FCC">
        <w:rPr>
          <w:lang w:val="fr-FR"/>
        </w:rPr>
        <w:t>2439</w:t>
      </w:r>
      <w:r w:rsidR="00C76BED" w:rsidRPr="00C76BED">
        <w:rPr>
          <w:lang w:val="fr-FR"/>
        </w:rPr>
        <w:t>.</w:t>
      </w:r>
      <w:r w:rsidR="00814FCC">
        <w:rPr>
          <w:lang w:val="fr-FR"/>
        </w:rPr>
        <w:t xml:space="preserve"> Les</w:t>
      </w:r>
      <w:r w:rsidR="00C76BED">
        <w:rPr>
          <w:lang w:val="fr-FR"/>
        </w:rPr>
        <w:t xml:space="preserve"> </w:t>
      </w:r>
      <w:r w:rsidR="00814FCC">
        <w:rPr>
          <w:lang w:val="fr-FR"/>
        </w:rPr>
        <w:t xml:space="preserve">deux premiers chiffres indiquent que le présent Règlement </w:t>
      </w:r>
      <w:r w:rsidR="00814FCC">
        <w:rPr>
          <w:b/>
          <w:bCs/>
          <w:lang w:val="fr-FR"/>
        </w:rPr>
        <w:t>ONU</w:t>
      </w:r>
      <w:r w:rsidR="00814FCC">
        <w:rPr>
          <w:lang w:val="fr-FR"/>
        </w:rPr>
        <w:t xml:space="preserve"> contenait déjà les séries 06, 07</w:t>
      </w:r>
      <w:r w:rsidR="00814FCC">
        <w:rPr>
          <w:b/>
          <w:bCs/>
          <w:lang w:val="fr-FR"/>
        </w:rPr>
        <w:t>,</w:t>
      </w:r>
      <w:r w:rsidR="00814FCC">
        <w:rPr>
          <w:lang w:val="fr-FR"/>
        </w:rPr>
        <w:t xml:space="preserve"> </w:t>
      </w:r>
      <w:r w:rsidR="00814FCC">
        <w:rPr>
          <w:strike/>
          <w:lang w:val="fr-FR"/>
        </w:rPr>
        <w:t>ou</w:t>
      </w:r>
      <w:r w:rsidR="00814FCC">
        <w:rPr>
          <w:lang w:val="fr-FR"/>
        </w:rPr>
        <w:t xml:space="preserve"> 08 </w:t>
      </w:r>
      <w:r w:rsidR="00814FCC">
        <w:rPr>
          <w:b/>
          <w:bCs/>
          <w:lang w:val="fr-FR"/>
        </w:rPr>
        <w:t>ou 09</w:t>
      </w:r>
      <w:r w:rsidR="00814FCC">
        <w:rPr>
          <w:lang w:val="fr-FR"/>
        </w:rPr>
        <w:t xml:space="preserve"> d’amendements au moment de l’homologation</w:t>
      </w:r>
      <w:r w:rsidR="00C76BED" w:rsidRPr="00C76BED">
        <w:rPr>
          <w:lang w:val="fr-FR"/>
        </w:rPr>
        <w:t>.</w:t>
      </w:r>
      <w:r w:rsidR="00814FCC">
        <w:rPr>
          <w:lang w:val="fr-FR"/>
        </w:rPr>
        <w:t xml:space="preserve"> Cette ceinture de sécurité doit être montée sur un véhicule muni d’un coussin gonflable protégeant la place assise considérée</w:t>
      </w:r>
      <w:r w:rsidR="00C76BED" w:rsidRPr="00C76BED">
        <w:rPr>
          <w:lang w:val="fr-FR"/>
        </w:rPr>
        <w:t>.</w:t>
      </w:r>
      <w:r w:rsidR="00814FCC">
        <w:rPr>
          <w:lang w:val="fr-FR"/>
        </w:rPr>
        <w:t> »</w:t>
      </w:r>
      <w:r w:rsidR="00C76BED" w:rsidRPr="00C76BED">
        <w:rPr>
          <w:lang w:val="fr-FR"/>
        </w:rPr>
        <w:t>.</w:t>
      </w:r>
    </w:p>
    <w:p w14:paraId="377F8FCD" w14:textId="4C19AAD0" w:rsidR="00814FCC" w:rsidRPr="00EB283D" w:rsidRDefault="00814FCC" w:rsidP="00814FCC">
      <w:pPr>
        <w:tabs>
          <w:tab w:val="left" w:pos="1701"/>
        </w:tabs>
        <w:spacing w:after="120"/>
        <w:ind w:left="1134" w:right="1134"/>
        <w:rPr>
          <w:rFonts w:eastAsia="SimSun" w:cs="Arial"/>
          <w:szCs w:val="22"/>
          <w:lang w:val="fr-FR"/>
        </w:rPr>
      </w:pPr>
      <w:r>
        <w:rPr>
          <w:i/>
          <w:iCs/>
          <w:lang w:val="fr-FR"/>
        </w:rPr>
        <w:t>Annexe 17, appendice 1, paragraphe 1</w:t>
      </w:r>
      <w:r w:rsidR="00C76BED" w:rsidRPr="00C76BED">
        <w:rPr>
          <w:i/>
          <w:iCs/>
          <w:lang w:val="fr-FR"/>
        </w:rPr>
        <w:t>.</w:t>
      </w:r>
      <w:r>
        <w:rPr>
          <w:i/>
          <w:iCs/>
          <w:lang w:val="fr-FR"/>
        </w:rPr>
        <w:t>1</w:t>
      </w:r>
      <w:r>
        <w:rPr>
          <w:lang w:val="fr-FR"/>
        </w:rPr>
        <w:t>, lire :</w:t>
      </w:r>
    </w:p>
    <w:p w14:paraId="33BC7BB9" w14:textId="59479FD5" w:rsidR="00814FCC" w:rsidRPr="00EB283D" w:rsidRDefault="00814FCC" w:rsidP="00814FCC">
      <w:pPr>
        <w:spacing w:after="120" w:line="240" w:lineRule="exact"/>
        <w:ind w:left="2268" w:right="1134" w:hanging="1134"/>
        <w:jc w:val="both"/>
        <w:rPr>
          <w:rFonts w:eastAsia="Times New Roman"/>
          <w:lang w:val="fr-FR"/>
        </w:rPr>
      </w:pPr>
      <w:r>
        <w:rPr>
          <w:lang w:val="fr-FR"/>
        </w:rPr>
        <w:t>« 1</w:t>
      </w:r>
      <w:r w:rsidR="00C76BED" w:rsidRPr="00C76BED">
        <w:rPr>
          <w:lang w:val="fr-FR"/>
        </w:rPr>
        <w:t>.</w:t>
      </w:r>
      <w:r>
        <w:rPr>
          <w:lang w:val="fr-FR"/>
        </w:rPr>
        <w:t>1</w:t>
      </w:r>
      <w:r>
        <w:rPr>
          <w:lang w:val="fr-FR"/>
        </w:rPr>
        <w:tab/>
        <w:t xml:space="preserve">La procédure d’essai et les prescriptions du présent appendice sont à utiliser pour vérifier qu’un siège se prête à l’installation d’un dispositif de retenue pour enfants de la catégorie “universelle” </w:t>
      </w:r>
      <w:r>
        <w:rPr>
          <w:b/>
          <w:bCs/>
          <w:lang w:val="fr-FR"/>
        </w:rPr>
        <w:t>et pour mesurer la longueur de la sangle entre l’ancrage effectif et le point BP de la sangle de la boucle sur les sièges équipés d’ancrages ISOFIX inférieurs</w:t>
      </w:r>
      <w:r w:rsidR="00C76BED" w:rsidRPr="00C76BED">
        <w:rPr>
          <w:lang w:val="fr-FR"/>
        </w:rPr>
        <w:t>.</w:t>
      </w:r>
      <w:r>
        <w:rPr>
          <w:lang w:val="fr-FR"/>
        </w:rPr>
        <w:t> »</w:t>
      </w:r>
      <w:r w:rsidR="00C76BED" w:rsidRPr="00C76BED">
        <w:rPr>
          <w:lang w:val="fr-FR"/>
        </w:rPr>
        <w:t>.</w:t>
      </w:r>
    </w:p>
    <w:p w14:paraId="60E33049" w14:textId="3C8B831E" w:rsidR="00814FCC" w:rsidRPr="00EB283D" w:rsidRDefault="00814FCC" w:rsidP="00814FCC">
      <w:pPr>
        <w:tabs>
          <w:tab w:val="left" w:pos="1701"/>
        </w:tabs>
        <w:spacing w:after="120"/>
        <w:ind w:left="1134" w:right="1134"/>
        <w:rPr>
          <w:rFonts w:eastAsia="SimSun" w:cs="Arial"/>
          <w:szCs w:val="22"/>
          <w:lang w:val="fr-FR"/>
        </w:rPr>
      </w:pPr>
      <w:r>
        <w:rPr>
          <w:i/>
          <w:iCs/>
          <w:lang w:val="fr-FR"/>
        </w:rPr>
        <w:t>Annexe 17, appendice 1, paragraphe 2</w:t>
      </w:r>
      <w:r w:rsidR="00C76BED" w:rsidRPr="00C76BED">
        <w:rPr>
          <w:i/>
          <w:iCs/>
          <w:lang w:val="fr-FR"/>
        </w:rPr>
        <w:t>.</w:t>
      </w:r>
      <w:r>
        <w:rPr>
          <w:i/>
          <w:iCs/>
          <w:lang w:val="fr-FR"/>
        </w:rPr>
        <w:t>7</w:t>
      </w:r>
      <w:r>
        <w:rPr>
          <w:lang w:val="fr-FR"/>
        </w:rPr>
        <w:t>, lire :</w:t>
      </w:r>
    </w:p>
    <w:p w14:paraId="06C056AF" w14:textId="0BD1B335" w:rsidR="00814FCC" w:rsidRPr="00EB283D" w:rsidRDefault="00814FCC" w:rsidP="00814FCC">
      <w:pPr>
        <w:spacing w:after="120" w:line="240" w:lineRule="exact"/>
        <w:ind w:left="2268" w:right="1134" w:hanging="1134"/>
        <w:jc w:val="both"/>
        <w:rPr>
          <w:b/>
          <w:lang w:val="fr-FR"/>
        </w:rPr>
      </w:pPr>
      <w:r>
        <w:rPr>
          <w:lang w:val="fr-FR"/>
        </w:rPr>
        <w:t>« 2</w:t>
      </w:r>
      <w:r w:rsidR="00C76BED" w:rsidRPr="00C76BED">
        <w:rPr>
          <w:lang w:val="fr-FR"/>
        </w:rPr>
        <w:t>.</w:t>
      </w:r>
      <w:r>
        <w:rPr>
          <w:lang w:val="fr-FR"/>
        </w:rPr>
        <w:t>7</w:t>
      </w:r>
      <w:r>
        <w:rPr>
          <w:lang w:val="fr-FR"/>
        </w:rPr>
        <w:tab/>
        <w:t xml:space="preserve">Veiller à ce que le plan vertical de symétrie du gabarit coïncide avec le plan vertical de symétrie de la place assise à ±25 mm près </w:t>
      </w:r>
      <w:r>
        <w:rPr>
          <w:b/>
          <w:bCs/>
          <w:lang w:val="fr-FR"/>
        </w:rPr>
        <w:t>pour vérifier qu’un siège se prête à l’installation d’un dispositif de retenue pour enfants de la catégorie “universelle”</w:t>
      </w:r>
      <w:r w:rsidR="00C76BED" w:rsidRPr="00C76BED">
        <w:rPr>
          <w:b/>
          <w:bCs/>
          <w:lang w:val="fr-FR"/>
        </w:rPr>
        <w:t>.</w:t>
      </w:r>
      <w:r>
        <w:rPr>
          <w:lang w:val="fr-FR"/>
        </w:rPr>
        <w:t xml:space="preserve"> </w:t>
      </w:r>
      <w:r>
        <w:rPr>
          <w:b/>
          <w:bCs/>
          <w:lang w:val="fr-FR"/>
        </w:rPr>
        <w:t>Veiller à ce que le plan vertical de symétrie du gabarit coïncide avec le plan vertical de symétrie des ancrages ISOFIX inférieurs à ±12,5 mm près pour mesurer la longueur de la sangle entre l’ancrage effectif et le point BP de la sangle de la boucle</w:t>
      </w:r>
      <w:r w:rsidR="00C76BED" w:rsidRPr="00C76BED">
        <w:rPr>
          <w:b/>
          <w:bCs/>
          <w:lang w:val="fr-FR"/>
        </w:rPr>
        <w:t>.</w:t>
      </w:r>
      <w:r>
        <w:rPr>
          <w:lang w:val="fr-FR"/>
        </w:rPr>
        <w:t> »</w:t>
      </w:r>
      <w:r w:rsidR="00C76BED" w:rsidRPr="00C76BED">
        <w:rPr>
          <w:lang w:val="fr-FR"/>
        </w:rPr>
        <w:t>.</w:t>
      </w:r>
    </w:p>
    <w:p w14:paraId="1BCA3C36" w14:textId="25F86BB0" w:rsidR="00814FCC" w:rsidRPr="00EB283D" w:rsidRDefault="00814FCC" w:rsidP="00814FCC">
      <w:pPr>
        <w:tabs>
          <w:tab w:val="left" w:pos="1701"/>
        </w:tabs>
        <w:spacing w:after="120"/>
        <w:ind w:left="1134" w:right="1134"/>
        <w:rPr>
          <w:rFonts w:eastAsia="SimSun" w:cs="Arial"/>
          <w:szCs w:val="22"/>
          <w:lang w:val="fr-FR"/>
        </w:rPr>
      </w:pPr>
      <w:r>
        <w:rPr>
          <w:i/>
          <w:iCs/>
          <w:lang w:val="fr-FR"/>
        </w:rPr>
        <w:t>Annexe 17, appendice 1, paragraphe 3</w:t>
      </w:r>
      <w:r w:rsidR="00C76BED" w:rsidRPr="00C76BED">
        <w:rPr>
          <w:i/>
          <w:iCs/>
          <w:lang w:val="fr-FR"/>
        </w:rPr>
        <w:t>.</w:t>
      </w:r>
      <w:r>
        <w:rPr>
          <w:i/>
          <w:iCs/>
          <w:lang w:val="fr-FR"/>
        </w:rPr>
        <w:t>2</w:t>
      </w:r>
      <w:r>
        <w:rPr>
          <w:lang w:val="fr-FR"/>
        </w:rPr>
        <w:t>, lire :</w:t>
      </w:r>
    </w:p>
    <w:p w14:paraId="3874A5C8" w14:textId="3BF30190" w:rsidR="00814FCC" w:rsidRPr="00EB283D" w:rsidRDefault="00814FCC" w:rsidP="00814FCC">
      <w:pPr>
        <w:spacing w:after="120" w:line="240" w:lineRule="exact"/>
        <w:ind w:left="2268" w:right="1134" w:hanging="1134"/>
        <w:jc w:val="both"/>
        <w:rPr>
          <w:rFonts w:eastAsia="Times New Roman"/>
          <w:bCs/>
          <w:lang w:val="fr-FR"/>
        </w:rPr>
      </w:pPr>
      <w:r>
        <w:rPr>
          <w:lang w:val="fr-FR"/>
        </w:rPr>
        <w:t>« 3</w:t>
      </w:r>
      <w:r w:rsidR="00C76BED" w:rsidRPr="00C76BED">
        <w:rPr>
          <w:lang w:val="fr-FR"/>
        </w:rPr>
        <w:t>.</w:t>
      </w:r>
      <w:r>
        <w:rPr>
          <w:lang w:val="fr-FR"/>
        </w:rPr>
        <w:t>2</w:t>
      </w:r>
      <w:r>
        <w:rPr>
          <w:lang w:val="fr-FR"/>
        </w:rPr>
        <w:tab/>
        <w:t>La sangle abdominale de la ceinture doit être en contact avec les deux côtés du gabarit en arrière de l’échancrure prévue pour son passage (voir fig</w:t>
      </w:r>
      <w:r w:rsidR="00C76BED" w:rsidRPr="00C76BED">
        <w:rPr>
          <w:lang w:val="fr-FR"/>
        </w:rPr>
        <w:t>.</w:t>
      </w:r>
      <w:r>
        <w:rPr>
          <w:lang w:val="fr-FR"/>
        </w:rPr>
        <w:t> 3)</w:t>
      </w:r>
      <w:r w:rsidR="00C76BED" w:rsidRPr="00C76BED">
        <w:rPr>
          <w:lang w:val="fr-FR"/>
        </w:rPr>
        <w:t>.</w:t>
      </w:r>
      <w:r>
        <w:rPr>
          <w:lang w:val="fr-FR"/>
        </w:rPr>
        <w:t xml:space="preserve"> La sangle de la ceinture doit toujours couvrir les points BP aux extrémités gauche et droite du bord arrondi ; la position exacte du point BP sur le bord arrondi est précisée dans le détail W à la figure 1</w:t>
      </w:r>
      <w:r w:rsidR="00C76BED" w:rsidRPr="00C76BED">
        <w:rPr>
          <w:lang w:val="fr-FR"/>
        </w:rPr>
        <w:t>.</w:t>
      </w:r>
      <w:r>
        <w:rPr>
          <w:lang w:val="fr-FR"/>
        </w:rPr>
        <w:t xml:space="preserve"> </w:t>
      </w:r>
      <w:r>
        <w:rPr>
          <w:b/>
          <w:bCs/>
          <w:lang w:val="fr-FR"/>
        </w:rPr>
        <w:t>Le “point BP de la sangle de la boucle” correspond au point BP situé sur le bord arrondi indiqué dans le détail W de la figure 1 lorsque le plan vertical de symétrie du gabarit coïncide avec le plan vertical de symétrie des ancrages ISOFIX inférieurs à ±12,5 mm près</w:t>
      </w:r>
      <w:r w:rsidR="00C76BED" w:rsidRPr="00C76BED">
        <w:rPr>
          <w:b/>
          <w:bCs/>
          <w:lang w:val="fr-FR"/>
        </w:rPr>
        <w:t>.</w:t>
      </w:r>
      <w:r>
        <w:rPr>
          <w:lang w:val="fr-FR"/>
        </w:rPr>
        <w:t> »</w:t>
      </w:r>
      <w:r w:rsidR="00C76BED" w:rsidRPr="00C76BED">
        <w:rPr>
          <w:lang w:val="fr-FR"/>
        </w:rPr>
        <w:t>.</w:t>
      </w:r>
    </w:p>
    <w:p w14:paraId="6E08AC0A" w14:textId="4B184CD9" w:rsidR="00814FCC" w:rsidRPr="00650A59" w:rsidRDefault="00814FCC" w:rsidP="00814FCC">
      <w:pPr>
        <w:keepNext/>
        <w:keepLines/>
        <w:tabs>
          <w:tab w:val="right" w:pos="851"/>
        </w:tabs>
        <w:spacing w:before="360" w:after="240" w:line="300" w:lineRule="exact"/>
        <w:ind w:left="1134" w:right="1134" w:hanging="1134"/>
        <w:rPr>
          <w:rFonts w:eastAsia="Times New Roman"/>
          <w:b/>
          <w:sz w:val="28"/>
          <w:szCs w:val="28"/>
          <w:lang w:val="fr-FR"/>
        </w:rPr>
      </w:pPr>
      <w:r>
        <w:rPr>
          <w:b/>
          <w:bCs/>
          <w:sz w:val="28"/>
          <w:szCs w:val="28"/>
          <w:lang w:val="fr-FR"/>
        </w:rPr>
        <w:lastRenderedPageBreak/>
        <w:tab/>
      </w:r>
      <w:r w:rsidRPr="00650A59">
        <w:rPr>
          <w:b/>
          <w:bCs/>
          <w:sz w:val="28"/>
          <w:szCs w:val="28"/>
          <w:lang w:val="fr-FR"/>
        </w:rPr>
        <w:t>II</w:t>
      </w:r>
      <w:r w:rsidR="00C76BED" w:rsidRPr="00C76BED">
        <w:rPr>
          <w:b/>
          <w:bCs/>
          <w:sz w:val="28"/>
          <w:szCs w:val="28"/>
          <w:lang w:val="fr-FR"/>
        </w:rPr>
        <w:t>.</w:t>
      </w:r>
      <w:r w:rsidRPr="00650A59">
        <w:rPr>
          <w:sz w:val="28"/>
          <w:szCs w:val="28"/>
          <w:lang w:val="fr-FR"/>
        </w:rPr>
        <w:tab/>
      </w:r>
      <w:r w:rsidRPr="00650A59">
        <w:rPr>
          <w:b/>
          <w:bCs/>
          <w:sz w:val="28"/>
          <w:szCs w:val="28"/>
          <w:lang w:val="fr-FR"/>
        </w:rPr>
        <w:t>Justification</w:t>
      </w:r>
    </w:p>
    <w:p w14:paraId="5DBCF949" w14:textId="5405D34D" w:rsidR="00814FCC" w:rsidRPr="00EB283D" w:rsidRDefault="00814FCC" w:rsidP="00814FCC">
      <w:pPr>
        <w:pStyle w:val="SingleTxtG"/>
        <w:rPr>
          <w:lang w:val="fr-FR"/>
        </w:rPr>
      </w:pPr>
      <w:r>
        <w:rPr>
          <w:lang w:val="fr-FR"/>
        </w:rPr>
        <w:t>1</w:t>
      </w:r>
      <w:r w:rsidR="00C76BED" w:rsidRPr="00C76BED">
        <w:rPr>
          <w:lang w:val="fr-FR"/>
        </w:rPr>
        <w:t>.</w:t>
      </w:r>
      <w:r>
        <w:rPr>
          <w:lang w:val="fr-FR"/>
        </w:rPr>
        <w:tab/>
        <w:t>Le passage de la sangle entre l’ancrage effectif et la boucle est normalement rectiligne, comme c’est le cas sur la banquette d’essai décrite dans le Règlement ONU n</w:t>
      </w:r>
      <w:r>
        <w:rPr>
          <w:vertAlign w:val="superscript"/>
          <w:lang w:val="fr-FR"/>
        </w:rPr>
        <w:t>o</w:t>
      </w:r>
      <w:r>
        <w:rPr>
          <w:lang w:val="fr-FR"/>
        </w:rPr>
        <w:t> 129 (fig</w:t>
      </w:r>
      <w:r w:rsidR="00536CEA">
        <w:rPr>
          <w:lang w:val="fr-FR"/>
        </w:rPr>
        <w:t>. </w:t>
      </w:r>
      <w:r>
        <w:rPr>
          <w:lang w:val="fr-FR"/>
        </w:rPr>
        <w:t>1)</w:t>
      </w:r>
      <w:r w:rsidR="00C76BED" w:rsidRPr="00C76BED">
        <w:rPr>
          <w:lang w:val="fr-FR"/>
        </w:rPr>
        <w:t>.</w:t>
      </w:r>
      <w:r>
        <w:rPr>
          <w:lang w:val="fr-FR"/>
        </w:rPr>
        <w:t xml:space="preserve"> Néanmoins, sur certains véhicules commercialisés, le passage de la sangle entre l’ancrage effectif et la boucle n’est pas rectiligne, mais arrondi autour de l’assise du siège (fig</w:t>
      </w:r>
      <w:r w:rsidR="00536CEA">
        <w:rPr>
          <w:lang w:val="fr-FR"/>
        </w:rPr>
        <w:t>.</w:t>
      </w:r>
      <w:r>
        <w:rPr>
          <w:lang w:val="fr-FR"/>
        </w:rPr>
        <w:t> 2)</w:t>
      </w:r>
      <w:r w:rsidR="00C76BED" w:rsidRPr="00C76BED">
        <w:rPr>
          <w:lang w:val="fr-FR"/>
        </w:rPr>
        <w:t>.</w:t>
      </w:r>
    </w:p>
    <w:tbl>
      <w:tblPr>
        <w:tblStyle w:val="Grilledutableau"/>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1"/>
        <w:gridCol w:w="3680"/>
      </w:tblGrid>
      <w:tr w:rsidR="00814FCC" w:rsidRPr="00A25541" w14:paraId="2DB83DCD" w14:textId="77777777" w:rsidTr="00BA2C72">
        <w:tc>
          <w:tcPr>
            <w:tcW w:w="2504" w:type="pct"/>
          </w:tcPr>
          <w:p w14:paraId="35B456E3" w14:textId="77777777" w:rsidR="00814FCC" w:rsidRPr="00EB283D" w:rsidRDefault="00814FCC" w:rsidP="00BA2C72">
            <w:pPr>
              <w:pStyle w:val="Paragraphedeliste"/>
              <w:spacing w:after="120"/>
              <w:ind w:left="0"/>
              <w:rPr>
                <w:b/>
                <w:bCs/>
                <w:szCs w:val="22"/>
                <w:lang w:val="fr-FR"/>
              </w:rPr>
            </w:pPr>
            <w:r w:rsidRPr="00371534">
              <w:rPr>
                <w:rFonts w:eastAsia="SimSun" w:cs="Arial"/>
                <w:noProof/>
                <w:szCs w:val="22"/>
                <w:lang w:val="fr-FR" w:eastAsia="ja-JP"/>
              </w:rPr>
              <w:drawing>
                <wp:anchor distT="0" distB="0" distL="114300" distR="114300" simplePos="0" relativeHeight="251665408" behindDoc="0" locked="0" layoutInCell="1" allowOverlap="1" wp14:anchorId="6334B79C" wp14:editId="7874C5B1">
                  <wp:simplePos x="0" y="0"/>
                  <wp:positionH relativeFrom="column">
                    <wp:posOffset>0</wp:posOffset>
                  </wp:positionH>
                  <wp:positionV relativeFrom="paragraph">
                    <wp:posOffset>679460</wp:posOffset>
                  </wp:positionV>
                  <wp:extent cx="2388235" cy="18351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8235" cy="1835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fr-FR"/>
              </w:rPr>
              <w:t>Figure 1</w:t>
            </w:r>
            <w:r>
              <w:rPr>
                <w:lang w:val="fr-FR"/>
              </w:rPr>
              <w:br/>
            </w:r>
            <w:r>
              <w:rPr>
                <w:b/>
                <w:bCs/>
                <w:lang w:val="fr-FR"/>
              </w:rPr>
              <w:t>Photo du passage de la sangle de la boucle sur la banquette d’essai décrite dans le Règlement ONU n</w:t>
            </w:r>
            <w:r>
              <w:rPr>
                <w:b/>
                <w:bCs/>
                <w:vertAlign w:val="superscript"/>
                <w:lang w:val="fr-FR"/>
              </w:rPr>
              <w:t>o</w:t>
            </w:r>
            <w:r>
              <w:rPr>
                <w:b/>
                <w:bCs/>
                <w:lang w:val="fr-FR"/>
              </w:rPr>
              <w:t> 129</w:t>
            </w:r>
          </w:p>
        </w:tc>
        <w:tc>
          <w:tcPr>
            <w:tcW w:w="2496" w:type="pct"/>
          </w:tcPr>
          <w:p w14:paraId="6276157C" w14:textId="77777777" w:rsidR="00814FCC" w:rsidRPr="00EB283D" w:rsidRDefault="00814FCC" w:rsidP="00BA2C72">
            <w:pPr>
              <w:spacing w:after="120"/>
              <w:rPr>
                <w:b/>
                <w:bCs/>
                <w:szCs w:val="22"/>
                <w:lang w:val="fr-FR"/>
              </w:rPr>
            </w:pPr>
            <w:r>
              <w:rPr>
                <w:lang w:val="fr-FR"/>
              </w:rPr>
              <w:t>Figure 2</w:t>
            </w:r>
            <w:r>
              <w:rPr>
                <w:lang w:val="fr-FR"/>
              </w:rPr>
              <w:br/>
            </w:r>
            <w:r>
              <w:rPr>
                <w:b/>
                <w:bCs/>
                <w:lang w:val="fr-FR"/>
              </w:rPr>
              <w:t>Photo d’une sangle de boucle dont le passage n’est pas rectiligne</w:t>
            </w:r>
          </w:p>
          <w:p w14:paraId="672319C6" w14:textId="77777777" w:rsidR="00814FCC" w:rsidRPr="00EB283D" w:rsidRDefault="00814FCC" w:rsidP="00BA2C72">
            <w:pPr>
              <w:spacing w:after="120"/>
              <w:rPr>
                <w:b/>
                <w:bCs/>
                <w:szCs w:val="22"/>
                <w:lang w:val="fr-FR" w:eastAsia="ja-JP"/>
              </w:rPr>
            </w:pPr>
            <w:r w:rsidRPr="00371534">
              <w:rPr>
                <w:rFonts w:eastAsia="SimSun" w:cs="Arial"/>
                <w:noProof/>
                <w:szCs w:val="22"/>
                <w:lang w:val="fr-FR" w:eastAsia="ja-JP"/>
              </w:rPr>
              <w:drawing>
                <wp:anchor distT="0" distB="0" distL="114300" distR="114300" simplePos="0" relativeHeight="251666432" behindDoc="0" locked="0" layoutInCell="1" allowOverlap="1" wp14:anchorId="32D11854" wp14:editId="1A9F2044">
                  <wp:simplePos x="0" y="0"/>
                  <wp:positionH relativeFrom="column">
                    <wp:posOffset>13590</wp:posOffset>
                  </wp:positionH>
                  <wp:positionV relativeFrom="paragraph">
                    <wp:posOffset>136790</wp:posOffset>
                  </wp:positionV>
                  <wp:extent cx="2366266" cy="1845143"/>
                  <wp:effectExtent l="0" t="0" r="0" b="3175"/>
                  <wp:wrapNone/>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6266" cy="18451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A0B811" w14:textId="77777777" w:rsidR="00814FCC" w:rsidRPr="00EB283D" w:rsidRDefault="00814FCC" w:rsidP="00BA2C72">
            <w:pPr>
              <w:spacing w:after="120"/>
              <w:rPr>
                <w:b/>
                <w:bCs/>
                <w:szCs w:val="22"/>
                <w:lang w:val="fr-FR" w:eastAsia="ja-JP"/>
              </w:rPr>
            </w:pPr>
          </w:p>
          <w:p w14:paraId="58C236AC" w14:textId="77777777" w:rsidR="00814FCC" w:rsidRPr="00EB283D" w:rsidRDefault="00814FCC" w:rsidP="00BA2C72">
            <w:pPr>
              <w:suppressAutoHyphens w:val="0"/>
              <w:spacing w:after="120"/>
              <w:ind w:right="1134"/>
              <w:jc w:val="both"/>
              <w:rPr>
                <w:szCs w:val="22"/>
                <w:lang w:val="fr-FR" w:eastAsia="ja-JP"/>
              </w:rPr>
            </w:pPr>
          </w:p>
        </w:tc>
      </w:tr>
    </w:tbl>
    <w:p w14:paraId="1027A8BC" w14:textId="4CB13167" w:rsidR="00814FCC" w:rsidRPr="00EB283D" w:rsidRDefault="00814FCC" w:rsidP="00536CEA">
      <w:pPr>
        <w:pStyle w:val="SingleTxtG"/>
        <w:spacing w:before="240"/>
        <w:rPr>
          <w:rFonts w:ascii="MS Mincho" w:hAnsi="MS Mincho"/>
          <w:lang w:val="fr-FR"/>
        </w:rPr>
      </w:pPr>
      <w:r>
        <w:rPr>
          <w:lang w:val="fr-FR"/>
        </w:rPr>
        <w:t>2</w:t>
      </w:r>
      <w:r w:rsidR="00C76BED" w:rsidRPr="00C76BED">
        <w:rPr>
          <w:lang w:val="fr-FR"/>
        </w:rPr>
        <w:t>.</w:t>
      </w:r>
      <w:r>
        <w:rPr>
          <w:lang w:val="fr-FR"/>
        </w:rPr>
        <w:tab/>
        <w:t>Lorsque le passage de la sangle entre l’ancrage effectif et la boucle n’est pas rectiligne, le déplacement vers l’avant des occupants peut être considérable en cas de choc avant</w:t>
      </w:r>
      <w:r w:rsidR="00C76BED" w:rsidRPr="00C76BED">
        <w:rPr>
          <w:lang w:val="fr-FR"/>
        </w:rPr>
        <w:t>.</w:t>
      </w:r>
      <w:r>
        <w:rPr>
          <w:lang w:val="fr-FR"/>
        </w:rPr>
        <w:t xml:space="preserve"> Si un occupant est assis dans un siège rehausseur fixé au moyen du système ISOFIX, dans certains cas, la ceinture peut remonter jusqu’au cou ou l’occupant peut glisser vers le bas (comme indiqué dans le document informel GRSP-69-24)</w:t>
      </w:r>
      <w:r w:rsidR="00C76BED" w:rsidRPr="00C76BED">
        <w:rPr>
          <w:lang w:val="fr-FR"/>
        </w:rPr>
        <w:t>.</w:t>
      </w:r>
      <w:r>
        <w:rPr>
          <w:lang w:val="fr-FR"/>
        </w:rPr>
        <w:t xml:space="preserve"> Ces phénomènes augmentent le risque de blessure cervicale ou abdominale pour l’enfant</w:t>
      </w:r>
      <w:r w:rsidR="00C76BED" w:rsidRPr="00C76BED">
        <w:rPr>
          <w:lang w:val="fr-FR"/>
        </w:rPr>
        <w:t>.</w:t>
      </w:r>
      <w:r>
        <w:rPr>
          <w:lang w:val="fr-FR"/>
        </w:rPr>
        <w:t xml:space="preserve"> En outre, les blessures thoraciques sont plus graves</w:t>
      </w:r>
      <w:r w:rsidR="00C76BED" w:rsidRPr="00C76BED">
        <w:rPr>
          <w:lang w:val="fr-FR"/>
        </w:rPr>
        <w:t>.</w:t>
      </w:r>
      <w:r>
        <w:rPr>
          <w:lang w:val="fr-FR"/>
        </w:rPr>
        <w:t xml:space="preserve"> La figure 3 illustre la relation entre le mou de la sangle de la boucle et l’accélération maximale du thorax du mannequin à 3 ms pour deux types de systèmes de retenue pour enfants</w:t>
      </w:r>
      <w:r w:rsidR="00C76BED" w:rsidRPr="00C76BED">
        <w:rPr>
          <w:lang w:val="fr-FR"/>
        </w:rPr>
        <w:t>.</w:t>
      </w:r>
      <w:r>
        <w:rPr>
          <w:lang w:val="fr-FR"/>
        </w:rPr>
        <w:t xml:space="preserve"> Lorsque le mou de la sangle de la boucle est supérieur à [50] mm, l’accélération maximale du thorax approche les critères énoncés dans le Règlement ONU n</w:t>
      </w:r>
      <w:r>
        <w:rPr>
          <w:vertAlign w:val="superscript"/>
          <w:lang w:val="fr-FR"/>
        </w:rPr>
        <w:t>o</w:t>
      </w:r>
      <w:r>
        <w:rPr>
          <w:lang w:val="fr-FR"/>
        </w:rPr>
        <w:t> 129 pour un système de retenue pour enfants</w:t>
      </w:r>
      <w:r w:rsidR="00C76BED" w:rsidRPr="00C76BED">
        <w:rPr>
          <w:lang w:val="fr-FR"/>
        </w:rPr>
        <w:t>.</w:t>
      </w:r>
      <w:r>
        <w:rPr>
          <w:lang w:val="fr-FR"/>
        </w:rPr>
        <w:t xml:space="preserve"> Lorsque le mou de la sangle de la boucle est supérieur à [80] mm, ces critères sont dépassés</w:t>
      </w:r>
      <w:r w:rsidR="00C76BED" w:rsidRPr="00C76BED">
        <w:rPr>
          <w:lang w:val="fr-FR"/>
        </w:rPr>
        <w:t>.</w:t>
      </w:r>
    </w:p>
    <w:p w14:paraId="5C80DDCE" w14:textId="53F89464" w:rsidR="00814FCC" w:rsidRDefault="00814FCC" w:rsidP="00814FCC">
      <w:pPr>
        <w:pStyle w:val="Paragraphedeliste"/>
        <w:spacing w:before="240" w:after="120"/>
        <w:ind w:left="1134" w:right="1134"/>
        <w:rPr>
          <w:b/>
          <w:bCs/>
          <w:lang w:val="fr-FR"/>
        </w:rPr>
      </w:pPr>
      <w:r>
        <w:rPr>
          <w:lang w:val="fr-FR"/>
        </w:rPr>
        <w:t xml:space="preserve">Figure 3 </w:t>
      </w:r>
      <w:r>
        <w:rPr>
          <w:lang w:val="fr-FR"/>
        </w:rPr>
        <w:br/>
      </w:r>
      <w:r>
        <w:rPr>
          <w:b/>
          <w:bCs/>
          <w:lang w:val="fr-FR"/>
        </w:rPr>
        <w:t>Relation entre le mou de la sangle de la boucle et l’accélération maximale du thorax du mannequin à 3 ms</w:t>
      </w:r>
    </w:p>
    <w:p w14:paraId="0261AA81" w14:textId="2731EDAC" w:rsidR="00E75B94" w:rsidRPr="00EB283D" w:rsidRDefault="00E75B94" w:rsidP="00E75B94">
      <w:pPr>
        <w:pStyle w:val="SingleTxtG"/>
        <w:spacing w:after="240"/>
        <w:rPr>
          <w:lang w:val="fr-FR"/>
        </w:rPr>
      </w:pPr>
      <w:r>
        <w:rPr>
          <w:noProof/>
        </w:rPr>
        <w:drawing>
          <wp:inline distT="0" distB="0" distL="0" distR="0" wp14:anchorId="4177B2BB" wp14:editId="664FEDE5">
            <wp:extent cx="5449354" cy="1799112"/>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01441" cy="1816309"/>
                    </a:xfrm>
                    <a:prstGeom prst="rect">
                      <a:avLst/>
                    </a:prstGeom>
                  </pic:spPr>
                </pic:pic>
              </a:graphicData>
            </a:graphic>
          </wp:inline>
        </w:drawing>
      </w:r>
    </w:p>
    <w:p w14:paraId="391D3F22" w14:textId="70836293" w:rsidR="00814FCC" w:rsidRPr="00EB283D" w:rsidRDefault="00814FCC" w:rsidP="00E75B94">
      <w:pPr>
        <w:keepNext/>
        <w:spacing w:after="120"/>
        <w:ind w:left="1134" w:right="1134"/>
        <w:jc w:val="both"/>
        <w:rPr>
          <w:rFonts w:eastAsia="SimSun" w:cs="Arial"/>
          <w:szCs w:val="22"/>
          <w:lang w:val="fr-FR"/>
        </w:rPr>
      </w:pPr>
      <w:r>
        <w:rPr>
          <w:lang w:val="fr-FR"/>
        </w:rPr>
        <w:t>3</w:t>
      </w:r>
      <w:r w:rsidR="00C76BED" w:rsidRPr="00C76BED">
        <w:rPr>
          <w:lang w:val="fr-FR"/>
        </w:rPr>
        <w:t>.</w:t>
      </w:r>
      <w:r>
        <w:rPr>
          <w:lang w:val="fr-FR"/>
        </w:rPr>
        <w:tab/>
        <w:t>Plus il y a de mou dans la sangle de la boucle, plus le déplacement du passager est important, ce qui nuit à sa sécurité</w:t>
      </w:r>
      <w:r w:rsidR="00C76BED" w:rsidRPr="00C76BED">
        <w:rPr>
          <w:lang w:val="fr-FR"/>
        </w:rPr>
        <w:t>.</w:t>
      </w:r>
    </w:p>
    <w:p w14:paraId="320BD411" w14:textId="1DB260A1" w:rsidR="00814FCC" w:rsidRPr="00EB283D" w:rsidRDefault="00814FCC" w:rsidP="00E75B94">
      <w:pPr>
        <w:keepNext/>
        <w:spacing w:after="120"/>
        <w:ind w:left="1134" w:right="1134"/>
        <w:jc w:val="both"/>
        <w:rPr>
          <w:rFonts w:eastAsia="SimSun" w:cs="Arial"/>
          <w:szCs w:val="22"/>
          <w:lang w:val="fr-FR"/>
        </w:rPr>
      </w:pPr>
      <w:r>
        <w:rPr>
          <w:lang w:val="fr-FR"/>
        </w:rPr>
        <w:t>4</w:t>
      </w:r>
      <w:r w:rsidR="00C76BED" w:rsidRPr="00C76BED">
        <w:rPr>
          <w:lang w:val="fr-FR"/>
        </w:rPr>
        <w:t>.</w:t>
      </w:r>
      <w:r>
        <w:rPr>
          <w:lang w:val="fr-FR"/>
        </w:rPr>
        <w:tab/>
        <w:t>C’est pourquoi il est proposé de limiter le mou de la sangle de la boucle sur les sièges équipés d’ancrages ISOFIX inférieurs</w:t>
      </w:r>
      <w:r w:rsidR="00C76BED" w:rsidRPr="00C76BED">
        <w:rPr>
          <w:lang w:val="fr-FR"/>
        </w:rPr>
        <w:t>.</w:t>
      </w:r>
    </w:p>
    <w:p w14:paraId="2AA06711" w14:textId="104DA25B" w:rsidR="00F9573C" w:rsidRDefault="00814FCC" w:rsidP="00814FCC">
      <w:pPr>
        <w:spacing w:after="120"/>
        <w:ind w:left="1134" w:right="1134"/>
        <w:jc w:val="both"/>
        <w:rPr>
          <w:lang w:val="fr-FR"/>
        </w:rPr>
      </w:pPr>
      <w:r>
        <w:rPr>
          <w:lang w:val="fr-FR"/>
        </w:rPr>
        <w:t>5</w:t>
      </w:r>
      <w:r w:rsidR="00C76BED" w:rsidRPr="00C76BED">
        <w:rPr>
          <w:lang w:val="fr-FR"/>
        </w:rPr>
        <w:t>.</w:t>
      </w:r>
      <w:r>
        <w:rPr>
          <w:lang w:val="fr-FR"/>
        </w:rPr>
        <w:tab/>
        <w:t>Les amendements proposés dans le présent document permettent de prévenir les phénomènes de glissement de la ceinture jusqu’au cou et de glissement de l’occupant</w:t>
      </w:r>
      <w:r w:rsidR="00C76BED" w:rsidRPr="00C76BED">
        <w:rPr>
          <w:lang w:val="fr-FR"/>
        </w:rPr>
        <w:t>.</w:t>
      </w:r>
    </w:p>
    <w:p w14:paraId="394E6448" w14:textId="0429274B" w:rsidR="00814FCC" w:rsidRPr="00814FCC" w:rsidRDefault="00814FCC" w:rsidP="00814FCC">
      <w:pPr>
        <w:pStyle w:val="SingleTxtG"/>
        <w:spacing w:before="240" w:after="0"/>
        <w:jc w:val="center"/>
        <w:rPr>
          <w:u w:val="single"/>
        </w:rPr>
      </w:pPr>
      <w:r>
        <w:tab/>
      </w:r>
      <w:r>
        <w:rPr>
          <w:u w:val="single"/>
        </w:rPr>
        <w:tab/>
      </w:r>
      <w:r>
        <w:rPr>
          <w:u w:val="single"/>
        </w:rPr>
        <w:tab/>
      </w:r>
      <w:r>
        <w:rPr>
          <w:u w:val="single"/>
        </w:rPr>
        <w:tab/>
      </w:r>
    </w:p>
    <w:sectPr w:rsidR="00814FCC" w:rsidRPr="00814FCC" w:rsidSect="000171A4">
      <w:headerReference w:type="even" r:id="rId20"/>
      <w:headerReference w:type="default" r:id="rId21"/>
      <w:footerReference w:type="even" r:id="rId22"/>
      <w:footerReference w:type="default" r:id="rId23"/>
      <w:footerReference w:type="first" r:id="rId2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CC3" w14:textId="77777777" w:rsidR="00151A04" w:rsidRDefault="00151A04" w:rsidP="00F95C08">
      <w:pPr>
        <w:spacing w:line="240" w:lineRule="auto"/>
      </w:pPr>
    </w:p>
  </w:endnote>
  <w:endnote w:type="continuationSeparator" w:id="0">
    <w:p w14:paraId="665F958B" w14:textId="77777777" w:rsidR="00151A04" w:rsidRPr="00AC3823" w:rsidRDefault="00151A04" w:rsidP="00AC3823">
      <w:pPr>
        <w:pStyle w:val="Pieddepage"/>
      </w:pPr>
    </w:p>
  </w:endnote>
  <w:endnote w:type="continuationNotice" w:id="1">
    <w:p w14:paraId="14BAF675" w14:textId="77777777" w:rsidR="00151A04" w:rsidRDefault="00151A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4DA1" w14:textId="17994C44" w:rsidR="000171A4" w:rsidRPr="000171A4" w:rsidRDefault="000171A4" w:rsidP="000171A4">
    <w:pPr>
      <w:pStyle w:val="Pieddepage"/>
      <w:tabs>
        <w:tab w:val="right" w:pos="9638"/>
      </w:tabs>
    </w:pPr>
    <w:r w:rsidRPr="000171A4">
      <w:rPr>
        <w:b/>
        <w:sz w:val="18"/>
      </w:rPr>
      <w:fldChar w:fldCharType="begin"/>
    </w:r>
    <w:r w:rsidRPr="000171A4">
      <w:rPr>
        <w:b/>
        <w:sz w:val="18"/>
      </w:rPr>
      <w:instrText xml:space="preserve"> PAGE  \* MERGEFORMAT </w:instrText>
    </w:r>
    <w:r w:rsidRPr="000171A4">
      <w:rPr>
        <w:b/>
        <w:sz w:val="18"/>
      </w:rPr>
      <w:fldChar w:fldCharType="separate"/>
    </w:r>
    <w:r w:rsidRPr="000171A4">
      <w:rPr>
        <w:b/>
        <w:noProof/>
        <w:sz w:val="18"/>
      </w:rPr>
      <w:t>2</w:t>
    </w:r>
    <w:r w:rsidRPr="000171A4">
      <w:rPr>
        <w:b/>
        <w:sz w:val="18"/>
      </w:rPr>
      <w:fldChar w:fldCharType="end"/>
    </w:r>
    <w:r>
      <w:rPr>
        <w:b/>
        <w:sz w:val="18"/>
      </w:rPr>
      <w:tab/>
    </w:r>
    <w:r>
      <w:t>GE</w:t>
    </w:r>
    <w:r w:rsidR="00C76BED" w:rsidRPr="00C76BED">
      <w:t>.</w:t>
    </w:r>
    <w:r>
      <w:t>22-02192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0E94" w14:textId="434498E6" w:rsidR="000171A4" w:rsidRPr="000171A4" w:rsidRDefault="000171A4" w:rsidP="000171A4">
    <w:pPr>
      <w:pStyle w:val="Pieddepage"/>
      <w:tabs>
        <w:tab w:val="right" w:pos="9638"/>
      </w:tabs>
      <w:rPr>
        <w:b/>
        <w:sz w:val="18"/>
      </w:rPr>
    </w:pPr>
    <w:r>
      <w:t>GE</w:t>
    </w:r>
    <w:r w:rsidR="00C76BED" w:rsidRPr="00C76BED">
      <w:t>.</w:t>
    </w:r>
    <w:r>
      <w:t>22-02192</w:t>
    </w:r>
    <w:r>
      <w:tab/>
    </w:r>
    <w:r w:rsidRPr="000171A4">
      <w:rPr>
        <w:b/>
        <w:sz w:val="18"/>
      </w:rPr>
      <w:fldChar w:fldCharType="begin"/>
    </w:r>
    <w:r w:rsidRPr="000171A4">
      <w:rPr>
        <w:b/>
        <w:sz w:val="18"/>
      </w:rPr>
      <w:instrText xml:space="preserve"> PAGE  \* MERGEFORMAT </w:instrText>
    </w:r>
    <w:r w:rsidRPr="000171A4">
      <w:rPr>
        <w:b/>
        <w:sz w:val="18"/>
      </w:rPr>
      <w:fldChar w:fldCharType="separate"/>
    </w:r>
    <w:r w:rsidRPr="000171A4">
      <w:rPr>
        <w:b/>
        <w:noProof/>
        <w:sz w:val="18"/>
      </w:rPr>
      <w:t>3</w:t>
    </w:r>
    <w:r w:rsidRPr="000171A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A386" w14:textId="5B85DA78" w:rsidR="007F20FA" w:rsidRPr="000171A4" w:rsidRDefault="000171A4" w:rsidP="000171A4">
    <w:pPr>
      <w:pStyle w:val="Pieddepage"/>
      <w:spacing w:before="120"/>
      <w:rPr>
        <w:sz w:val="20"/>
      </w:rPr>
    </w:pPr>
    <w:r>
      <w:rPr>
        <w:sz w:val="20"/>
      </w:rPr>
      <w:t>GE</w:t>
    </w:r>
    <w:r w:rsidR="00C76BED" w:rsidRPr="00C76BED">
      <w:rPr>
        <w:sz w:val="20"/>
      </w:rPr>
      <w:t>.</w:t>
    </w:r>
    <w:r w:rsidR="007F20FA">
      <w:rPr>
        <w:noProof/>
        <w:lang w:eastAsia="fr-CH"/>
      </w:rPr>
      <w:drawing>
        <wp:anchor distT="0" distB="0" distL="114300" distR="114300" simplePos="0" relativeHeight="251659264" behindDoc="0" locked="0" layoutInCell="1" allowOverlap="0" wp14:anchorId="1DD553DE" wp14:editId="64441FBF">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22-02192  (F)</w:t>
    </w:r>
    <w:r>
      <w:rPr>
        <w:noProof/>
        <w:sz w:val="20"/>
      </w:rPr>
      <w:drawing>
        <wp:anchor distT="0" distB="0" distL="114300" distR="114300" simplePos="0" relativeHeight="251660288" behindDoc="0" locked="0" layoutInCell="1" allowOverlap="1" wp14:anchorId="10C10124" wp14:editId="3F111BB3">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080322    080322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B1BF" w14:textId="77777777" w:rsidR="00151A04" w:rsidRPr="00AC3823" w:rsidRDefault="00151A04" w:rsidP="00AC3823">
      <w:pPr>
        <w:pStyle w:val="Pieddepage"/>
        <w:tabs>
          <w:tab w:val="right" w:pos="2155"/>
        </w:tabs>
        <w:spacing w:after="80" w:line="240" w:lineRule="atLeast"/>
        <w:ind w:left="680"/>
        <w:rPr>
          <w:u w:val="single"/>
        </w:rPr>
      </w:pPr>
      <w:r>
        <w:rPr>
          <w:u w:val="single"/>
        </w:rPr>
        <w:tab/>
      </w:r>
    </w:p>
  </w:footnote>
  <w:footnote w:type="continuationSeparator" w:id="0">
    <w:p w14:paraId="1259A591" w14:textId="77777777" w:rsidR="00151A04" w:rsidRPr="00AC3823" w:rsidRDefault="00151A04" w:rsidP="00AC3823">
      <w:pPr>
        <w:pStyle w:val="Pieddepage"/>
        <w:tabs>
          <w:tab w:val="right" w:pos="2155"/>
        </w:tabs>
        <w:spacing w:after="80" w:line="240" w:lineRule="atLeast"/>
        <w:ind w:left="680"/>
        <w:rPr>
          <w:u w:val="single"/>
        </w:rPr>
      </w:pPr>
      <w:r>
        <w:rPr>
          <w:u w:val="single"/>
        </w:rPr>
        <w:tab/>
      </w:r>
    </w:p>
  </w:footnote>
  <w:footnote w:type="continuationNotice" w:id="1">
    <w:p w14:paraId="46BCFA16" w14:textId="77777777" w:rsidR="00151A04" w:rsidRPr="00AC3823" w:rsidRDefault="00151A04">
      <w:pPr>
        <w:spacing w:line="240" w:lineRule="auto"/>
        <w:rPr>
          <w:sz w:val="2"/>
          <w:szCs w:val="2"/>
        </w:rPr>
      </w:pPr>
    </w:p>
  </w:footnote>
  <w:footnote w:id="2">
    <w:p w14:paraId="620CEB5A" w14:textId="32B39E88" w:rsidR="00814FCC" w:rsidRDefault="00814FCC" w:rsidP="008E6F6A">
      <w:pPr>
        <w:pStyle w:val="Notedebasdepage"/>
        <w:rPr>
          <w:lang w:val="fr-FR"/>
        </w:rPr>
      </w:pPr>
      <w:r w:rsidRPr="005B4F34">
        <w:rPr>
          <w:sz w:val="20"/>
          <w:lang w:val="fr-FR"/>
        </w:rPr>
        <w:tab/>
        <w:t>*</w:t>
      </w:r>
      <w:r w:rsidRPr="005B4F34">
        <w:rPr>
          <w:sz w:val="20"/>
          <w:lang w:val="fr-FR"/>
        </w:rPr>
        <w:tab/>
      </w:r>
      <w:r>
        <w:rPr>
          <w:lang w:val="fr-FR"/>
        </w:rPr>
        <w:t>Conformément au programme de travail du Comité des transports intérieurs pour 2022 tel qu</w:t>
      </w:r>
      <w:r w:rsidR="008E6F6A">
        <w:rPr>
          <w:lang w:val="fr-FR"/>
        </w:rPr>
        <w:t>’</w:t>
      </w:r>
      <w:r>
        <w:rPr>
          <w:lang w:val="fr-FR"/>
        </w:rPr>
        <w:t>il figure dans le projet de budget-programme pour 2022 (A/76/6 (Sect</w:t>
      </w:r>
      <w:r w:rsidR="00C76BED" w:rsidRPr="00C76BED">
        <w:rPr>
          <w:lang w:val="fr-FR"/>
        </w:rPr>
        <w:t>.</w:t>
      </w:r>
      <w:r>
        <w:rPr>
          <w:lang w:val="fr-FR"/>
        </w:rPr>
        <w:t xml:space="preserve"> 20), par</w:t>
      </w:r>
      <w:r w:rsidR="00C76BED" w:rsidRPr="00C76BED">
        <w:rPr>
          <w:lang w:val="fr-FR"/>
        </w:rPr>
        <w:t>.</w:t>
      </w:r>
      <w:r>
        <w:rPr>
          <w:lang w:val="fr-FR"/>
        </w:rPr>
        <w:t xml:space="preserve"> 20</w:t>
      </w:r>
      <w:r w:rsidR="00C76BED" w:rsidRPr="00C76BED">
        <w:rPr>
          <w:lang w:val="fr-FR"/>
        </w:rPr>
        <w:t>.</w:t>
      </w:r>
      <w:r>
        <w:rPr>
          <w:lang w:val="fr-FR"/>
        </w:rPr>
        <w:t>76), le Forum mondial a pour mission d</w:t>
      </w:r>
      <w:r w:rsidR="008E6F6A">
        <w:rPr>
          <w:lang w:val="fr-FR"/>
        </w:rPr>
        <w:t>’</w:t>
      </w:r>
      <w:r>
        <w:rPr>
          <w:lang w:val="fr-FR"/>
        </w:rPr>
        <w:t>élaborer, d</w:t>
      </w:r>
      <w:r w:rsidR="008E6F6A">
        <w:rPr>
          <w:lang w:val="fr-FR"/>
        </w:rPr>
        <w:t>’</w:t>
      </w:r>
      <w:r>
        <w:rPr>
          <w:lang w:val="fr-FR"/>
        </w:rPr>
        <w:t>harmoniser et de mettre à jour les Règlements ONU en vue d</w:t>
      </w:r>
      <w:r w:rsidR="008E6F6A">
        <w:rPr>
          <w:lang w:val="fr-FR"/>
        </w:rPr>
        <w:t>’</w:t>
      </w:r>
      <w:r>
        <w:rPr>
          <w:lang w:val="fr-FR"/>
        </w:rPr>
        <w:t>améliorer les caractéristiques fonctionnelles des véhicules</w:t>
      </w:r>
      <w:r w:rsidR="00C76BED" w:rsidRPr="00C76BED">
        <w:rPr>
          <w:lang w:val="fr-FR"/>
        </w:rPr>
        <w:t>.</w:t>
      </w:r>
      <w:r>
        <w:rPr>
          <w:lang w:val="fr-FR"/>
        </w:rPr>
        <w:t xml:space="preserve"> Le présent document est soumis en vertu de ce mandat</w:t>
      </w:r>
      <w:r w:rsidR="00C76BED" w:rsidRPr="00C76BED">
        <w:rPr>
          <w:lang w:val="fr-FR"/>
        </w:rPr>
        <w:t>.</w:t>
      </w:r>
    </w:p>
    <w:p w14:paraId="01A15F69" w14:textId="77777777" w:rsidR="005B4F34" w:rsidRPr="00EB283D" w:rsidRDefault="005B4F34" w:rsidP="008E6F6A">
      <w:pPr>
        <w:pStyle w:val="Notedebasdepage"/>
        <w:rPr>
          <w:lang w:val="fr-FR"/>
        </w:rPr>
      </w:pPr>
    </w:p>
  </w:footnote>
  <w:footnote w:id="3">
    <w:p w14:paraId="24ADD874" w14:textId="30784C7E" w:rsidR="00814FCC" w:rsidRPr="00EB283D" w:rsidRDefault="00814FCC" w:rsidP="008E6F6A">
      <w:pPr>
        <w:pStyle w:val="Notedebasdepage"/>
        <w:rPr>
          <w:lang w:val="fr-FR"/>
        </w:rPr>
      </w:pPr>
      <w:r>
        <w:rPr>
          <w:lang w:val="fr-FR"/>
        </w:rPr>
        <w:tab/>
      </w:r>
      <w:r w:rsidRPr="008E6F6A">
        <w:rPr>
          <w:rStyle w:val="Appelnotedebasdep"/>
        </w:rPr>
        <w:footnoteRef/>
      </w:r>
      <w:r>
        <w:rPr>
          <w:lang w:val="fr-FR"/>
        </w:rPr>
        <w:tab/>
        <w:t>Le deuxième numéro n</w:t>
      </w:r>
      <w:r w:rsidR="008E6F6A">
        <w:rPr>
          <w:lang w:val="fr-FR"/>
        </w:rPr>
        <w:t>’</w:t>
      </w:r>
      <w:r>
        <w:rPr>
          <w:lang w:val="fr-FR"/>
        </w:rPr>
        <w:t>est donné qu</w:t>
      </w:r>
      <w:r w:rsidR="008E6F6A">
        <w:rPr>
          <w:lang w:val="fr-FR"/>
        </w:rPr>
        <w:t>’</w:t>
      </w:r>
      <w:r>
        <w:rPr>
          <w:lang w:val="fr-FR"/>
        </w:rPr>
        <w:t>à titre d</w:t>
      </w:r>
      <w:r w:rsidR="008E6F6A">
        <w:rPr>
          <w:lang w:val="fr-FR"/>
        </w:rPr>
        <w:t>’</w:t>
      </w:r>
      <w:r>
        <w:rPr>
          <w:lang w:val="fr-FR"/>
        </w:rPr>
        <w:t>exemple</w:t>
      </w:r>
      <w:r w:rsidR="00C76BED" w:rsidRPr="00C76BED">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B271" w14:textId="355ACAC8" w:rsidR="000171A4" w:rsidRPr="000171A4" w:rsidRDefault="000171A4">
    <w:pPr>
      <w:pStyle w:val="En-tte"/>
    </w:pPr>
    <w:fldSimple w:instr=" TITLE  \* MERGEFORMAT ">
      <w:r w:rsidR="00D32706">
        <w:t>ECE/TRANS/WP.29/GRSP/2022/3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6278" w14:textId="73C69A84" w:rsidR="000171A4" w:rsidRPr="000171A4" w:rsidRDefault="000171A4" w:rsidP="000171A4">
    <w:pPr>
      <w:pStyle w:val="En-tte"/>
      <w:jc w:val="right"/>
    </w:pPr>
    <w:fldSimple w:instr=" TITLE  \* MERGEFORMAT ">
      <w:r w:rsidR="00D32706">
        <w:t>ECE/TRANS/WP.29/GRSP/2022/3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04"/>
    <w:rsid w:val="000171A4"/>
    <w:rsid w:val="00017F94"/>
    <w:rsid w:val="00023842"/>
    <w:rsid w:val="00024873"/>
    <w:rsid w:val="000334F9"/>
    <w:rsid w:val="00045FEB"/>
    <w:rsid w:val="0007796D"/>
    <w:rsid w:val="000B7790"/>
    <w:rsid w:val="00111F2F"/>
    <w:rsid w:val="0014365E"/>
    <w:rsid w:val="00143C66"/>
    <w:rsid w:val="00151A04"/>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36CEA"/>
    <w:rsid w:val="005505B7"/>
    <w:rsid w:val="00573BE5"/>
    <w:rsid w:val="00586ED3"/>
    <w:rsid w:val="00596AA9"/>
    <w:rsid w:val="005A271F"/>
    <w:rsid w:val="005B4F34"/>
    <w:rsid w:val="006F2C41"/>
    <w:rsid w:val="0071601D"/>
    <w:rsid w:val="007A62E6"/>
    <w:rsid w:val="007F20FA"/>
    <w:rsid w:val="0080684C"/>
    <w:rsid w:val="00814FCC"/>
    <w:rsid w:val="00871C75"/>
    <w:rsid w:val="008776DC"/>
    <w:rsid w:val="008D5EF9"/>
    <w:rsid w:val="008E6F6A"/>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331"/>
    <w:rsid w:val="00BA0CA9"/>
    <w:rsid w:val="00C02897"/>
    <w:rsid w:val="00C4226F"/>
    <w:rsid w:val="00C76BED"/>
    <w:rsid w:val="00C97039"/>
    <w:rsid w:val="00D32706"/>
    <w:rsid w:val="00D3439C"/>
    <w:rsid w:val="00D7622E"/>
    <w:rsid w:val="00DB1831"/>
    <w:rsid w:val="00DD3BFD"/>
    <w:rsid w:val="00DF6678"/>
    <w:rsid w:val="00E0299A"/>
    <w:rsid w:val="00E208D4"/>
    <w:rsid w:val="00E75B94"/>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E122C6"/>
  <w15:docId w15:val="{E0759B79-CCA1-4A49-B39B-4C3DBAAD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Fußnotenzeichen"/>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
    <w:basedOn w:val="Policepardfaut"/>
    <w:link w:val="Notedebasdepage"/>
    <w:uiPriority w:val="99"/>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814FCC"/>
    <w:rPr>
      <w:rFonts w:ascii="Times New Roman" w:eastAsiaTheme="minorHAnsi" w:hAnsi="Times New Roman" w:cs="Times New Roman"/>
      <w:sz w:val="20"/>
      <w:szCs w:val="20"/>
      <w:lang w:eastAsia="en-US"/>
    </w:rPr>
  </w:style>
  <w:style w:type="character" w:customStyle="1" w:styleId="HChGChar">
    <w:name w:val="_ H _Ch_G Char"/>
    <w:link w:val="HChG"/>
    <w:rsid w:val="00814FCC"/>
    <w:rPr>
      <w:rFonts w:ascii="Times New Roman" w:eastAsiaTheme="minorHAnsi" w:hAnsi="Times New Roman" w:cs="Times New Roman"/>
      <w:b/>
      <w:sz w:val="28"/>
      <w:szCs w:val="20"/>
      <w:lang w:eastAsia="en-US"/>
    </w:rPr>
  </w:style>
  <w:style w:type="paragraph" w:styleId="Paragraphedeliste">
    <w:name w:val="List Paragraph"/>
    <w:basedOn w:val="Normal"/>
    <w:uiPriority w:val="34"/>
    <w:qFormat/>
    <w:rsid w:val="00814FCC"/>
    <w:pPr>
      <w:kinsoku/>
      <w:overflowPunct/>
      <w:autoSpaceDE/>
      <w:autoSpaceDN/>
      <w:adjustRightInd/>
      <w:snapToGrid/>
      <w:ind w:left="720"/>
      <w:contextualSpacing/>
    </w:pPr>
    <w:rPr>
      <w:rFonts w:eastAsia="MS Mincho"/>
      <w:lang w:val="en-GB" w:eastAsia="fr-FR"/>
    </w:rPr>
  </w:style>
  <w:style w:type="paragraph" w:customStyle="1" w:styleId="para">
    <w:name w:val="para"/>
    <w:basedOn w:val="SingleTxtG"/>
    <w:link w:val="paraChar"/>
    <w:qFormat/>
    <w:rsid w:val="00814FCC"/>
    <w:pPr>
      <w:kinsoku/>
      <w:overflowPunct/>
      <w:autoSpaceDE/>
      <w:autoSpaceDN/>
      <w:adjustRightInd/>
      <w:snapToGrid/>
      <w:spacing w:line="240" w:lineRule="exact"/>
      <w:ind w:left="2268" w:hanging="1134"/>
    </w:pPr>
    <w:rPr>
      <w:rFonts w:eastAsia="Times New Roman"/>
      <w:lang w:val="en-GB"/>
    </w:rPr>
  </w:style>
  <w:style w:type="character" w:customStyle="1" w:styleId="paraChar">
    <w:name w:val="para Char"/>
    <w:link w:val="para"/>
    <w:locked/>
    <w:rsid w:val="00814FCC"/>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15.gif"/><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2</TotalTime>
  <Pages>9</Pages>
  <Words>1769</Words>
  <Characters>12383</Characters>
  <Application>Microsoft Office Word</Application>
  <DocSecurity>0</DocSecurity>
  <Lines>1031</Lines>
  <Paragraphs>566</Paragraphs>
  <ScaleCrop>false</ScaleCrop>
  <HeadingPairs>
    <vt:vector size="2" baseType="variant">
      <vt:variant>
        <vt:lpstr>Titre</vt:lpstr>
      </vt:variant>
      <vt:variant>
        <vt:i4>1</vt:i4>
      </vt:variant>
    </vt:vector>
  </HeadingPairs>
  <TitlesOfParts>
    <vt:vector size="1" baseType="lpstr">
      <vt:lpstr>ECE/TRANS/WP.29/GRSP/2022/3</vt:lpstr>
    </vt:vector>
  </TitlesOfParts>
  <Company>DCM</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ECE/TRANS/WP.29/GRSP/2022/3</dc:title>
  <dc:subject/>
  <dc:creator>Maud DARICHE</dc:creator>
  <cp:keywords/>
  <cp:lastModifiedBy>Maud Dariche</cp:lastModifiedBy>
  <cp:revision>3</cp:revision>
  <cp:lastPrinted>2022-03-08T12:25:00Z</cp:lastPrinted>
  <dcterms:created xsi:type="dcterms:W3CDTF">2022-03-08T12:25:00Z</dcterms:created>
  <dcterms:modified xsi:type="dcterms:W3CDTF">2022-03-08T12:26:00Z</dcterms:modified>
</cp:coreProperties>
</file>