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C486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DDF7F1" w14:textId="77777777" w:rsidR="002D5AAC" w:rsidRDefault="002D5AAC" w:rsidP="00C40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7D9BC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CD5F0E" w14:textId="54253DBB" w:rsidR="002D5AAC" w:rsidRDefault="00C40F42" w:rsidP="00C40F42">
            <w:pPr>
              <w:jc w:val="right"/>
            </w:pPr>
            <w:r w:rsidRPr="00C40F42">
              <w:rPr>
                <w:sz w:val="40"/>
              </w:rPr>
              <w:t>ECE</w:t>
            </w:r>
            <w:r>
              <w:t>/TRANS/WP.29/GRE/2022/3</w:t>
            </w:r>
          </w:p>
        </w:tc>
      </w:tr>
      <w:tr w:rsidR="002D5AAC" w14:paraId="57D615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653A6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0D5707" wp14:editId="3BD06C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7DFC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577710" w14:textId="77777777" w:rsidR="002D5AAC" w:rsidRDefault="00C40F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374347" w14:textId="77777777" w:rsidR="00C40F42" w:rsidRDefault="00C40F42" w:rsidP="00C40F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February 2022</w:t>
            </w:r>
          </w:p>
          <w:p w14:paraId="78AF09C2" w14:textId="77777777" w:rsidR="00C40F42" w:rsidRDefault="00C40F42" w:rsidP="00C40F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5707E0" w14:textId="66B3680C" w:rsidR="00C40F42" w:rsidRPr="008D53B6" w:rsidRDefault="00C40F42" w:rsidP="00C40F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FF37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53A539" w14:textId="50DAA58F" w:rsidR="00C40F42" w:rsidRPr="0091351D" w:rsidRDefault="00C40F42" w:rsidP="00C40F42">
      <w:pPr>
        <w:spacing w:before="120"/>
        <w:rPr>
          <w:sz w:val="40"/>
          <w:szCs w:val="40"/>
          <w:lang w:val="en-US"/>
        </w:rPr>
      </w:pPr>
      <w:r w:rsidRPr="00C40F42">
        <w:rPr>
          <w:sz w:val="28"/>
          <w:szCs w:val="32"/>
        </w:rPr>
        <w:t>Комитет по внутреннему транспорту</w:t>
      </w:r>
      <w:r w:rsidR="0091351D">
        <w:rPr>
          <w:sz w:val="28"/>
          <w:szCs w:val="32"/>
          <w:lang w:val="en-US"/>
        </w:rPr>
        <w:t xml:space="preserve"> </w:t>
      </w:r>
    </w:p>
    <w:p w14:paraId="7CF64CC7" w14:textId="37D8BE3E" w:rsidR="00C40F42" w:rsidRPr="00C40F42" w:rsidRDefault="00C40F42" w:rsidP="00C40F42">
      <w:pPr>
        <w:spacing w:before="120"/>
        <w:rPr>
          <w:b/>
          <w:sz w:val="32"/>
          <w:szCs w:val="32"/>
        </w:rPr>
      </w:pPr>
      <w:r w:rsidRPr="00C40F42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C40F42">
        <w:rPr>
          <w:b/>
          <w:bCs/>
          <w:sz w:val="24"/>
          <w:szCs w:val="28"/>
        </w:rPr>
        <w:t>в области транспортных средств</w:t>
      </w:r>
    </w:p>
    <w:p w14:paraId="0FEC5CAA" w14:textId="11071F80" w:rsidR="00C40F42" w:rsidRPr="004703C2" w:rsidRDefault="00C40F42" w:rsidP="00C40F42">
      <w:pPr>
        <w:spacing w:before="120" w:after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9ABAEA9" w14:textId="77777777" w:rsidR="00C40F42" w:rsidRPr="004703C2" w:rsidRDefault="00C40F42" w:rsidP="00C40F42">
      <w:pPr>
        <w:rPr>
          <w:b/>
        </w:rPr>
      </w:pPr>
      <w:r>
        <w:rPr>
          <w:b/>
          <w:bCs/>
        </w:rPr>
        <w:t>Восемьдесят шестая сессия</w:t>
      </w:r>
    </w:p>
    <w:p w14:paraId="4A587F7B" w14:textId="77777777" w:rsidR="00C40F42" w:rsidRPr="004703C2" w:rsidRDefault="00C40F42" w:rsidP="00C40F42">
      <w:pPr>
        <w:rPr>
          <w:bCs/>
        </w:rPr>
      </w:pPr>
      <w:r>
        <w:t>Женева, 26</w:t>
      </w:r>
      <w:r w:rsidRPr="00C40F42">
        <w:t>–</w:t>
      </w:r>
      <w:r>
        <w:t>29 апреля 2022 года</w:t>
      </w:r>
    </w:p>
    <w:p w14:paraId="401F75B7" w14:textId="77777777" w:rsidR="00C40F42" w:rsidRPr="004703C2" w:rsidRDefault="00C40F42" w:rsidP="00C40F42">
      <w:pPr>
        <w:ind w:right="1134"/>
        <w:rPr>
          <w:bCs/>
        </w:rPr>
      </w:pPr>
      <w:r>
        <w:t>Пункт 7 b) предварительной повестки дня</w:t>
      </w:r>
    </w:p>
    <w:p w14:paraId="11F3B3C4" w14:textId="77777777" w:rsidR="00C40F42" w:rsidRPr="004703C2" w:rsidRDefault="00C40F42" w:rsidP="00C40F42">
      <w:pPr>
        <w:ind w:right="1467"/>
        <w:jc w:val="both"/>
        <w:rPr>
          <w:b/>
          <w:bCs/>
        </w:rPr>
      </w:pPr>
      <w:r>
        <w:rPr>
          <w:b/>
          <w:bCs/>
        </w:rPr>
        <w:t>Другие правила ООН:</w:t>
      </w:r>
    </w:p>
    <w:p w14:paraId="4D442837" w14:textId="50C766CB" w:rsidR="00C40F42" w:rsidRPr="00C40F42" w:rsidRDefault="00C40F42" w:rsidP="00C40F42">
      <w:pPr>
        <w:rPr>
          <w:b/>
          <w:bCs/>
        </w:rPr>
      </w:pPr>
      <w:r w:rsidRPr="00C40F42">
        <w:rPr>
          <w:b/>
          <w:bCs/>
        </w:rPr>
        <w:t xml:space="preserve">Правила № 53 ООН </w:t>
      </w:r>
      <w:r w:rsidRPr="00C40F42">
        <w:rPr>
          <w:b/>
          <w:bCs/>
        </w:rPr>
        <w:br/>
      </w:r>
      <w:r w:rsidRPr="00C40F42">
        <w:rPr>
          <w:b/>
          <w:bCs/>
        </w:rPr>
        <w:t xml:space="preserve">(установка устройств освещения </w:t>
      </w:r>
      <w:r>
        <w:rPr>
          <w:b/>
          <w:bCs/>
        </w:rPr>
        <w:br/>
      </w:r>
      <w:r w:rsidRPr="00C40F42">
        <w:rPr>
          <w:b/>
          <w:bCs/>
        </w:rPr>
        <w:t xml:space="preserve">и световой сигнализации </w:t>
      </w:r>
      <w:r>
        <w:rPr>
          <w:b/>
          <w:bCs/>
        </w:rPr>
        <w:br/>
      </w:r>
      <w:r w:rsidRPr="00C40F42">
        <w:rPr>
          <w:b/>
          <w:bCs/>
        </w:rPr>
        <w:t>для транспортных средств категории L</w:t>
      </w:r>
      <w:r w:rsidRPr="00C40F42">
        <w:rPr>
          <w:b/>
          <w:bCs/>
          <w:vertAlign w:val="subscript"/>
        </w:rPr>
        <w:t>3</w:t>
      </w:r>
      <w:r w:rsidRPr="00C40F42">
        <w:rPr>
          <w:b/>
          <w:bCs/>
        </w:rPr>
        <w:t>)</w:t>
      </w:r>
    </w:p>
    <w:p w14:paraId="4AC7A0CB" w14:textId="0CBF61C0" w:rsidR="00C40F42" w:rsidRPr="004703C2" w:rsidRDefault="00C40F42" w:rsidP="00C40F42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новой серии 04 </w:t>
      </w:r>
      <w:r>
        <w:rPr>
          <w:bCs/>
        </w:rPr>
        <w:br/>
      </w:r>
      <w:r>
        <w:rPr>
          <w:bCs/>
        </w:rPr>
        <w:t>к Правилам № 53 ООН</w:t>
      </w:r>
      <w:r>
        <w:t xml:space="preserve"> </w:t>
      </w:r>
    </w:p>
    <w:p w14:paraId="67706B47" w14:textId="0A2D77C7" w:rsidR="00C40F42" w:rsidRPr="004703C2" w:rsidRDefault="00C40F42" w:rsidP="00C40F42">
      <w:pPr>
        <w:pStyle w:val="H1G"/>
        <w:rPr>
          <w:szCs w:val="24"/>
        </w:rPr>
      </w:pPr>
      <w:r>
        <w:tab/>
      </w:r>
      <w:r>
        <w:tab/>
      </w:r>
      <w:r>
        <w:t>Представлено экспертом от Германии</w:t>
      </w:r>
      <w:r w:rsidRPr="00C40F42">
        <w:rPr>
          <w:b w:val="0"/>
          <w:bCs/>
          <w:sz w:val="20"/>
        </w:rPr>
        <w:footnoteReference w:customMarkFollows="1" w:id="1"/>
        <w:t>*</w:t>
      </w:r>
      <w:r w:rsidRPr="00C40F42">
        <w:rPr>
          <w:b w:val="0"/>
          <w:bCs/>
          <w:sz w:val="20"/>
          <w:szCs w:val="16"/>
        </w:rPr>
        <w:t xml:space="preserve"> </w:t>
      </w:r>
    </w:p>
    <w:p w14:paraId="5ED07355" w14:textId="74E3D393" w:rsidR="00C40F42" w:rsidRPr="004703C2" w:rsidRDefault="00C40F42" w:rsidP="00C40F42">
      <w:pPr>
        <w:pStyle w:val="SingleTxtG"/>
      </w:pPr>
      <w:r>
        <w:tab/>
      </w:r>
      <w:r>
        <w:t>Настоящий документ представляет собой предложение по повышению безопасности дорожного движения для мотоциклов путем исключения фар класса А и класса BS из Правил № 53 ООН. В его основу положен неофициальный документ</w:t>
      </w:r>
      <w:r>
        <w:br/>
        <w:t>GRE-85-24, распространенный в ходе восемьдесят пятой сессии Рабочей группы по вопросам освещения и световой сигнализации (GRE). Изменения выделены жирным шрифтом.</w:t>
      </w:r>
    </w:p>
    <w:p w14:paraId="7DE57D56" w14:textId="77777777" w:rsidR="00C40F42" w:rsidRPr="004703C2" w:rsidRDefault="00C40F42" w:rsidP="00C40F42">
      <w:pPr>
        <w:tabs>
          <w:tab w:val="left" w:pos="8505"/>
        </w:tabs>
        <w:ind w:left="1134" w:right="1134" w:firstLine="567"/>
        <w:jc w:val="both"/>
      </w:pPr>
    </w:p>
    <w:p w14:paraId="7C61B4CF" w14:textId="77777777" w:rsidR="00C40F42" w:rsidRDefault="00C40F42" w:rsidP="00C40F42">
      <w:pPr>
        <w:pStyle w:val="HChG"/>
        <w:rPr>
          <w:bCs/>
        </w:rPr>
      </w:pPr>
      <w:r>
        <w:rPr>
          <w:bCs/>
        </w:rPr>
        <w:br w:type="page"/>
      </w:r>
    </w:p>
    <w:p w14:paraId="1F2922DE" w14:textId="3095C2DF" w:rsidR="00C40F42" w:rsidRPr="004703C2" w:rsidRDefault="00C40F42" w:rsidP="00C40F42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82B7066" w14:textId="77777777" w:rsidR="00C40F42" w:rsidRPr="004703C2" w:rsidRDefault="00C40F42" w:rsidP="00C40F42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rPr>
          <w:i/>
          <w:iCs/>
        </w:rPr>
        <w:t>Пункт 6.2.1.1</w:t>
      </w:r>
      <w:r>
        <w:t xml:space="preserve"> изменить следующим образом:</w:t>
      </w:r>
    </w:p>
    <w:p w14:paraId="0583B30E" w14:textId="0B5FC313" w:rsidR="00C40F42" w:rsidRPr="007D580C" w:rsidRDefault="00C40F42" w:rsidP="00C40F42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t>«</w:t>
      </w:r>
      <w:r>
        <w:t xml:space="preserve">6.2.1.1 </w:t>
      </w:r>
      <w:r>
        <w:tab/>
        <w:t>…</w:t>
      </w:r>
    </w:p>
    <w:p w14:paraId="2878C3D4" w14:textId="77777777" w:rsidR="00C40F42" w:rsidRPr="004703C2" w:rsidRDefault="00C40F42" w:rsidP="00C40F42">
      <w:pPr>
        <w:spacing w:after="120"/>
        <w:ind w:left="2835" w:rightChars="567" w:right="1134" w:hanging="567"/>
        <w:jc w:val="both"/>
        <w:rPr>
          <w:bCs/>
        </w:rPr>
      </w:pPr>
      <w:r>
        <w:t xml:space="preserve">i) </w:t>
      </w:r>
      <w:r>
        <w:tab/>
      </w:r>
      <w:r>
        <w:tab/>
        <w:t xml:space="preserve">классом </w:t>
      </w:r>
      <w:r>
        <w:rPr>
          <w:b/>
          <w:bCs/>
          <w:strike/>
        </w:rPr>
        <w:t>A,</w:t>
      </w:r>
      <w:r>
        <w:t xml:space="preserve"> B, D, </w:t>
      </w:r>
      <w:r>
        <w:rPr>
          <w:b/>
          <w:bCs/>
          <w:strike/>
        </w:rPr>
        <w:t>BS,</w:t>
      </w:r>
      <w:r>
        <w:t xml:space="preserve"> CS, DS или ES, предусмотренным Правилами № 149 ООН</w:t>
      </w:r>
      <w:r w:rsidRPr="008B36E7">
        <w:t xml:space="preserve">; </w:t>
      </w:r>
    </w:p>
    <w:p w14:paraId="3BFD6825" w14:textId="77777777" w:rsidR="00C40F42" w:rsidRPr="00C40F42" w:rsidRDefault="00C40F42" w:rsidP="00C40F42">
      <w:pPr>
        <w:tabs>
          <w:tab w:val="left" w:pos="2880"/>
        </w:tabs>
        <w:spacing w:after="120"/>
        <w:ind w:left="2880" w:rightChars="567" w:right="1134" w:hanging="630"/>
        <w:jc w:val="both"/>
        <w:rPr>
          <w:iCs/>
        </w:rPr>
      </w:pPr>
      <w:r>
        <w:rPr>
          <w:b/>
          <w:bCs/>
        </w:rPr>
        <w:t>j)</w:t>
      </w:r>
      <w:r>
        <w:tab/>
      </w:r>
      <w:r>
        <w:rPr>
          <w:b/>
          <w:bCs/>
        </w:rPr>
        <w:t>классом C либо V, предусмотренным поправками серии 01 и последующих серий к Правилам № 149 ООН</w:t>
      </w:r>
      <w:r w:rsidRPr="00C40F42">
        <w:t xml:space="preserve">». </w:t>
      </w:r>
    </w:p>
    <w:p w14:paraId="03911BE7" w14:textId="77777777" w:rsidR="00C40F42" w:rsidRPr="0056793C" w:rsidRDefault="00C40F42" w:rsidP="00C40F42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rPr>
          <w:i/>
          <w:iCs/>
        </w:rPr>
        <w:t>Пункт 6.2.1.2</w:t>
      </w:r>
      <w:r>
        <w:t xml:space="preserve"> изменить следующим образом:</w:t>
      </w:r>
    </w:p>
    <w:p w14:paraId="70E812D4" w14:textId="7D076CEF" w:rsidR="00C40F42" w:rsidRPr="0056793C" w:rsidRDefault="00C40F42" w:rsidP="00C40F42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t>«</w:t>
      </w:r>
      <w:r>
        <w:t xml:space="preserve">6.2.1.2 </w:t>
      </w:r>
      <w:r>
        <w:tab/>
        <w:t>…</w:t>
      </w:r>
    </w:p>
    <w:p w14:paraId="12274BC6" w14:textId="77777777" w:rsidR="00C40F42" w:rsidRPr="004703C2" w:rsidRDefault="00C40F42" w:rsidP="00C40F42">
      <w:pPr>
        <w:spacing w:after="120"/>
        <w:ind w:left="2835" w:rightChars="567" w:right="1134" w:hanging="567"/>
        <w:jc w:val="both"/>
        <w:rPr>
          <w:bCs/>
        </w:rPr>
      </w:pPr>
      <w:r>
        <w:t xml:space="preserve">h) </w:t>
      </w:r>
      <w:r>
        <w:tab/>
      </w:r>
      <w:r>
        <w:tab/>
        <w:t xml:space="preserve">классом </w:t>
      </w:r>
      <w:r>
        <w:rPr>
          <w:b/>
          <w:bCs/>
          <w:strike/>
        </w:rPr>
        <w:t>A,</w:t>
      </w:r>
      <w:r>
        <w:t xml:space="preserve"> B, D, </w:t>
      </w:r>
      <w:r>
        <w:rPr>
          <w:b/>
          <w:bCs/>
          <w:strike/>
        </w:rPr>
        <w:t>BS,</w:t>
      </w:r>
      <w:r>
        <w:t xml:space="preserve"> DS или ES, предусмотренным Правилами №</w:t>
      </w:r>
      <w:r>
        <w:rPr>
          <w:lang w:val="en-US"/>
        </w:rPr>
        <w:t> </w:t>
      </w:r>
      <w:r>
        <w:t>149 ООН</w:t>
      </w:r>
      <w:r>
        <w:rPr>
          <w:b/>
          <w:bCs/>
        </w:rPr>
        <w:t>;</w:t>
      </w:r>
      <w:r>
        <w:t xml:space="preserve"> </w:t>
      </w:r>
    </w:p>
    <w:p w14:paraId="0892AF0B" w14:textId="77777777" w:rsidR="00C40F42" w:rsidRPr="004703C2" w:rsidRDefault="00C40F42" w:rsidP="00C40F42">
      <w:pPr>
        <w:spacing w:after="120"/>
        <w:ind w:left="2835" w:rightChars="567" w:right="1134" w:hanging="567"/>
        <w:jc w:val="both"/>
        <w:rPr>
          <w:bCs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классом C либо V, предусмотренным поправками серии 01 и последующих серий к Правилам № 149 ООН.</w:t>
      </w:r>
    </w:p>
    <w:p w14:paraId="7E51F0BD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/>
        <w:jc w:val="both"/>
        <w:rPr>
          <w:bCs/>
        </w:rPr>
      </w:pPr>
      <w:r>
        <w:tab/>
      </w:r>
      <w:r>
        <w:tab/>
        <w:t>Две официально утвержденного типа в соответствии с:</w:t>
      </w:r>
    </w:p>
    <w:p w14:paraId="288D8842" w14:textId="77777777" w:rsidR="00C40F42" w:rsidRPr="004703C2" w:rsidRDefault="00C40F42" w:rsidP="00C40F42">
      <w:pPr>
        <w:spacing w:after="120"/>
        <w:ind w:left="2835" w:rightChars="567" w:right="1134" w:hanging="567"/>
        <w:jc w:val="both"/>
        <w:rPr>
          <w:bCs/>
        </w:rPr>
      </w:pPr>
      <w:r>
        <w:rPr>
          <w:strike/>
        </w:rPr>
        <w:t>i</w:t>
      </w:r>
      <w:r>
        <w:rPr>
          <w:b/>
          <w:bCs/>
        </w:rPr>
        <w:t>j</w:t>
      </w:r>
      <w:r>
        <w:t xml:space="preserve">) </w:t>
      </w:r>
      <w:r>
        <w:tab/>
      </w:r>
      <w:r>
        <w:tab/>
        <w:t>классом C, предусмотренным Правилами № 113 ООН;</w:t>
      </w:r>
    </w:p>
    <w:p w14:paraId="58B120B8" w14:textId="77777777" w:rsidR="00C40F42" w:rsidRPr="004703C2" w:rsidRDefault="00C40F42" w:rsidP="00C40F42">
      <w:pPr>
        <w:spacing w:after="120"/>
        <w:ind w:left="2835" w:rightChars="567" w:right="1134" w:hanging="567"/>
        <w:jc w:val="both"/>
        <w:rPr>
          <w:rFonts w:eastAsia="MS Mincho"/>
          <w:b/>
          <w:sz w:val="28"/>
        </w:rPr>
      </w:pPr>
      <w:r>
        <w:rPr>
          <w:strike/>
        </w:rPr>
        <w:t>j</w:t>
      </w:r>
      <w:r>
        <w:rPr>
          <w:b/>
          <w:bCs/>
        </w:rPr>
        <w:t>k</w:t>
      </w:r>
      <w:r>
        <w:t xml:space="preserve">) </w:t>
      </w:r>
      <w:r>
        <w:tab/>
        <w:t xml:space="preserve">классом CS, предусмотренным Правилами № 149 ООН». </w:t>
      </w:r>
    </w:p>
    <w:p w14:paraId="1E411D65" w14:textId="77777777" w:rsidR="00C40F42" w:rsidRPr="004703C2" w:rsidRDefault="00C40F42" w:rsidP="00C40F42">
      <w:pPr>
        <w:tabs>
          <w:tab w:val="left" w:pos="2268"/>
        </w:tabs>
        <w:spacing w:after="120"/>
        <w:ind w:left="1134" w:rightChars="567" w:right="1134"/>
        <w:rPr>
          <w:bCs/>
          <w:iCs/>
        </w:rPr>
      </w:pPr>
      <w:r>
        <w:rPr>
          <w:i/>
          <w:iCs/>
        </w:rPr>
        <w:t>Включить новый пункт 11.12</w:t>
      </w:r>
      <w:r>
        <w:t xml:space="preserve"> следующего содержания:</w:t>
      </w:r>
    </w:p>
    <w:p w14:paraId="43116A68" w14:textId="4E418264" w:rsidR="00C40F42" w:rsidRPr="004703C2" w:rsidRDefault="00C40F42" w:rsidP="00C40F42">
      <w:pPr>
        <w:tabs>
          <w:tab w:val="left" w:pos="2268"/>
        </w:tabs>
        <w:spacing w:after="120"/>
        <w:ind w:left="1134" w:rightChars="567" w:right="1134"/>
        <w:jc w:val="both"/>
        <w:rPr>
          <w:b/>
          <w:bCs/>
        </w:rPr>
      </w:pPr>
      <w:r w:rsidRPr="00C40F42">
        <w:t>«</w:t>
      </w:r>
      <w:r>
        <w:rPr>
          <w:b/>
          <w:bCs/>
        </w:rPr>
        <w:t>11.12</w:t>
      </w:r>
      <w:r>
        <w:t xml:space="preserve"> </w:t>
      </w:r>
      <w:r>
        <w:tab/>
      </w:r>
      <w:r>
        <w:rPr>
          <w:b/>
          <w:bCs/>
        </w:rPr>
        <w:t>Переходные положения, применимые к поправкам серии 04</w:t>
      </w:r>
    </w:p>
    <w:p w14:paraId="0E2BF2E6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t>11.12.1</w:t>
      </w:r>
      <w:r>
        <w:t xml:space="preserve"> </w:t>
      </w:r>
      <w:r>
        <w:tab/>
      </w:r>
      <w:r>
        <w:rPr>
          <w:b/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настоящих Правил ООН с поправками серии 04.</w:t>
      </w:r>
    </w:p>
    <w:p w14:paraId="4712103C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t>11.12.2</w:t>
      </w:r>
      <w:r>
        <w:t xml:space="preserve"> </w:t>
      </w:r>
      <w:r>
        <w:tab/>
      </w:r>
      <w:r>
        <w:rPr>
          <w:b/>
          <w:bCs/>
        </w:rPr>
        <w:t>Начиная с [1 сентября 2026 года] Договаривающиеся стороны, применяющие настоящие Правила ООН, не обязаны признавать официальные утверждения типа ООН, предоставленные впервые на основании предыдущих серий поправок после [1 сентября 2026 года].</w:t>
      </w:r>
    </w:p>
    <w:p w14:paraId="1B05ADDC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t>11.12.3</w:t>
      </w:r>
      <w:r>
        <w:tab/>
      </w:r>
      <w:r>
        <w:rPr>
          <w:b/>
          <w:bCs/>
        </w:rPr>
        <w:t>До [1 сентября 2027 года] Договаривающиеся стороны, применяющие настоящие Правила, признают официальные утверждения типа в соответствии с поправками предыдущих серий, предоставленные впервые до [1 сентября 2026 года].</w:t>
      </w:r>
    </w:p>
    <w:p w14:paraId="43EB7F27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t>11.12.4</w:t>
      </w:r>
      <w:r>
        <w:tab/>
      </w:r>
      <w:r>
        <w:rPr>
          <w:b/>
          <w:bCs/>
        </w:rPr>
        <w:t>Начиная с [1 сентября 2027 года]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3C79D7C8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t>11.12.5</w:t>
      </w:r>
      <w:r>
        <w:t xml:space="preserve"> </w:t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которые были предоставлены в соответствии с любой из предыдущих серий поправок к настоящим Правилам ООН.</w:t>
      </w:r>
    </w:p>
    <w:p w14:paraId="2957DA9D" w14:textId="7A2793EF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t>11.12.6</w:t>
      </w:r>
      <w:r>
        <w:t xml:space="preserve"> </w:t>
      </w:r>
      <w:r>
        <w:tab/>
      </w:r>
      <w:r>
        <w:rPr>
          <w:b/>
          <w:bCs/>
        </w:rPr>
        <w:t>Независимо от положений пункта 11.12.2 Договаривающиеся стороны, применяющие настоящие Правила ООН, продолжают признавать официальные утверждения типа ООН, предоставленные или распространенные на основании поправок предыдущих серий к настоящим Правилам ООН в отношении транспортных средств, которые не затронуты изменениями, внесенными на основании поправок серии 04.</w:t>
      </w:r>
    </w:p>
    <w:p w14:paraId="2A6A9366" w14:textId="77777777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b/>
          <w:bCs/>
        </w:rPr>
      </w:pPr>
      <w:r>
        <w:rPr>
          <w:b/>
          <w:bCs/>
        </w:rPr>
        <w:lastRenderedPageBreak/>
        <w:t>11.12.7</w:t>
      </w:r>
      <w:r>
        <w:t xml:space="preserve"> 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  <w:r>
        <w:t xml:space="preserve"> </w:t>
      </w:r>
    </w:p>
    <w:p w14:paraId="55A58C24" w14:textId="348145A4" w:rsidR="00C40F42" w:rsidRPr="004703C2" w:rsidRDefault="00C40F42" w:rsidP="00C40F42">
      <w:pPr>
        <w:tabs>
          <w:tab w:val="left" w:pos="2268"/>
        </w:tabs>
        <w:spacing w:after="120"/>
        <w:ind w:left="2268" w:rightChars="567" w:right="1134" w:hanging="1134"/>
        <w:jc w:val="both"/>
        <w:rPr>
          <w:i/>
          <w:iCs/>
        </w:rPr>
      </w:pPr>
      <w:r>
        <w:rPr>
          <w:b/>
          <w:bCs/>
        </w:rPr>
        <w:t>11.12.8</w:t>
      </w:r>
      <w:r>
        <w:t xml:space="preserve"> 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 w:rsidRPr="00C40F42">
        <w:t>»</w:t>
      </w:r>
      <w:r w:rsidRPr="00C40F42">
        <w:t>.</w:t>
      </w:r>
    </w:p>
    <w:p w14:paraId="12B74B66" w14:textId="77777777" w:rsidR="00C40F42" w:rsidRDefault="00C40F42" w:rsidP="00C40F42">
      <w:pPr>
        <w:pStyle w:val="HChG"/>
      </w:pPr>
      <w:r>
        <w:tab/>
        <w:t>II.</w:t>
      </w:r>
      <w:r>
        <w:tab/>
        <w:t>Обоснование</w:t>
      </w:r>
    </w:p>
    <w:p w14:paraId="1CD43B29" w14:textId="3E08D232" w:rsidR="00C40F42" w:rsidRPr="004703C2" w:rsidRDefault="00C40F42" w:rsidP="00C40F42">
      <w:pPr>
        <w:pStyle w:val="SingleTxtG"/>
        <w:rPr>
          <w:u w:val="single"/>
        </w:rPr>
      </w:pPr>
      <w:r w:rsidRPr="004703C2">
        <w:t>1.</w:t>
      </w:r>
      <w:r w:rsidRPr="004703C2">
        <w:tab/>
      </w:r>
      <w:r>
        <w:t>Во всем мире уровень аварийности моторизованных двухколесных транспортных средств слишком высок, особенно по сравнению с многоколесным автотранспортом. Пассивная безопасность мотоциклов в основном ограничивается средствами индивидуальной защиты. Активная безопасность охватывает рулевое управление, тормоза и, помимо прочего, устройства освещения. Мотоциклы с объемом двигателя до 125 см</w:t>
      </w:r>
      <w:r>
        <w:rPr>
          <w:vertAlign w:val="superscript"/>
        </w:rPr>
        <w:t>3</w:t>
      </w:r>
      <w:r>
        <w:t xml:space="preserve"> развивают максимальную скорость в 80–100 км/ч и выше. Поэтому в целях обеспечения безопасности дорожного движения дорога должна освещаться не меньше, чем в случае мотоциклов с объемом двигателя более 125 см</w:t>
      </w:r>
      <w:r>
        <w:rPr>
          <w:vertAlign w:val="superscript"/>
        </w:rPr>
        <w:t>3</w:t>
      </w:r>
      <w:r>
        <w:t xml:space="preserve">. </w:t>
      </w:r>
    </w:p>
    <w:p w14:paraId="14EE42BA" w14:textId="2673A835" w:rsidR="00C40F42" w:rsidRPr="004703C2" w:rsidRDefault="00C40F42" w:rsidP="00C40F42">
      <w:pPr>
        <w:pStyle w:val="SingleTxtG"/>
      </w:pPr>
      <w:r w:rsidRPr="004703C2">
        <w:t>2.</w:t>
      </w:r>
      <w:r w:rsidRPr="004703C2">
        <w:tab/>
      </w:r>
      <w:r>
        <w:t xml:space="preserve">В документе ECE/TRANS/WP.29/GRE/2021/21 для тихоходных мопедов этот вопрос регулируется сноской следующего содержания: «Фары с модулем СИД класса А, предусмотренного Правилами № 113 ООН, или класса AS, предусмотренного Правилами № 149 ООН, только на транспортных средствах, максимальная расчетная скорость которых не превышает 25 км/ч».  </w:t>
      </w:r>
    </w:p>
    <w:p w14:paraId="1382A134" w14:textId="2BC101ED" w:rsidR="00C40F42" w:rsidRDefault="00C40F42" w:rsidP="00C40F42">
      <w:pPr>
        <w:pStyle w:val="SingleTxtG"/>
      </w:pPr>
      <w:r>
        <w:t>3.</w:t>
      </w:r>
      <w:r>
        <w:tab/>
      </w:r>
      <w:r>
        <w:t>С учетом изложенного в пунктах 1 и 2 выше и в целях повышения безопасности дорожного движения для мотоциклов Германия предлагает исключить фары класса А из Правил № 53 ООН. В том же русле Германия предлагает исключить фары класса BS для мотоциклов из дополнения к поправкам серии 01 к Правилам № 53 ООН.</w:t>
      </w:r>
    </w:p>
    <w:p w14:paraId="6D5569C4" w14:textId="77777777" w:rsidR="00C40F42" w:rsidRDefault="00C40F42" w:rsidP="00C40F42">
      <w:pPr>
        <w:pStyle w:val="HChG"/>
      </w:pPr>
      <w:r>
        <w:br w:type="page"/>
      </w:r>
    </w:p>
    <w:p w14:paraId="61686BE2" w14:textId="00C77A38" w:rsidR="00C40F42" w:rsidRPr="004703C2" w:rsidRDefault="00C40F42" w:rsidP="00C40F42">
      <w:pPr>
        <w:pStyle w:val="HChG"/>
      </w:pPr>
      <w:r w:rsidRPr="003B7557">
        <w:rPr>
          <w:iCs/>
          <w:noProof/>
          <w:color w:val="000000" w:themeColor="text1"/>
          <w:kern w:val="24"/>
          <w:sz w:val="18"/>
          <w:szCs w:val="1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7D336" wp14:editId="625E89FE">
                <wp:simplePos x="0" y="0"/>
                <wp:positionH relativeFrom="margin">
                  <wp:posOffset>3637915</wp:posOffset>
                </wp:positionH>
                <wp:positionV relativeFrom="paragraph">
                  <wp:posOffset>682625</wp:posOffset>
                </wp:positionV>
                <wp:extent cx="2360930" cy="1404620"/>
                <wp:effectExtent l="0" t="0" r="2032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6F1E" w14:textId="3498D023" w:rsidR="00C40F42" w:rsidRPr="004703C2" w:rsidRDefault="00C40F42" w:rsidP="00C40F42">
                            <w:r>
                              <w:t>Минимальные рабочие характеристики классов A и BS значительно хуже, чем у класса B, причем во многих аспектах не достигается даже 50</w:t>
                            </w:r>
                            <w:r w:rsidR="008B36E7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t>% от показателей класса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D3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.45pt;margin-top:53.7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">
                <v:textbox style="mso-fit-shape-to-text:t">
                  <w:txbxContent>
                    <w:p w14:paraId="150A6F1E" w14:textId="3498D023" w:rsidR="00C40F42" w:rsidRPr="004703C2" w:rsidRDefault="00C40F42" w:rsidP="00C40F42">
                      <w:r>
                        <w:t>Минимальные рабочие характеристики классов A и BS значительно хуже, чем у класса B, причем во многих аспектах не достигается даже 50</w:t>
                      </w:r>
                      <w:r w:rsidR="008B36E7">
                        <w:rPr>
                          <w:lang w:val="en-US"/>
                        </w:rPr>
                        <w:t> </w:t>
                      </w:r>
                      <w:r>
                        <w:t>% от показателей класса 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>III.</w:t>
      </w:r>
      <w:r>
        <w:tab/>
      </w:r>
      <w:r>
        <w:tab/>
        <w:t xml:space="preserve">Выдержка из проекта поправок серии 01 </w:t>
      </w:r>
      <w:r>
        <w:br/>
      </w:r>
      <w:r>
        <w:t>к Правилам № 149 ООН (устройства освещения дороги) (ECE/TRANS/WP.29/GRE/2021/14)</w:t>
      </w:r>
    </w:p>
    <w:p w14:paraId="7DFFA360" w14:textId="514A9090" w:rsidR="00C40F42" w:rsidRPr="00D94E50" w:rsidRDefault="00C40F42" w:rsidP="00C40F42">
      <w:pPr>
        <w:pStyle w:val="HChG"/>
        <w:spacing w:before="0" w:after="120" w:line="240" w:lineRule="atLeast"/>
        <w:ind w:left="2268"/>
        <w:rPr>
          <w:b w:val="0"/>
          <w:sz w:val="20"/>
        </w:rPr>
      </w:pPr>
      <w:bookmarkStart w:id="0" w:name="_Hlk78276159"/>
      <w:r>
        <w:rPr>
          <w:b w:val="0"/>
          <w:sz w:val="20"/>
        </w:rPr>
        <w:t>«</w:t>
      </w:r>
      <w:r w:rsidRPr="00D94E50">
        <w:rPr>
          <w:b w:val="0"/>
          <w:sz w:val="20"/>
        </w:rPr>
        <w:t>5.1.4</w:t>
      </w:r>
      <w:r w:rsidRPr="00D94E50">
        <w:rPr>
          <w:b w:val="0"/>
          <w:sz w:val="20"/>
        </w:rPr>
        <w:tab/>
        <w:t xml:space="preserve">Распределение силы света в луче дальнего света со ссылкой на </w:t>
      </w:r>
      <w:r w:rsidR="008B36E7">
        <w:rPr>
          <w:b w:val="0"/>
          <w:sz w:val="20"/>
        </w:rPr>
        <w:br/>
      </w:r>
      <w:r w:rsidRPr="00D94E50">
        <w:rPr>
          <w:b w:val="0"/>
          <w:sz w:val="20"/>
        </w:rPr>
        <w:t>рис.</w:t>
      </w:r>
      <w:r w:rsidR="008B36E7" w:rsidRPr="008B36E7">
        <w:rPr>
          <w:b w:val="0"/>
          <w:sz w:val="20"/>
        </w:rPr>
        <w:t xml:space="preserve"> </w:t>
      </w:r>
      <w:r w:rsidRPr="00D94E50">
        <w:rPr>
          <w:b w:val="0"/>
          <w:sz w:val="20"/>
        </w:rPr>
        <w:t>A4-II, A4-III или A4-IV должно соответствовать требованиям таблицы 5.</w:t>
      </w:r>
      <w:bookmarkEnd w:id="0"/>
    </w:p>
    <w:p w14:paraId="0EA527B5" w14:textId="67E041E7" w:rsidR="00C40F42" w:rsidRPr="004703C2" w:rsidRDefault="008B36E7" w:rsidP="008B36E7">
      <w:pPr>
        <w:pStyle w:val="H23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26C0" wp14:editId="3055153F">
                <wp:simplePos x="0" y="0"/>
                <wp:positionH relativeFrom="column">
                  <wp:posOffset>4451985</wp:posOffset>
                </wp:positionH>
                <wp:positionV relativeFrom="paragraph">
                  <wp:posOffset>77506</wp:posOffset>
                </wp:positionV>
                <wp:extent cx="1474398" cy="2092313"/>
                <wp:effectExtent l="38100" t="19050" r="31115" b="41910"/>
                <wp:wrapNone/>
                <wp:docPr id="4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4398" cy="2092313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7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50.55pt;margin-top:6.1pt;width:116.1pt;height:16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" strokecolor="windowText" strokeweight="2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0CB22" wp14:editId="1AF4D845">
                <wp:simplePos x="0" y="0"/>
                <wp:positionH relativeFrom="column">
                  <wp:posOffset>2931759</wp:posOffset>
                </wp:positionH>
                <wp:positionV relativeFrom="paragraph">
                  <wp:posOffset>51435</wp:posOffset>
                </wp:positionV>
                <wp:extent cx="1848210" cy="2322926"/>
                <wp:effectExtent l="38100" t="19050" r="19050" b="3937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8210" cy="2322926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DFC5" id="Gerade Verbindung mit Pfeil 11" o:spid="_x0000_s1026" type="#_x0000_t32" style="position:absolute;margin-left:230.85pt;margin-top:4.05pt;width:145.55pt;height:182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" strokecolor="black [3040]" strokeweight="2.5pt">
                <v:stroke endarrow="block"/>
              </v:shape>
            </w:pict>
          </mc:Fallback>
        </mc:AlternateContent>
      </w:r>
      <w:r>
        <w:tab/>
      </w:r>
      <w:r w:rsidRPr="008B36E7">
        <w:rPr>
          <w:b w:val="0"/>
          <w:bCs/>
        </w:rPr>
        <w:tab/>
      </w:r>
      <w:r w:rsidRPr="008B36E7">
        <w:rPr>
          <w:b w:val="0"/>
          <w:bCs/>
        </w:rPr>
        <w:tab/>
      </w:r>
      <w:r w:rsidR="00C40F42" w:rsidRPr="008B36E7">
        <w:rPr>
          <w:b w:val="0"/>
          <w:bCs/>
        </w:rPr>
        <w:t xml:space="preserve">Таблица 5 </w:t>
      </w:r>
      <w:r>
        <w:br/>
      </w:r>
      <w:r w:rsidR="00C40F42">
        <w:t>Фотометрические требования для официального утверждения типа луча дальнего света</w:t>
      </w:r>
    </w:p>
    <w:tbl>
      <w:tblPr>
        <w:tblStyle w:val="ac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774"/>
        <w:gridCol w:w="971"/>
        <w:gridCol w:w="1064"/>
        <w:gridCol w:w="854"/>
        <w:gridCol w:w="824"/>
        <w:gridCol w:w="1079"/>
        <w:gridCol w:w="826"/>
        <w:gridCol w:w="1092"/>
        <w:gridCol w:w="1020"/>
      </w:tblGrid>
      <w:tr w:rsidR="00C40F42" w:rsidRPr="008B36E7" w14:paraId="7E750107" w14:textId="77777777" w:rsidTr="008B36E7">
        <w:trPr>
          <w:trHeight w:val="253"/>
        </w:trPr>
        <w:tc>
          <w:tcPr>
            <w:tcW w:w="774" w:type="dxa"/>
            <w:vMerge w:val="restart"/>
            <w:vAlign w:val="center"/>
          </w:tcPr>
          <w:p w14:paraId="70F1109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2035" w:type="dxa"/>
            <w:gridSpan w:val="2"/>
            <w:vAlign w:val="center"/>
          </w:tcPr>
          <w:p w14:paraId="4D260F7C" w14:textId="57C9C7B6" w:rsidR="00C40F42" w:rsidRPr="008B36E7" w:rsidRDefault="00C40F42" w:rsidP="008B36E7">
            <w:pPr>
              <w:pStyle w:val="1"/>
              <w:spacing w:before="20" w:after="20"/>
              <w:jc w:val="center"/>
              <w:outlineLvl w:val="0"/>
              <w:rPr>
                <w:rFonts w:eastAsia="HGSGothicM"/>
                <w:b w:val="0"/>
                <w:bCs w:val="0"/>
                <w:i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Угловые координаты</w:t>
            </w:r>
            <w:r w:rsidR="008B36E7" w:rsidRPr="008B36E7">
              <w:rPr>
                <w:b w:val="0"/>
                <w:bCs w:val="0"/>
                <w:i/>
                <w:iCs/>
                <w:sz w:val="16"/>
                <w:szCs w:val="16"/>
              </w:rPr>
              <w:br/>
            </w: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в град.</w:t>
            </w:r>
          </w:p>
        </w:tc>
        <w:tc>
          <w:tcPr>
            <w:tcW w:w="5695" w:type="dxa"/>
            <w:gridSpan w:val="6"/>
            <w:tcBorders>
              <w:bottom w:val="single" w:sz="4" w:space="0" w:color="auto"/>
            </w:tcBorders>
            <w:vAlign w:val="center"/>
          </w:tcPr>
          <w:p w14:paraId="482CEC60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Минимальная сила света в кд</w:t>
            </w:r>
          </w:p>
        </w:tc>
      </w:tr>
      <w:tr w:rsidR="008B36E7" w:rsidRPr="008B36E7" w14:paraId="57FB8060" w14:textId="77777777" w:rsidTr="008B36E7">
        <w:trPr>
          <w:trHeight w:val="253"/>
        </w:trPr>
        <w:tc>
          <w:tcPr>
            <w:tcW w:w="774" w:type="dxa"/>
            <w:vMerge/>
            <w:vAlign w:val="center"/>
          </w:tcPr>
          <w:p w14:paraId="69B567CC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71" w:type="dxa"/>
          </w:tcPr>
          <w:p w14:paraId="6F5BD97E" w14:textId="7EC3423D" w:rsidR="00C40F42" w:rsidRPr="008B36E7" w:rsidRDefault="008B36E7" w:rsidP="008B36E7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по</w:t>
            </w: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br/>
              <w:t>вертикали</w:t>
            </w:r>
          </w:p>
        </w:tc>
        <w:tc>
          <w:tcPr>
            <w:tcW w:w="1064" w:type="dxa"/>
          </w:tcPr>
          <w:p w14:paraId="31B3B58E" w14:textId="17A6E1FA" w:rsidR="00C40F42" w:rsidRPr="008B36E7" w:rsidRDefault="008B36E7" w:rsidP="008B36E7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по</w:t>
            </w: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br/>
              <w:t>горизонтали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648C8F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kern w:val="24"/>
                <w:sz w:val="16"/>
                <w:szCs w:val="16"/>
                <w:highlight w:val="yellow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  <w:highlight w:val="yellow"/>
              </w:rPr>
              <w:t>Класс А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4151ED3E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kern w:val="24"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Класс В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7F072AA0" w14:textId="1BC0FB81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Класс RA (вспомога</w:t>
            </w:r>
            <w:r w:rsidR="008B36E7" w:rsidRPr="008B36E7">
              <w:rPr>
                <w:b w:val="0"/>
                <w:bCs w:val="0"/>
                <w:i/>
                <w:iCs/>
                <w:sz w:val="16"/>
                <w:szCs w:val="16"/>
              </w:rPr>
              <w:t>-</w:t>
            </w: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тельный)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50FB4ACA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  <w:highlight w:val="yellow"/>
              </w:rPr>
              <w:t>Класс ВS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5370FB3A" w14:textId="3C2A13B9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Класс CS</w:t>
            </w:r>
            <w:r w:rsidR="008B36E7" w:rsidRPr="008B36E7">
              <w:rPr>
                <w:b w:val="0"/>
                <w:bCs w:val="0"/>
                <w:i/>
                <w:iCs/>
                <w:sz w:val="16"/>
                <w:szCs w:val="16"/>
              </w:rPr>
              <w:br/>
            </w: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(вторичный)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062C3BA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/>
                <w:sz w:val="16"/>
                <w:szCs w:val="16"/>
              </w:rPr>
            </w:pPr>
            <w:r w:rsidRPr="008B36E7">
              <w:rPr>
                <w:b w:val="0"/>
                <w:bCs w:val="0"/>
                <w:i/>
                <w:iCs/>
                <w:sz w:val="16"/>
                <w:szCs w:val="16"/>
              </w:rPr>
              <w:t>Класс DS (вторичный)</w:t>
            </w:r>
          </w:p>
        </w:tc>
      </w:tr>
      <w:tr w:rsidR="008B36E7" w:rsidRPr="008B36E7" w14:paraId="21E07D3E" w14:textId="77777777" w:rsidTr="008B36E7">
        <w:trPr>
          <w:trHeight w:val="253"/>
        </w:trPr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6678B97D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2U-V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070EFB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2°U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14:paraId="47A90A42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3AFB6A7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5A2FD43B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1,70∙10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77EDD171" w14:textId="565ED9FC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7988DF79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12F215E1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1,00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6C3E020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1,70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8B36E7" w:rsidRPr="008B36E7" w14:paraId="310B3391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3C317E14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H-12L</w:t>
            </w:r>
          </w:p>
        </w:tc>
        <w:tc>
          <w:tcPr>
            <w:tcW w:w="971" w:type="dxa"/>
            <w:vAlign w:val="center"/>
          </w:tcPr>
          <w:p w14:paraId="51BE94D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1760D23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12°L</w:t>
            </w:r>
          </w:p>
        </w:tc>
        <w:tc>
          <w:tcPr>
            <w:tcW w:w="854" w:type="dxa"/>
            <w:vAlign w:val="center"/>
          </w:tcPr>
          <w:p w14:paraId="786CBD0D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6,00∙10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824" w:type="dxa"/>
            <w:vAlign w:val="center"/>
          </w:tcPr>
          <w:p w14:paraId="7E9D8358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1,50∙10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7BC4CF43" w14:textId="4096C46C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485026C4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092" w:type="dxa"/>
            <w:vAlign w:val="center"/>
          </w:tcPr>
          <w:p w14:paraId="45EBF68F" w14:textId="00F52061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20" w:type="dxa"/>
            <w:vAlign w:val="center"/>
          </w:tcPr>
          <w:p w14:paraId="085E9F20" w14:textId="58FA9CB4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</w:tr>
      <w:tr w:rsidR="008B36E7" w:rsidRPr="008B36E7" w14:paraId="4A86A24F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15C60A3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H-9L</w:t>
            </w:r>
          </w:p>
        </w:tc>
        <w:tc>
          <w:tcPr>
            <w:tcW w:w="971" w:type="dxa"/>
            <w:vAlign w:val="center"/>
          </w:tcPr>
          <w:p w14:paraId="6982667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4AA30EC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9°L</w:t>
            </w:r>
          </w:p>
        </w:tc>
        <w:tc>
          <w:tcPr>
            <w:tcW w:w="854" w:type="dxa"/>
            <w:vAlign w:val="center"/>
          </w:tcPr>
          <w:p w14:paraId="6C7A865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24" w:type="dxa"/>
            <w:vAlign w:val="center"/>
          </w:tcPr>
          <w:p w14:paraId="33808B3A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3,40∙10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6569FED1" w14:textId="5097D1CD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2E61947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092" w:type="dxa"/>
            <w:vAlign w:val="center"/>
          </w:tcPr>
          <w:p w14:paraId="708921FF" w14:textId="2BCC3E32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20" w:type="dxa"/>
            <w:vAlign w:val="center"/>
          </w:tcPr>
          <w:p w14:paraId="57EA1724" w14:textId="64CC07BC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</w:tr>
      <w:tr w:rsidR="008B36E7" w:rsidRPr="008B36E7" w14:paraId="38F44DDC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2A0D8F8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H-6L</w:t>
            </w:r>
          </w:p>
        </w:tc>
        <w:tc>
          <w:tcPr>
            <w:tcW w:w="971" w:type="dxa"/>
            <w:vAlign w:val="center"/>
          </w:tcPr>
          <w:p w14:paraId="6549392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4521EBE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6°L</w:t>
            </w:r>
          </w:p>
        </w:tc>
        <w:tc>
          <w:tcPr>
            <w:tcW w:w="854" w:type="dxa"/>
            <w:vAlign w:val="center"/>
          </w:tcPr>
          <w:p w14:paraId="4163BDE2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3,40∙10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24" w:type="dxa"/>
            <w:vAlign w:val="center"/>
          </w:tcPr>
          <w:p w14:paraId="2A784D1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5,00∙10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6432117E" w14:textId="08459AA6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6FD5FA11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2,50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92" w:type="dxa"/>
            <w:vAlign w:val="center"/>
          </w:tcPr>
          <w:p w14:paraId="7EE76292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3,40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14:paraId="0DBD79B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5,00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8B36E7" w:rsidRPr="008B36E7" w14:paraId="7F4F5BF8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0F5BB09D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H-3L</w:t>
            </w:r>
          </w:p>
        </w:tc>
        <w:tc>
          <w:tcPr>
            <w:tcW w:w="971" w:type="dxa"/>
            <w:vAlign w:val="center"/>
          </w:tcPr>
          <w:p w14:paraId="4B9339A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6A175B2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3°L</w:t>
            </w:r>
          </w:p>
        </w:tc>
        <w:tc>
          <w:tcPr>
            <w:tcW w:w="854" w:type="dxa"/>
            <w:vAlign w:val="center"/>
          </w:tcPr>
          <w:p w14:paraId="1D1032A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1,20∙10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824" w:type="dxa"/>
            <w:vAlign w:val="center"/>
          </w:tcPr>
          <w:p w14:paraId="1173B11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1,75∙10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79" w:type="dxa"/>
            <w:vAlign w:val="center"/>
          </w:tcPr>
          <w:p w14:paraId="1E5EA930" w14:textId="71162D9E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308D4F62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9,00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92" w:type="dxa"/>
            <w:vAlign w:val="center"/>
          </w:tcPr>
          <w:p w14:paraId="382B3E3D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1,20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0" w:type="dxa"/>
            <w:vAlign w:val="center"/>
          </w:tcPr>
          <w:p w14:paraId="6DFF899E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1,75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8B36E7" w:rsidRPr="008B36E7" w14:paraId="1D1A0C4B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228836C0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H-V</w:t>
            </w:r>
            <w:r w:rsidRPr="008B36E7">
              <w:rPr>
                <w:b w:val="0"/>
                <w:bCs w:val="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71" w:type="dxa"/>
            <w:vAlign w:val="center"/>
          </w:tcPr>
          <w:p w14:paraId="5EA92EC0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1B73752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854" w:type="dxa"/>
            <w:vAlign w:val="center"/>
          </w:tcPr>
          <w:p w14:paraId="37617D1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0,8×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I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vertAlign w:val="subscript"/>
              </w:rPr>
              <w:t>макс.</w:t>
            </w:r>
          </w:p>
        </w:tc>
        <w:tc>
          <w:tcPr>
            <w:tcW w:w="824" w:type="dxa"/>
            <w:vAlign w:val="center"/>
          </w:tcPr>
          <w:p w14:paraId="32085F6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0,8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×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 xml:space="preserve"> I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vertAlign w:val="subscript"/>
              </w:rPr>
              <w:t>макс.</w:t>
            </w:r>
          </w:p>
        </w:tc>
        <w:tc>
          <w:tcPr>
            <w:tcW w:w="1079" w:type="dxa"/>
            <w:vAlign w:val="center"/>
          </w:tcPr>
          <w:p w14:paraId="0640C4EB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0,8×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 xml:space="preserve"> I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vertAlign w:val="subscript"/>
              </w:rPr>
              <w:t>макс.</w:t>
            </w:r>
          </w:p>
        </w:tc>
        <w:tc>
          <w:tcPr>
            <w:tcW w:w="826" w:type="dxa"/>
            <w:vAlign w:val="center"/>
          </w:tcPr>
          <w:p w14:paraId="7DCF1E52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1,60∙10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1092" w:type="dxa"/>
            <w:vAlign w:val="center"/>
          </w:tcPr>
          <w:p w14:paraId="0DCB1D6A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0" w:type="dxa"/>
            <w:vAlign w:val="center"/>
          </w:tcPr>
          <w:p w14:paraId="44341518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8B36E7" w:rsidRPr="008B36E7" w14:paraId="0EFA2B44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0B56532B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H-3R</w:t>
            </w:r>
          </w:p>
        </w:tc>
        <w:tc>
          <w:tcPr>
            <w:tcW w:w="971" w:type="dxa"/>
            <w:vAlign w:val="center"/>
          </w:tcPr>
          <w:p w14:paraId="09C15BC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59E9F1B9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3°R</w:t>
            </w:r>
          </w:p>
        </w:tc>
        <w:tc>
          <w:tcPr>
            <w:tcW w:w="854" w:type="dxa"/>
            <w:vAlign w:val="center"/>
          </w:tcPr>
          <w:p w14:paraId="7EEB34A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1,20∙10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824" w:type="dxa"/>
            <w:vAlign w:val="center"/>
          </w:tcPr>
          <w:p w14:paraId="204FBA78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1,75∙10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79" w:type="dxa"/>
            <w:vAlign w:val="center"/>
          </w:tcPr>
          <w:p w14:paraId="2DB1524E" w14:textId="575FB46F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06AF4378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9,00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92" w:type="dxa"/>
            <w:vAlign w:val="center"/>
          </w:tcPr>
          <w:p w14:paraId="0CBC10DD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1,20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0" w:type="dxa"/>
            <w:vAlign w:val="center"/>
          </w:tcPr>
          <w:p w14:paraId="25DF9F9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1,75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8B36E7" w:rsidRPr="008B36E7" w14:paraId="3E2F0755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2E5A872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H-6R</w:t>
            </w:r>
          </w:p>
        </w:tc>
        <w:tc>
          <w:tcPr>
            <w:tcW w:w="971" w:type="dxa"/>
            <w:vAlign w:val="center"/>
          </w:tcPr>
          <w:p w14:paraId="61FFA68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27A46E3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6°R</w:t>
            </w:r>
          </w:p>
        </w:tc>
        <w:tc>
          <w:tcPr>
            <w:tcW w:w="854" w:type="dxa"/>
            <w:vAlign w:val="center"/>
          </w:tcPr>
          <w:p w14:paraId="6A24563E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3,40∙10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24" w:type="dxa"/>
            <w:vAlign w:val="center"/>
          </w:tcPr>
          <w:p w14:paraId="0F0D7FD0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5,00∙10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13ED08A3" w14:textId="6EC2F532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0770FFEE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2,50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92" w:type="dxa"/>
            <w:vAlign w:val="center"/>
          </w:tcPr>
          <w:p w14:paraId="1516EF1B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3,40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14:paraId="2BDFA7A4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5,00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8B36E7" w:rsidRPr="008B36E7" w14:paraId="24F17A32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2D393008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H-9R</w:t>
            </w:r>
          </w:p>
        </w:tc>
        <w:tc>
          <w:tcPr>
            <w:tcW w:w="971" w:type="dxa"/>
            <w:vAlign w:val="center"/>
          </w:tcPr>
          <w:p w14:paraId="05F468D1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0C65DF7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9°R</w:t>
            </w:r>
          </w:p>
        </w:tc>
        <w:tc>
          <w:tcPr>
            <w:tcW w:w="854" w:type="dxa"/>
            <w:vAlign w:val="center"/>
          </w:tcPr>
          <w:p w14:paraId="3B3A7AEC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24" w:type="dxa"/>
            <w:vAlign w:val="center"/>
          </w:tcPr>
          <w:p w14:paraId="4D8A8D65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3,40∙10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575F377A" w14:textId="62E789BB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7AE030B6" w14:textId="0E7BDA6A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</w:rPr>
              <w:t>–</w:t>
            </w:r>
          </w:p>
        </w:tc>
        <w:tc>
          <w:tcPr>
            <w:tcW w:w="1092" w:type="dxa"/>
            <w:vAlign w:val="center"/>
          </w:tcPr>
          <w:p w14:paraId="05B9BDD1" w14:textId="31E005B1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20" w:type="dxa"/>
            <w:vAlign w:val="center"/>
          </w:tcPr>
          <w:p w14:paraId="41B3AC9A" w14:textId="728788DB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</w:tr>
      <w:tr w:rsidR="008B36E7" w:rsidRPr="008B36E7" w14:paraId="32569DA0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5EE9995E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H-12R</w:t>
            </w:r>
          </w:p>
        </w:tc>
        <w:tc>
          <w:tcPr>
            <w:tcW w:w="971" w:type="dxa"/>
            <w:vAlign w:val="center"/>
          </w:tcPr>
          <w:p w14:paraId="42AD96B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1064" w:type="dxa"/>
            <w:vAlign w:val="center"/>
          </w:tcPr>
          <w:p w14:paraId="187CF0E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12°R</w:t>
            </w:r>
          </w:p>
        </w:tc>
        <w:tc>
          <w:tcPr>
            <w:tcW w:w="854" w:type="dxa"/>
            <w:vAlign w:val="center"/>
          </w:tcPr>
          <w:p w14:paraId="0C33C89C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6,00∙10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824" w:type="dxa"/>
            <w:vAlign w:val="center"/>
          </w:tcPr>
          <w:p w14:paraId="39A3BC99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1,50∙10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59870EB3" w14:textId="0EEA786A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26" w:type="dxa"/>
            <w:vAlign w:val="center"/>
          </w:tcPr>
          <w:p w14:paraId="2D4BD00E" w14:textId="2ADCB4F4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</w:rPr>
              <w:t>–</w:t>
            </w:r>
          </w:p>
        </w:tc>
        <w:tc>
          <w:tcPr>
            <w:tcW w:w="1092" w:type="dxa"/>
            <w:vAlign w:val="center"/>
          </w:tcPr>
          <w:p w14:paraId="5079798F" w14:textId="1435B1CB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20" w:type="dxa"/>
            <w:vAlign w:val="center"/>
          </w:tcPr>
          <w:p w14:paraId="5F393FEF" w14:textId="3C3C38DD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</w:tr>
      <w:tr w:rsidR="008B36E7" w:rsidRPr="008B36E7" w14:paraId="6B44D1DE" w14:textId="77777777" w:rsidTr="008B36E7">
        <w:trPr>
          <w:trHeight w:val="253"/>
        </w:trPr>
        <w:tc>
          <w:tcPr>
            <w:tcW w:w="774" w:type="dxa"/>
            <w:vAlign w:val="center"/>
          </w:tcPr>
          <w:p w14:paraId="3FE9C8E2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I</w:t>
            </w: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  <w:vertAlign w:val="subscript"/>
              </w:rPr>
              <w:t>макс.</w:t>
            </w:r>
          </w:p>
        </w:tc>
        <w:tc>
          <w:tcPr>
            <w:tcW w:w="971" w:type="dxa"/>
            <w:vAlign w:val="center"/>
          </w:tcPr>
          <w:p w14:paraId="06CC6411" w14:textId="6448D524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64" w:type="dxa"/>
            <w:vAlign w:val="center"/>
          </w:tcPr>
          <w:p w14:paraId="6A278B1C" w14:textId="1E5B52F5" w:rsidR="00C40F42" w:rsidRPr="008B36E7" w:rsidRDefault="008B36E7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54" w:type="dxa"/>
            <w:vAlign w:val="center"/>
          </w:tcPr>
          <w:p w14:paraId="0A108E1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2,70∙10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824" w:type="dxa"/>
            <w:vAlign w:val="center"/>
          </w:tcPr>
          <w:p w14:paraId="38279E76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4,00∙10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79" w:type="dxa"/>
            <w:vAlign w:val="center"/>
          </w:tcPr>
          <w:p w14:paraId="62F6DEBF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826" w:type="dxa"/>
            <w:vAlign w:val="center"/>
          </w:tcPr>
          <w:p w14:paraId="33CC22F9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1092" w:type="dxa"/>
            <w:vAlign w:val="center"/>
          </w:tcPr>
          <w:p w14:paraId="39667F47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2,70∙10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0" w:type="dxa"/>
            <w:vAlign w:val="center"/>
          </w:tcPr>
          <w:p w14:paraId="2C2D91F3" w14:textId="77777777" w:rsidR="00C40F42" w:rsidRPr="008B36E7" w:rsidRDefault="00C40F42" w:rsidP="007A2058">
            <w:pPr>
              <w:pStyle w:val="1"/>
              <w:spacing w:before="20" w:after="20"/>
              <w:jc w:val="center"/>
              <w:outlineLvl w:val="0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4,00∙10</w:t>
            </w:r>
            <w:r w:rsidRPr="008B36E7">
              <w:rPr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</w:tbl>
    <w:p w14:paraId="4A343380" w14:textId="74C88F6E" w:rsidR="00C40F42" w:rsidRPr="00C40F42" w:rsidRDefault="00C40F42" w:rsidP="00C40F42">
      <w:pPr>
        <w:tabs>
          <w:tab w:val="left" w:pos="1276"/>
        </w:tabs>
        <w:suppressAutoHyphens w:val="0"/>
        <w:autoSpaceDE w:val="0"/>
        <w:autoSpaceDN w:val="0"/>
        <w:adjustRightInd w:val="0"/>
        <w:spacing w:before="120" w:line="240" w:lineRule="auto"/>
        <w:ind w:left="1418" w:right="709" w:hanging="284"/>
        <w:rPr>
          <w:sz w:val="16"/>
          <w:szCs w:val="16"/>
        </w:rPr>
      </w:pPr>
      <w:r>
        <w:rPr>
          <w:i/>
          <w:iCs/>
          <w:sz w:val="18"/>
          <w:szCs w:val="20"/>
        </w:rPr>
        <w:tab/>
      </w:r>
      <w:r w:rsidRPr="00C40F42">
        <w:rPr>
          <w:i/>
          <w:iCs/>
          <w:sz w:val="18"/>
          <w:szCs w:val="20"/>
        </w:rPr>
        <w:t>Примечания:</w:t>
      </w:r>
      <w:r w:rsidRPr="00C40F42">
        <w:rPr>
          <w:sz w:val="18"/>
          <w:szCs w:val="20"/>
        </w:rPr>
        <w:t xml:space="preserve"> В таблице 5:</w:t>
      </w:r>
    </w:p>
    <w:p w14:paraId="4FA88719" w14:textId="77777777" w:rsidR="00C40F42" w:rsidRPr="00C40F42" w:rsidRDefault="00C40F42" w:rsidP="00C40F42">
      <w:pPr>
        <w:tabs>
          <w:tab w:val="left" w:pos="1276"/>
        </w:tabs>
        <w:spacing w:after="120"/>
        <w:ind w:left="1134" w:right="709"/>
        <w:rPr>
          <w:sz w:val="16"/>
          <w:szCs w:val="16"/>
        </w:rPr>
      </w:pPr>
      <w:r w:rsidRPr="00C40F42">
        <w:rPr>
          <w:sz w:val="18"/>
          <w:szCs w:val="20"/>
          <w:vertAlign w:val="superscript"/>
        </w:rPr>
        <w:t>a</w:t>
      </w:r>
      <w:r w:rsidRPr="00C40F42">
        <w:rPr>
          <w:sz w:val="18"/>
          <w:szCs w:val="20"/>
        </w:rPr>
        <w:tab/>
        <w:t xml:space="preserve">В случае комплектной пары доля каждого огня в точке H-V должна составлять не менее 40 % от требуемого минимального значения </w:t>
      </w:r>
      <w:r w:rsidRPr="00C40F42">
        <w:rPr>
          <w:iCs/>
          <w:color w:val="000000" w:themeColor="text1"/>
          <w:sz w:val="16"/>
          <w:szCs w:val="16"/>
          <w:lang w:val="en-US"/>
        </w:rPr>
        <w:t>I</w:t>
      </w:r>
      <w:r w:rsidRPr="00C40F42">
        <w:rPr>
          <w:iCs/>
          <w:color w:val="000000" w:themeColor="text1"/>
          <w:sz w:val="16"/>
          <w:szCs w:val="16"/>
          <w:vertAlign w:val="subscript"/>
        </w:rPr>
        <w:t>макс.</w:t>
      </w:r>
      <w:r w:rsidRPr="00C40F42">
        <w:rPr>
          <w:sz w:val="18"/>
          <w:szCs w:val="20"/>
        </w:rPr>
        <w:t>, луча соответствующего класса</w:t>
      </w:r>
      <w:r w:rsidRPr="007E26AA">
        <w:t>».</w:t>
      </w:r>
    </w:p>
    <w:p w14:paraId="0F539C82" w14:textId="77777777" w:rsidR="00C40F42" w:rsidRPr="004703C2" w:rsidRDefault="00C40F42" w:rsidP="00C40F42">
      <w:pPr>
        <w:pStyle w:val="endnotetable"/>
        <w:spacing w:before="240" w:line="240" w:lineRule="atLeast"/>
        <w:ind w:firstLine="0"/>
        <w:jc w:val="center"/>
        <w:rPr>
          <w:b/>
          <w:lang w:val="ru-RU" w:eastAsia="it-IT"/>
        </w:rPr>
      </w:pPr>
      <w:r w:rsidRPr="004703C2">
        <w:rPr>
          <w:u w:val="single"/>
          <w:lang w:val="ru-RU"/>
        </w:rPr>
        <w:tab/>
      </w:r>
      <w:r w:rsidRPr="004703C2">
        <w:rPr>
          <w:u w:val="single"/>
          <w:lang w:val="ru-RU"/>
        </w:rPr>
        <w:tab/>
      </w:r>
      <w:r w:rsidRPr="004703C2">
        <w:rPr>
          <w:u w:val="single"/>
          <w:lang w:val="ru-RU"/>
        </w:rPr>
        <w:tab/>
      </w:r>
      <w:r w:rsidRPr="004703C2">
        <w:rPr>
          <w:u w:val="single"/>
          <w:lang w:val="ru-RU"/>
        </w:rPr>
        <w:tab/>
      </w:r>
    </w:p>
    <w:p w14:paraId="43E586F6" w14:textId="77777777" w:rsidR="00E12C5F" w:rsidRPr="00B40901" w:rsidRDefault="00E12C5F" w:rsidP="00D9145B">
      <w:pPr>
        <w:rPr>
          <w:lang w:val="en-US"/>
        </w:rPr>
      </w:pPr>
    </w:p>
    <w:sectPr w:rsidR="00E12C5F" w:rsidRPr="00B40901" w:rsidSect="00C40F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7B60" w14:textId="77777777" w:rsidR="00B90742" w:rsidRPr="00A312BC" w:rsidRDefault="00B90742" w:rsidP="00A312BC"/>
  </w:endnote>
  <w:endnote w:type="continuationSeparator" w:id="0">
    <w:p w14:paraId="25DA9C2D" w14:textId="77777777" w:rsidR="00B90742" w:rsidRPr="00A312BC" w:rsidRDefault="00B907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CB49" w14:textId="1D55AF46" w:rsidR="00C40F42" w:rsidRPr="00C40F42" w:rsidRDefault="00C40F42">
    <w:pPr>
      <w:pStyle w:val="a8"/>
    </w:pPr>
    <w:r w:rsidRPr="00C40F42">
      <w:rPr>
        <w:b/>
        <w:sz w:val="18"/>
      </w:rPr>
      <w:fldChar w:fldCharType="begin"/>
    </w:r>
    <w:r w:rsidRPr="00C40F42">
      <w:rPr>
        <w:b/>
        <w:sz w:val="18"/>
      </w:rPr>
      <w:instrText xml:space="preserve"> PAGE  \* MERGEFORMAT </w:instrText>
    </w:r>
    <w:r w:rsidRPr="00C40F42">
      <w:rPr>
        <w:b/>
        <w:sz w:val="18"/>
      </w:rPr>
      <w:fldChar w:fldCharType="separate"/>
    </w:r>
    <w:r w:rsidRPr="00C40F42">
      <w:rPr>
        <w:b/>
        <w:noProof/>
        <w:sz w:val="18"/>
      </w:rPr>
      <w:t>2</w:t>
    </w:r>
    <w:r w:rsidRPr="00C40F42">
      <w:rPr>
        <w:b/>
        <w:sz w:val="18"/>
      </w:rPr>
      <w:fldChar w:fldCharType="end"/>
    </w:r>
    <w:r>
      <w:rPr>
        <w:b/>
        <w:sz w:val="18"/>
      </w:rPr>
      <w:tab/>
    </w:r>
    <w:r>
      <w:t>GE.22-01301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09F2" w14:textId="026C02A5" w:rsidR="00C40F42" w:rsidRPr="00C40F42" w:rsidRDefault="00C40F42" w:rsidP="00C40F42">
    <w:pPr>
      <w:pStyle w:val="a8"/>
      <w:tabs>
        <w:tab w:val="clear" w:pos="9639"/>
        <w:tab w:val="right" w:pos="9638"/>
      </w:tabs>
      <w:rPr>
        <w:b/>
        <w:sz w:val="18"/>
      </w:rPr>
    </w:pPr>
    <w:r>
      <w:t>GE.22-01301</w:t>
    </w:r>
    <w:r>
      <w:tab/>
    </w:r>
    <w:r w:rsidRPr="00C40F42">
      <w:rPr>
        <w:b/>
        <w:sz w:val="18"/>
      </w:rPr>
      <w:fldChar w:fldCharType="begin"/>
    </w:r>
    <w:r w:rsidRPr="00C40F42">
      <w:rPr>
        <w:b/>
        <w:sz w:val="18"/>
      </w:rPr>
      <w:instrText xml:space="preserve"> PAGE  \* MERGEFORMAT </w:instrText>
    </w:r>
    <w:r w:rsidRPr="00C40F42">
      <w:rPr>
        <w:b/>
        <w:sz w:val="18"/>
      </w:rPr>
      <w:fldChar w:fldCharType="separate"/>
    </w:r>
    <w:r w:rsidRPr="00C40F42">
      <w:rPr>
        <w:b/>
        <w:noProof/>
        <w:sz w:val="18"/>
      </w:rPr>
      <w:t>3</w:t>
    </w:r>
    <w:r w:rsidRPr="00C40F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B1E1" w14:textId="351FACA1" w:rsidR="00042B72" w:rsidRPr="00C40F42" w:rsidRDefault="00C40F42" w:rsidP="00C40F4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732493" wp14:editId="1A3B48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22-01301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B56513" wp14:editId="666803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030322  030322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0300" w14:textId="77777777" w:rsidR="00B90742" w:rsidRPr="001075E9" w:rsidRDefault="00B907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158ED" w14:textId="77777777" w:rsidR="00B90742" w:rsidRDefault="00B907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529461" w14:textId="77777777" w:rsidR="00C40F42" w:rsidRPr="00706101" w:rsidRDefault="00C40F42" w:rsidP="00C40F42">
      <w:pPr>
        <w:pStyle w:val="ad"/>
      </w:pPr>
      <w:r>
        <w:tab/>
      </w:r>
      <w:r w:rsidRPr="00C40F4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A524" w14:textId="326F76C0" w:rsidR="00C40F42" w:rsidRPr="00C40F42" w:rsidRDefault="00C40F4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E2C12">
      <w:t>ECE/TRANS/WP.29/GRE/2022/3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8BB9" w14:textId="123EF565" w:rsidR="00C40F42" w:rsidRPr="00C40F42" w:rsidRDefault="00C40F42" w:rsidP="00C40F4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2C12">
      <w:t>ECE/TRANS/WP.29/GRE/2022/3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0"/>
  </w:num>
  <w:num w:numId="23">
    <w:abstractNumId w:val="17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42"/>
    <w:rsid w:val="00033EE1"/>
    <w:rsid w:val="00042B72"/>
    <w:rsid w:val="000558BD"/>
    <w:rsid w:val="000B57E7"/>
    <w:rsid w:val="000B6373"/>
    <w:rsid w:val="000E326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87D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5327"/>
    <w:rsid w:val="00452493"/>
    <w:rsid w:val="00453318"/>
    <w:rsid w:val="00454AF2"/>
    <w:rsid w:val="00454E07"/>
    <w:rsid w:val="00472C5C"/>
    <w:rsid w:val="00485F8A"/>
    <w:rsid w:val="004C3CC1"/>
    <w:rsid w:val="004E05B7"/>
    <w:rsid w:val="0050108D"/>
    <w:rsid w:val="0050201B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7B1"/>
    <w:rsid w:val="00792497"/>
    <w:rsid w:val="007E26AA"/>
    <w:rsid w:val="00806737"/>
    <w:rsid w:val="00825F8D"/>
    <w:rsid w:val="00834B71"/>
    <w:rsid w:val="0086445C"/>
    <w:rsid w:val="00894693"/>
    <w:rsid w:val="008A08D7"/>
    <w:rsid w:val="008A37C8"/>
    <w:rsid w:val="008B36E7"/>
    <w:rsid w:val="008B6909"/>
    <w:rsid w:val="008D53B6"/>
    <w:rsid w:val="008F7609"/>
    <w:rsid w:val="00906890"/>
    <w:rsid w:val="00911BE4"/>
    <w:rsid w:val="0091351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0901"/>
    <w:rsid w:val="00B539E7"/>
    <w:rsid w:val="00B62458"/>
    <w:rsid w:val="00B90742"/>
    <w:rsid w:val="00BC18B2"/>
    <w:rsid w:val="00BD33EE"/>
    <w:rsid w:val="00BE1CC7"/>
    <w:rsid w:val="00C106D6"/>
    <w:rsid w:val="00C119AE"/>
    <w:rsid w:val="00C40F42"/>
    <w:rsid w:val="00C60F0C"/>
    <w:rsid w:val="00C71E84"/>
    <w:rsid w:val="00C805C9"/>
    <w:rsid w:val="00C92939"/>
    <w:rsid w:val="00CA1679"/>
    <w:rsid w:val="00CB151C"/>
    <w:rsid w:val="00CE2C1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3E1277"/>
  <w15:docId w15:val="{8FFC5ADE-F083-4FB7-BD19-E1ACA94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endnotetable">
    <w:name w:val="endnote table"/>
    <w:basedOn w:val="a"/>
    <w:link w:val="endnotetableChar"/>
    <w:rsid w:val="00C40F42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C40F42"/>
    <w:rPr>
      <w:sz w:val="18"/>
      <w:szCs w:val="18"/>
      <w:lang w:val="en-GB" w:eastAsia="en-US"/>
    </w:rPr>
  </w:style>
  <w:style w:type="paragraph" w:customStyle="1" w:styleId="af3">
    <w:name w:val="(a)"/>
    <w:basedOn w:val="a"/>
    <w:qFormat/>
    <w:rsid w:val="00C40F42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C40F42"/>
    <w:rPr>
      <w:lang w:val="ru-RU" w:eastAsia="en-US"/>
    </w:rPr>
  </w:style>
  <w:style w:type="character" w:customStyle="1" w:styleId="HChGChar">
    <w:name w:val="_ H _Ch_G Char"/>
    <w:link w:val="HChG"/>
    <w:qFormat/>
    <w:rsid w:val="00C40F42"/>
    <w:rPr>
      <w:b/>
      <w:sz w:val="28"/>
      <w:lang w:val="ru-RU" w:eastAsia="ru-RU"/>
    </w:rPr>
  </w:style>
  <w:style w:type="numbering" w:styleId="111111">
    <w:name w:val="Outline List 2"/>
    <w:basedOn w:val="a2"/>
    <w:rsid w:val="00C40F42"/>
    <w:pPr>
      <w:numPr>
        <w:numId w:val="23"/>
      </w:numPr>
    </w:pPr>
  </w:style>
  <w:style w:type="character" w:customStyle="1" w:styleId="H1GChar">
    <w:name w:val="_ H_1_G Char"/>
    <w:link w:val="H1G"/>
    <w:rsid w:val="00C40F4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873</Words>
  <Characters>5687</Characters>
  <Application>Microsoft Office Word</Application>
  <DocSecurity>0</DocSecurity>
  <Lines>517</Lines>
  <Paragraphs>218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ECE/TRANS/WP.29/GRE/2022/3</dc:title>
  <dc:subject/>
  <dc:creator>Elena IZOTOVA</dc:creator>
  <cp:keywords/>
  <cp:lastModifiedBy>Elena Izotova</cp:lastModifiedBy>
  <cp:revision>3</cp:revision>
  <cp:lastPrinted>2022-03-03T12:22:00Z</cp:lastPrinted>
  <dcterms:created xsi:type="dcterms:W3CDTF">2022-03-03T12:22:00Z</dcterms:created>
  <dcterms:modified xsi:type="dcterms:W3CDTF">2022-03-03T12:22:00Z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