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25E6C" w:rsidRPr="00CB57C1" w14:paraId="45618B18" w14:textId="77777777" w:rsidTr="00210B0F">
        <w:trPr>
          <w:cantSplit/>
          <w:trHeight w:hRule="exact" w:val="568"/>
        </w:trPr>
        <w:tc>
          <w:tcPr>
            <w:tcW w:w="1276" w:type="dxa"/>
            <w:tcBorders>
              <w:bottom w:val="single" w:sz="4" w:space="0" w:color="auto"/>
            </w:tcBorders>
            <w:shd w:val="clear" w:color="auto" w:fill="auto"/>
            <w:vAlign w:val="bottom"/>
          </w:tcPr>
          <w:p w14:paraId="397B7BE0" w14:textId="0CEEDB38" w:rsidR="00732AD2" w:rsidRPr="00525E6C" w:rsidRDefault="004749FE" w:rsidP="00732AD2">
            <w:pPr>
              <w:spacing w:after="80"/>
            </w:pPr>
            <w:bookmarkStart w:id="0" w:name="_Hlk31794477"/>
            <w:r w:rsidRPr="00525E6C">
              <w:t xml:space="preserve">  </w:t>
            </w:r>
          </w:p>
        </w:tc>
        <w:tc>
          <w:tcPr>
            <w:tcW w:w="2268" w:type="dxa"/>
            <w:tcBorders>
              <w:bottom w:val="single" w:sz="4" w:space="0" w:color="auto"/>
            </w:tcBorders>
            <w:shd w:val="clear" w:color="auto" w:fill="auto"/>
            <w:vAlign w:val="bottom"/>
          </w:tcPr>
          <w:p w14:paraId="514C0442" w14:textId="77777777" w:rsidR="00732AD2" w:rsidRPr="00525E6C" w:rsidRDefault="00732AD2" w:rsidP="00732AD2">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6C4C478B" w14:textId="566128B1" w:rsidR="00732AD2" w:rsidRPr="00CB57C1" w:rsidRDefault="0025722A" w:rsidP="00F70542">
            <w:pPr>
              <w:jc w:val="right"/>
            </w:pPr>
            <w:r w:rsidRPr="00CB57C1">
              <w:rPr>
                <w:sz w:val="40"/>
              </w:rPr>
              <w:t>ECE</w:t>
            </w:r>
            <w:r w:rsidRPr="00CB57C1">
              <w:t>/TRANS/WP.29/</w:t>
            </w:r>
            <w:r w:rsidR="00360EDD" w:rsidRPr="00CB57C1">
              <w:t>GRE/</w:t>
            </w:r>
            <w:r w:rsidR="00653086" w:rsidRPr="00CB57C1">
              <w:t>202</w:t>
            </w:r>
            <w:r w:rsidR="006B7901" w:rsidRPr="00CB57C1">
              <w:t>2</w:t>
            </w:r>
            <w:r w:rsidRPr="00CB57C1">
              <w:t>/</w:t>
            </w:r>
            <w:r w:rsidR="00CA59BF">
              <w:t>3</w:t>
            </w:r>
          </w:p>
        </w:tc>
      </w:tr>
      <w:tr w:rsidR="00525E6C" w:rsidRPr="00525E6C" w14:paraId="0DE3C23E" w14:textId="77777777" w:rsidTr="00732AD2">
        <w:trPr>
          <w:cantSplit/>
          <w:trHeight w:hRule="exact" w:val="2835"/>
        </w:trPr>
        <w:tc>
          <w:tcPr>
            <w:tcW w:w="1276" w:type="dxa"/>
            <w:tcBorders>
              <w:top w:val="single" w:sz="4" w:space="0" w:color="auto"/>
              <w:bottom w:val="single" w:sz="12" w:space="0" w:color="auto"/>
            </w:tcBorders>
            <w:shd w:val="clear" w:color="auto" w:fill="auto"/>
          </w:tcPr>
          <w:p w14:paraId="4A21EB43" w14:textId="77777777" w:rsidR="00732AD2" w:rsidRPr="00525E6C" w:rsidRDefault="00732AD2" w:rsidP="00732AD2">
            <w:pPr>
              <w:spacing w:before="120"/>
            </w:pPr>
            <w:r w:rsidRPr="00525E6C">
              <w:rPr>
                <w:noProof/>
                <w:lang w:val="en-US"/>
              </w:rPr>
              <w:drawing>
                <wp:inline distT="0" distB="0" distL="0" distR="0" wp14:anchorId="532DA435" wp14:editId="19015EF2">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124B577D" w14:textId="2060584D" w:rsidR="00732AD2" w:rsidRPr="00525E6C" w:rsidRDefault="00732AD2" w:rsidP="00732AD2">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14:paraId="6F680A55" w14:textId="77777777" w:rsidR="00732AD2" w:rsidRPr="00525E6C" w:rsidRDefault="00732AD2" w:rsidP="00732AD2">
            <w:pPr>
              <w:spacing w:before="240" w:line="240" w:lineRule="exact"/>
            </w:pPr>
            <w:r w:rsidRPr="00525E6C">
              <w:t>Distr.: General</w:t>
            </w:r>
          </w:p>
          <w:p w14:paraId="05615A5D" w14:textId="7E9A1238" w:rsidR="0025722A" w:rsidRPr="00CB57C1" w:rsidRDefault="00CB57C1" w:rsidP="0025722A">
            <w:pPr>
              <w:spacing w:line="240" w:lineRule="exact"/>
            </w:pPr>
            <w:r w:rsidRPr="00CB57C1">
              <w:t>2</w:t>
            </w:r>
            <w:r w:rsidR="00D85DDE" w:rsidRPr="00CB57C1">
              <w:t xml:space="preserve"> </w:t>
            </w:r>
            <w:r w:rsidR="006B7901" w:rsidRPr="00CB57C1">
              <w:t>February</w:t>
            </w:r>
            <w:r w:rsidR="00D85DDE" w:rsidRPr="00CB57C1">
              <w:t xml:space="preserve"> 202</w:t>
            </w:r>
            <w:r w:rsidR="006B7901" w:rsidRPr="00CB57C1">
              <w:t>2</w:t>
            </w:r>
          </w:p>
          <w:p w14:paraId="02D46274" w14:textId="77777777" w:rsidR="00732AD2" w:rsidRPr="00525E6C" w:rsidRDefault="00732AD2" w:rsidP="00732AD2">
            <w:pPr>
              <w:spacing w:line="240" w:lineRule="exact"/>
            </w:pPr>
          </w:p>
          <w:p w14:paraId="28D1A641" w14:textId="77777777" w:rsidR="00732AD2" w:rsidRPr="00525E6C" w:rsidRDefault="00732AD2" w:rsidP="00732AD2">
            <w:pPr>
              <w:spacing w:line="240" w:lineRule="exact"/>
            </w:pPr>
            <w:r w:rsidRPr="00525E6C">
              <w:t>Original: English</w:t>
            </w:r>
          </w:p>
        </w:tc>
      </w:tr>
    </w:tbl>
    <w:bookmarkEnd w:id="0"/>
    <w:p w14:paraId="759F7898" w14:textId="77777777" w:rsidR="00732AD2" w:rsidRPr="00525E6C" w:rsidRDefault="00732AD2" w:rsidP="00732AD2">
      <w:pPr>
        <w:spacing w:before="120"/>
        <w:rPr>
          <w:b/>
          <w:sz w:val="28"/>
          <w:szCs w:val="28"/>
        </w:rPr>
      </w:pPr>
      <w:r w:rsidRPr="00525E6C">
        <w:rPr>
          <w:b/>
          <w:sz w:val="28"/>
          <w:szCs w:val="28"/>
        </w:rPr>
        <w:t>Economic Commission for Europe</w:t>
      </w:r>
    </w:p>
    <w:p w14:paraId="01E268A4" w14:textId="77777777" w:rsidR="00732AD2" w:rsidRPr="00525E6C" w:rsidRDefault="00732AD2" w:rsidP="00732AD2">
      <w:pPr>
        <w:spacing w:before="120"/>
        <w:rPr>
          <w:sz w:val="28"/>
          <w:szCs w:val="28"/>
        </w:rPr>
      </w:pPr>
      <w:r w:rsidRPr="00525E6C">
        <w:rPr>
          <w:sz w:val="28"/>
          <w:szCs w:val="28"/>
        </w:rPr>
        <w:t>Inland Transport Committee</w:t>
      </w:r>
    </w:p>
    <w:p w14:paraId="65D51426" w14:textId="77777777" w:rsidR="00732AD2" w:rsidRPr="00525E6C" w:rsidRDefault="00732AD2" w:rsidP="00732AD2">
      <w:pPr>
        <w:spacing w:before="120"/>
        <w:rPr>
          <w:b/>
          <w:sz w:val="24"/>
          <w:szCs w:val="24"/>
        </w:rPr>
      </w:pPr>
      <w:r w:rsidRPr="00525E6C">
        <w:rPr>
          <w:b/>
          <w:sz w:val="24"/>
          <w:szCs w:val="24"/>
        </w:rPr>
        <w:t>World Forum for Harmonization of Vehicle Regulations</w:t>
      </w:r>
    </w:p>
    <w:p w14:paraId="2A139C1B" w14:textId="77777777" w:rsidR="004A6DAE" w:rsidRPr="00C64574" w:rsidRDefault="004A6DAE" w:rsidP="0053078B">
      <w:pPr>
        <w:spacing w:before="120" w:after="120"/>
        <w:rPr>
          <w:b/>
        </w:rPr>
      </w:pPr>
      <w:r w:rsidRPr="00C64574">
        <w:rPr>
          <w:b/>
        </w:rPr>
        <w:t xml:space="preserve">Working Party on </w:t>
      </w:r>
      <w:r>
        <w:rPr>
          <w:b/>
        </w:rPr>
        <w:t>Lighting and Light-Signalling</w:t>
      </w:r>
    </w:p>
    <w:p w14:paraId="4D586EE1" w14:textId="4C9B1988" w:rsidR="004A6DAE" w:rsidRPr="004B2237" w:rsidRDefault="004A6DAE" w:rsidP="00CB57C1">
      <w:pPr>
        <w:rPr>
          <w:b/>
        </w:rPr>
      </w:pPr>
      <w:r>
        <w:rPr>
          <w:b/>
        </w:rPr>
        <w:t>Eighty</w:t>
      </w:r>
      <w:r w:rsidRPr="004B2237">
        <w:rPr>
          <w:b/>
        </w:rPr>
        <w:t>-</w:t>
      </w:r>
      <w:r w:rsidR="0053078B">
        <w:rPr>
          <w:b/>
        </w:rPr>
        <w:t xml:space="preserve">sixth </w:t>
      </w:r>
      <w:r w:rsidRPr="004B2237">
        <w:rPr>
          <w:b/>
        </w:rPr>
        <w:t>session</w:t>
      </w:r>
    </w:p>
    <w:p w14:paraId="54A29AFC" w14:textId="1E1FA270" w:rsidR="004A6DAE" w:rsidRPr="00CB57C1" w:rsidRDefault="004A6DAE" w:rsidP="00CB57C1">
      <w:pPr>
        <w:rPr>
          <w:bCs/>
        </w:rPr>
      </w:pPr>
      <w:r w:rsidRPr="00CB57C1">
        <w:t>Geneva</w:t>
      </w:r>
      <w:r w:rsidRPr="00CB57C1">
        <w:rPr>
          <w:bCs/>
        </w:rPr>
        <w:t xml:space="preserve">, 26–29 </w:t>
      </w:r>
      <w:r w:rsidR="006B7901" w:rsidRPr="00CB57C1">
        <w:rPr>
          <w:bCs/>
        </w:rPr>
        <w:t>April</w:t>
      </w:r>
      <w:r w:rsidRPr="00CB57C1">
        <w:rPr>
          <w:bCs/>
        </w:rPr>
        <w:t xml:space="preserve"> 202</w:t>
      </w:r>
      <w:r w:rsidR="006B7901" w:rsidRPr="00CB57C1">
        <w:rPr>
          <w:bCs/>
        </w:rPr>
        <w:t>2</w:t>
      </w:r>
    </w:p>
    <w:p w14:paraId="363E6CA7" w14:textId="20247B34" w:rsidR="00732AD2" w:rsidRDefault="00732AD2" w:rsidP="00CB57C1">
      <w:pPr>
        <w:ind w:right="1134"/>
        <w:rPr>
          <w:bCs/>
        </w:rPr>
      </w:pPr>
      <w:r w:rsidRPr="00CB57C1">
        <w:rPr>
          <w:bCs/>
        </w:rPr>
        <w:t xml:space="preserve">Item </w:t>
      </w:r>
      <w:r w:rsidR="00CA59BF">
        <w:rPr>
          <w:bCs/>
        </w:rPr>
        <w:t>7</w:t>
      </w:r>
      <w:r w:rsidR="00726D1B" w:rsidRPr="00CB57C1">
        <w:rPr>
          <w:bCs/>
        </w:rPr>
        <w:t xml:space="preserve"> (</w:t>
      </w:r>
      <w:r w:rsidR="00CA59BF">
        <w:rPr>
          <w:bCs/>
        </w:rPr>
        <w:t>b</w:t>
      </w:r>
      <w:r w:rsidR="00726D1B" w:rsidRPr="00CB57C1">
        <w:rPr>
          <w:bCs/>
        </w:rPr>
        <w:t xml:space="preserve">) </w:t>
      </w:r>
      <w:r w:rsidRPr="00CB57C1">
        <w:rPr>
          <w:bCs/>
        </w:rPr>
        <w:t>of the provisional agenda</w:t>
      </w:r>
    </w:p>
    <w:p w14:paraId="3297378F" w14:textId="6E3B2F3B" w:rsidR="00F46602" w:rsidRPr="00F46602" w:rsidRDefault="00F46602" w:rsidP="00F46602">
      <w:pPr>
        <w:ind w:right="1467"/>
        <w:jc w:val="both"/>
        <w:rPr>
          <w:b/>
          <w:bCs/>
        </w:rPr>
      </w:pPr>
      <w:r w:rsidRPr="00F46602">
        <w:rPr>
          <w:b/>
          <w:bCs/>
        </w:rPr>
        <w:t>Other UN Regulations:</w:t>
      </w:r>
    </w:p>
    <w:p w14:paraId="109662BB" w14:textId="77BA05EE" w:rsidR="000C09E6" w:rsidRDefault="00FA2F4E" w:rsidP="00FA2F4E">
      <w:pPr>
        <w:ind w:right="1467"/>
        <w:jc w:val="both"/>
        <w:rPr>
          <w:b/>
          <w:bCs/>
        </w:rPr>
      </w:pPr>
      <w:r>
        <w:rPr>
          <w:b/>
          <w:bCs/>
        </w:rPr>
        <w:t xml:space="preserve">UN </w:t>
      </w:r>
      <w:r w:rsidRPr="00DC35BB">
        <w:rPr>
          <w:b/>
          <w:bCs/>
        </w:rPr>
        <w:t xml:space="preserve">Regulation No. </w:t>
      </w:r>
      <w:r w:rsidR="00601760">
        <w:rPr>
          <w:b/>
          <w:bCs/>
        </w:rPr>
        <w:t>53</w:t>
      </w:r>
      <w:r w:rsidRPr="00DC35BB">
        <w:rPr>
          <w:b/>
          <w:bCs/>
        </w:rPr>
        <w:t xml:space="preserve"> (</w:t>
      </w:r>
      <w:r>
        <w:rPr>
          <w:b/>
          <w:bCs/>
        </w:rPr>
        <w:t>Installation of lighting and light-signalling devices</w:t>
      </w:r>
      <w:r w:rsidR="00F800C8" w:rsidRPr="00F800C8">
        <w:t xml:space="preserve"> </w:t>
      </w:r>
      <w:r w:rsidR="00F800C8" w:rsidRPr="00F800C8">
        <w:rPr>
          <w:b/>
          <w:bCs/>
        </w:rPr>
        <w:t>for L3 vehicles</w:t>
      </w:r>
      <w:r>
        <w:rPr>
          <w:b/>
          <w:bCs/>
        </w:rPr>
        <w:t>)</w:t>
      </w:r>
    </w:p>
    <w:p w14:paraId="7BDBE699" w14:textId="596E866B" w:rsidR="00732AD2" w:rsidRPr="00525E6C" w:rsidRDefault="00732AD2" w:rsidP="00F2014B">
      <w:pPr>
        <w:pStyle w:val="HChG"/>
      </w:pPr>
      <w:r w:rsidRPr="00FA2F4E">
        <w:rPr>
          <w:lang w:val="en-US"/>
        </w:rPr>
        <w:tab/>
      </w:r>
      <w:r w:rsidRPr="00FA2F4E">
        <w:rPr>
          <w:lang w:val="en-US"/>
        </w:rPr>
        <w:tab/>
      </w:r>
      <w:r w:rsidR="00B71E45" w:rsidRPr="00B71E45">
        <w:rPr>
          <w:lang w:val="en-US"/>
        </w:rPr>
        <w:t xml:space="preserve">Proposal for a new </w:t>
      </w:r>
      <w:r w:rsidR="00B71E45">
        <w:rPr>
          <w:lang w:val="en-US"/>
        </w:rPr>
        <w:t xml:space="preserve">04 </w:t>
      </w:r>
      <w:r w:rsidR="00B71E45" w:rsidRPr="00B71E45">
        <w:rPr>
          <w:lang w:val="en-US"/>
        </w:rPr>
        <w:t xml:space="preserve">series of amendments to UN Regulation No. 53 </w:t>
      </w:r>
    </w:p>
    <w:p w14:paraId="3E2A85E6" w14:textId="1606AC3B" w:rsidR="00732AD2" w:rsidRPr="00525E6C" w:rsidRDefault="001A13D4" w:rsidP="00732AD2">
      <w:pPr>
        <w:pStyle w:val="H1G"/>
        <w:ind w:firstLine="0"/>
        <w:rPr>
          <w:szCs w:val="24"/>
        </w:rPr>
      </w:pPr>
      <w:r w:rsidRPr="001A13D4">
        <w:rPr>
          <w:szCs w:val="24"/>
        </w:rPr>
        <w:t xml:space="preserve">Submitted by the expert from </w:t>
      </w:r>
      <w:r w:rsidR="00B71E45">
        <w:rPr>
          <w:szCs w:val="24"/>
        </w:rPr>
        <w:t>Germany</w:t>
      </w:r>
      <w:r w:rsidR="00EC151E" w:rsidRPr="00A96F13">
        <w:rPr>
          <w:szCs w:val="24"/>
        </w:rPr>
        <w:footnoteReference w:customMarkFollows="1" w:id="2"/>
        <w:t>*</w:t>
      </w:r>
      <w:r w:rsidR="005067BB" w:rsidRPr="00525E6C">
        <w:rPr>
          <w:szCs w:val="24"/>
        </w:rPr>
        <w:t xml:space="preserve"> </w:t>
      </w:r>
    </w:p>
    <w:p w14:paraId="6FFF8AD2" w14:textId="1B01FB24" w:rsidR="002C11AB" w:rsidRDefault="003762C9" w:rsidP="00652A9B">
      <w:pPr>
        <w:pStyle w:val="SingleTxtG"/>
        <w:tabs>
          <w:tab w:val="left" w:pos="8505"/>
        </w:tabs>
        <w:ind w:firstLine="567"/>
      </w:pPr>
      <w:r w:rsidRPr="003762C9">
        <w:t>This document is a proposal to improve road safety for motorcycles by deleti</w:t>
      </w:r>
      <w:r>
        <w:t>ng</w:t>
      </w:r>
      <w:r w:rsidRPr="003762C9">
        <w:t xml:space="preserve"> of Class A and Class BS</w:t>
      </w:r>
      <w:r>
        <w:t xml:space="preserve"> headlamps </w:t>
      </w:r>
      <w:r w:rsidRPr="003762C9">
        <w:t xml:space="preserve">from </w:t>
      </w:r>
      <w:r>
        <w:t>UN Regulation No. 53</w:t>
      </w:r>
      <w:r w:rsidRPr="003762C9">
        <w:t xml:space="preserve">. It is based on </w:t>
      </w:r>
      <w:r w:rsidR="009816E7">
        <w:t xml:space="preserve">informal document </w:t>
      </w:r>
      <w:r w:rsidRPr="003762C9">
        <w:t>GRE-85-24 which was submitted to the eighty-fifth session of the Working Party on Lighting and Light-Signalling (GRE). The modifications are shown in bold.</w:t>
      </w:r>
    </w:p>
    <w:p w14:paraId="71B1B9AB" w14:textId="77777777" w:rsidR="00732AD2" w:rsidRPr="00525E6C" w:rsidRDefault="00732AD2" w:rsidP="00732AD2">
      <w:pPr>
        <w:tabs>
          <w:tab w:val="left" w:pos="8505"/>
        </w:tabs>
        <w:ind w:left="1134" w:right="1134" w:firstLine="567"/>
        <w:jc w:val="both"/>
      </w:pPr>
    </w:p>
    <w:p w14:paraId="4A2CCDAF" w14:textId="77777777" w:rsidR="00732AD2" w:rsidRPr="00525E6C" w:rsidRDefault="00732AD2" w:rsidP="00732AD2"/>
    <w:p w14:paraId="33DB7E7A" w14:textId="77777777" w:rsidR="0053129E" w:rsidRPr="00525E6C" w:rsidRDefault="0053129E" w:rsidP="0053129E">
      <w:pPr>
        <w:rPr>
          <w:b/>
          <w:bCs/>
        </w:rPr>
      </w:pPr>
    </w:p>
    <w:p w14:paraId="068FE83D" w14:textId="77777777" w:rsidR="0053129E" w:rsidRPr="00525E6C" w:rsidRDefault="0053129E" w:rsidP="0053129E">
      <w:pPr>
        <w:rPr>
          <w:b/>
          <w:bCs/>
        </w:rPr>
      </w:pPr>
    </w:p>
    <w:p w14:paraId="59CD1E70" w14:textId="77777777" w:rsidR="0053129E" w:rsidRPr="00525E6C" w:rsidRDefault="0053129E" w:rsidP="0053129E">
      <w:pPr>
        <w:rPr>
          <w:lang w:val="en-US"/>
        </w:rPr>
        <w:sectPr w:rsidR="0053129E" w:rsidRPr="00525E6C" w:rsidSect="00CB57C1">
          <w:footerReference w:type="even" r:id="rId12"/>
          <w:footerReference w:type="default" r:id="rId13"/>
          <w:footerReference w:type="first" r:id="rId14"/>
          <w:pgSz w:w="11907" w:h="16840" w:code="9"/>
          <w:pgMar w:top="1418" w:right="1134" w:bottom="1134" w:left="1134" w:header="851" w:footer="567" w:gutter="0"/>
          <w:cols w:space="720"/>
          <w:docGrid w:linePitch="272"/>
        </w:sectPr>
      </w:pPr>
    </w:p>
    <w:p w14:paraId="040D6BE2" w14:textId="7FC94AFD" w:rsidR="00806CCF" w:rsidRPr="00DF6F61" w:rsidRDefault="00914CE3" w:rsidP="00DF6F61">
      <w:pPr>
        <w:pStyle w:val="HChG"/>
      </w:pPr>
      <w:r w:rsidRPr="00525E6C">
        <w:lastRenderedPageBreak/>
        <w:tab/>
      </w:r>
      <w:r w:rsidR="00E048CF" w:rsidRPr="00525E6C">
        <w:t>I.</w:t>
      </w:r>
      <w:r w:rsidR="00E048CF" w:rsidRPr="00525E6C">
        <w:tab/>
        <w:t>Proposal</w:t>
      </w:r>
    </w:p>
    <w:p w14:paraId="1808CFC5" w14:textId="77777777" w:rsidR="00EC3E9C" w:rsidRPr="0052784A" w:rsidRDefault="00EC3E9C" w:rsidP="0050427B">
      <w:pPr>
        <w:tabs>
          <w:tab w:val="left" w:pos="2268"/>
        </w:tabs>
        <w:spacing w:after="120"/>
        <w:ind w:left="1134" w:rightChars="567" w:right="1134"/>
        <w:jc w:val="both"/>
        <w:rPr>
          <w:bCs/>
        </w:rPr>
      </w:pPr>
      <w:r w:rsidRPr="0052784A">
        <w:rPr>
          <w:bCs/>
          <w:i/>
        </w:rPr>
        <w:t>Paragraph 6.2.1.</w:t>
      </w:r>
      <w:r>
        <w:rPr>
          <w:bCs/>
          <w:i/>
        </w:rPr>
        <w:t>1</w:t>
      </w:r>
      <w:r w:rsidRPr="0052784A">
        <w:rPr>
          <w:bCs/>
          <w:i/>
        </w:rPr>
        <w:t xml:space="preserve">., </w:t>
      </w:r>
      <w:r w:rsidRPr="0052784A">
        <w:rPr>
          <w:bCs/>
        </w:rPr>
        <w:t>amend to read:</w:t>
      </w:r>
    </w:p>
    <w:p w14:paraId="251780A6" w14:textId="77777777" w:rsidR="00EC3E9C" w:rsidRPr="007D580C" w:rsidRDefault="00EC3E9C" w:rsidP="0050427B">
      <w:pPr>
        <w:tabs>
          <w:tab w:val="left" w:pos="2268"/>
        </w:tabs>
        <w:spacing w:after="120"/>
        <w:ind w:left="1134" w:rightChars="567" w:right="1134"/>
        <w:jc w:val="both"/>
        <w:rPr>
          <w:bCs/>
          <w:lang w:val="en-US"/>
        </w:rPr>
      </w:pPr>
      <w:r w:rsidRPr="0052784A">
        <w:rPr>
          <w:bCs/>
        </w:rPr>
        <w:t>"6.2.1.</w:t>
      </w:r>
      <w:r>
        <w:rPr>
          <w:bCs/>
        </w:rPr>
        <w:t>1</w:t>
      </w:r>
      <w:r w:rsidRPr="0052784A">
        <w:rPr>
          <w:bCs/>
        </w:rPr>
        <w:t xml:space="preserve">. </w:t>
      </w:r>
      <w:r w:rsidRPr="0052784A">
        <w:rPr>
          <w:bCs/>
        </w:rPr>
        <w:tab/>
      </w:r>
      <w:r>
        <w:rPr>
          <w:bCs/>
        </w:rPr>
        <w:t>…</w:t>
      </w:r>
    </w:p>
    <w:p w14:paraId="11AF301B" w14:textId="77777777" w:rsidR="00EC3E9C" w:rsidRPr="000E25B5" w:rsidRDefault="00EC3E9C" w:rsidP="0050427B">
      <w:pPr>
        <w:spacing w:after="120"/>
        <w:ind w:left="2835" w:rightChars="567" w:right="1134" w:hanging="567"/>
        <w:jc w:val="both"/>
        <w:rPr>
          <w:bCs/>
        </w:rPr>
      </w:pPr>
      <w:r w:rsidRPr="0052784A">
        <w:rPr>
          <w:bCs/>
        </w:rPr>
        <w:t>(</w:t>
      </w:r>
      <w:r>
        <w:rPr>
          <w:bCs/>
        </w:rPr>
        <w:t>i</w:t>
      </w:r>
      <w:r w:rsidRPr="0052784A">
        <w:rPr>
          <w:bCs/>
        </w:rPr>
        <w:t xml:space="preserve">) </w:t>
      </w:r>
      <w:r w:rsidRPr="0052784A">
        <w:rPr>
          <w:bCs/>
        </w:rPr>
        <w:tab/>
      </w:r>
      <w:r w:rsidRPr="0052784A">
        <w:rPr>
          <w:bCs/>
        </w:rPr>
        <w:tab/>
        <w:t xml:space="preserve">Class </w:t>
      </w:r>
      <w:r w:rsidRPr="000E25B5">
        <w:rPr>
          <w:b/>
          <w:bCs/>
          <w:strike/>
        </w:rPr>
        <w:t>A,</w:t>
      </w:r>
      <w:r w:rsidRPr="000E25B5">
        <w:rPr>
          <w:bCs/>
        </w:rPr>
        <w:t xml:space="preserve"> B, D, </w:t>
      </w:r>
      <w:r w:rsidRPr="000E25B5">
        <w:rPr>
          <w:b/>
          <w:bCs/>
          <w:strike/>
        </w:rPr>
        <w:t>BS,</w:t>
      </w:r>
      <w:r w:rsidRPr="000E25B5">
        <w:rPr>
          <w:bCs/>
        </w:rPr>
        <w:t xml:space="preserve"> CS, DS or ES of UN Regulation No. 149</w:t>
      </w:r>
      <w:r w:rsidRPr="000E25B5">
        <w:rPr>
          <w:b/>
        </w:rPr>
        <w:t>;</w:t>
      </w:r>
      <w:r w:rsidRPr="000E25B5">
        <w:rPr>
          <w:bCs/>
        </w:rPr>
        <w:t xml:space="preserve"> </w:t>
      </w:r>
    </w:p>
    <w:p w14:paraId="08D54072" w14:textId="77777777" w:rsidR="00EC3E9C" w:rsidRPr="000E25B5" w:rsidRDefault="00EC3E9C" w:rsidP="0050427B">
      <w:pPr>
        <w:tabs>
          <w:tab w:val="left" w:pos="2268"/>
        </w:tabs>
        <w:spacing w:after="120"/>
        <w:ind w:left="1134" w:rightChars="567" w:right="1134"/>
        <w:jc w:val="both"/>
        <w:rPr>
          <w:b/>
          <w:iCs/>
        </w:rPr>
      </w:pPr>
      <w:r w:rsidRPr="000E25B5">
        <w:rPr>
          <w:b/>
          <w:iCs/>
        </w:rPr>
        <w:tab/>
        <w:t>(j)</w:t>
      </w:r>
      <w:r w:rsidRPr="000E25B5">
        <w:rPr>
          <w:b/>
          <w:iCs/>
        </w:rPr>
        <w:tab/>
        <w:t xml:space="preserve">Class C or V of the 01 and subsequent series of amendments to UN </w:t>
      </w:r>
      <w:r w:rsidRPr="000E25B5">
        <w:rPr>
          <w:b/>
          <w:iCs/>
        </w:rPr>
        <w:tab/>
      </w:r>
      <w:r w:rsidRPr="000E25B5">
        <w:rPr>
          <w:b/>
          <w:iCs/>
        </w:rPr>
        <w:tab/>
      </w:r>
      <w:r w:rsidRPr="000E25B5">
        <w:rPr>
          <w:b/>
          <w:iCs/>
        </w:rPr>
        <w:tab/>
        <w:t>Regulation No. 149.</w:t>
      </w:r>
      <w:r w:rsidRPr="000E25B5">
        <w:rPr>
          <w:bCs/>
        </w:rPr>
        <w:t>"</w:t>
      </w:r>
    </w:p>
    <w:p w14:paraId="78161793" w14:textId="77777777" w:rsidR="00EC3E9C" w:rsidRPr="000E25B5" w:rsidRDefault="00EC3E9C" w:rsidP="0050427B">
      <w:pPr>
        <w:tabs>
          <w:tab w:val="left" w:pos="2268"/>
        </w:tabs>
        <w:spacing w:after="120"/>
        <w:ind w:left="1134" w:rightChars="567" w:right="1134"/>
        <w:jc w:val="both"/>
        <w:rPr>
          <w:bCs/>
        </w:rPr>
      </w:pPr>
      <w:r w:rsidRPr="000E25B5">
        <w:rPr>
          <w:bCs/>
          <w:i/>
        </w:rPr>
        <w:t xml:space="preserve">Paragraph 6.2.1.2., </w:t>
      </w:r>
      <w:r w:rsidRPr="000E25B5">
        <w:rPr>
          <w:bCs/>
        </w:rPr>
        <w:t>amend to read:</w:t>
      </w:r>
    </w:p>
    <w:p w14:paraId="02934B28" w14:textId="77777777" w:rsidR="00EC3E9C" w:rsidRPr="000E25B5" w:rsidRDefault="00EC3E9C" w:rsidP="0050427B">
      <w:pPr>
        <w:tabs>
          <w:tab w:val="left" w:pos="2268"/>
        </w:tabs>
        <w:spacing w:after="120"/>
        <w:ind w:left="1134" w:rightChars="567" w:right="1134"/>
        <w:jc w:val="both"/>
        <w:rPr>
          <w:bCs/>
          <w:lang w:val="en-US"/>
        </w:rPr>
      </w:pPr>
      <w:r w:rsidRPr="000E25B5">
        <w:rPr>
          <w:bCs/>
        </w:rPr>
        <w:t xml:space="preserve">"6.2.1.2. </w:t>
      </w:r>
      <w:r w:rsidRPr="000E25B5">
        <w:rPr>
          <w:bCs/>
        </w:rPr>
        <w:tab/>
        <w:t>…</w:t>
      </w:r>
    </w:p>
    <w:p w14:paraId="67B6EE9B" w14:textId="77777777" w:rsidR="00EC3E9C" w:rsidRDefault="00EC3E9C" w:rsidP="0050427B">
      <w:pPr>
        <w:spacing w:after="120"/>
        <w:ind w:left="2835" w:rightChars="567" w:right="1134" w:hanging="567"/>
        <w:jc w:val="both"/>
        <w:rPr>
          <w:bCs/>
        </w:rPr>
      </w:pPr>
      <w:r w:rsidRPr="000E25B5">
        <w:rPr>
          <w:bCs/>
        </w:rPr>
        <w:t xml:space="preserve">(h) </w:t>
      </w:r>
      <w:r w:rsidRPr="000E25B5">
        <w:rPr>
          <w:bCs/>
        </w:rPr>
        <w:tab/>
      </w:r>
      <w:r w:rsidRPr="000E25B5">
        <w:rPr>
          <w:bCs/>
        </w:rPr>
        <w:tab/>
        <w:t xml:space="preserve">Class </w:t>
      </w:r>
      <w:r w:rsidRPr="000E25B5">
        <w:rPr>
          <w:b/>
          <w:bCs/>
          <w:strike/>
        </w:rPr>
        <w:t>A,</w:t>
      </w:r>
      <w:r w:rsidRPr="000E25B5">
        <w:rPr>
          <w:bCs/>
        </w:rPr>
        <w:t xml:space="preserve"> B, D, </w:t>
      </w:r>
      <w:r w:rsidRPr="000E25B5">
        <w:rPr>
          <w:b/>
          <w:bCs/>
          <w:strike/>
        </w:rPr>
        <w:t>BS,</w:t>
      </w:r>
      <w:r w:rsidRPr="000E25B5">
        <w:rPr>
          <w:bCs/>
        </w:rPr>
        <w:t xml:space="preserve"> DS</w:t>
      </w:r>
      <w:r w:rsidRPr="0052784A">
        <w:rPr>
          <w:bCs/>
        </w:rPr>
        <w:t xml:space="preserve"> or ES of UN Regulation No. </w:t>
      </w:r>
      <w:r>
        <w:rPr>
          <w:bCs/>
        </w:rPr>
        <w:t>149</w:t>
      </w:r>
      <w:r w:rsidRPr="00E66CF3">
        <w:rPr>
          <w:b/>
        </w:rPr>
        <w:t>;</w:t>
      </w:r>
      <w:r w:rsidRPr="0052784A">
        <w:rPr>
          <w:bCs/>
        </w:rPr>
        <w:t xml:space="preserve"> </w:t>
      </w:r>
    </w:p>
    <w:p w14:paraId="6FECAF89" w14:textId="77777777" w:rsidR="00EC3E9C" w:rsidRPr="0052784A" w:rsidRDefault="00EC3E9C" w:rsidP="0050427B">
      <w:pPr>
        <w:spacing w:after="120"/>
        <w:ind w:left="2835" w:rightChars="567" w:right="1134" w:hanging="567"/>
        <w:jc w:val="both"/>
        <w:rPr>
          <w:bCs/>
        </w:rPr>
      </w:pPr>
      <w:r w:rsidRPr="004E0DFB">
        <w:rPr>
          <w:b/>
          <w:iCs/>
        </w:rPr>
        <w:t>(</w:t>
      </w:r>
      <w:r>
        <w:rPr>
          <w:b/>
          <w:iCs/>
        </w:rPr>
        <w:t>i</w:t>
      </w:r>
      <w:r w:rsidRPr="004E0DFB">
        <w:rPr>
          <w:b/>
          <w:iCs/>
        </w:rPr>
        <w:t>)</w:t>
      </w:r>
      <w:r w:rsidRPr="004E0DFB">
        <w:rPr>
          <w:b/>
          <w:iCs/>
        </w:rPr>
        <w:tab/>
        <w:t xml:space="preserve">Class </w:t>
      </w:r>
      <w:r>
        <w:rPr>
          <w:b/>
          <w:iCs/>
        </w:rPr>
        <w:t xml:space="preserve">C or V </w:t>
      </w:r>
      <w:r w:rsidRPr="004E0DFB">
        <w:rPr>
          <w:b/>
          <w:iCs/>
        </w:rPr>
        <w:t xml:space="preserve">of </w:t>
      </w:r>
      <w:r>
        <w:rPr>
          <w:b/>
          <w:iCs/>
        </w:rPr>
        <w:t xml:space="preserve">the 01 and subsequent series of amendments to </w:t>
      </w:r>
      <w:r w:rsidRPr="004E0DFB">
        <w:rPr>
          <w:b/>
          <w:iCs/>
        </w:rPr>
        <w:t>UN Regulation No. 149</w:t>
      </w:r>
      <w:r>
        <w:rPr>
          <w:b/>
          <w:iCs/>
        </w:rPr>
        <w:t>.</w:t>
      </w:r>
    </w:p>
    <w:p w14:paraId="66171BF2" w14:textId="2D42A754" w:rsidR="00EC3E9C" w:rsidRPr="0052784A" w:rsidRDefault="005222EE" w:rsidP="0050427B">
      <w:pPr>
        <w:tabs>
          <w:tab w:val="left" w:pos="2268"/>
        </w:tabs>
        <w:spacing w:after="120"/>
        <w:ind w:left="2268" w:rightChars="567" w:right="1134"/>
        <w:jc w:val="both"/>
        <w:rPr>
          <w:bCs/>
        </w:rPr>
      </w:pPr>
      <w:r>
        <w:rPr>
          <w:bCs/>
        </w:rPr>
        <w:tab/>
      </w:r>
      <w:r>
        <w:rPr>
          <w:bCs/>
        </w:rPr>
        <w:tab/>
      </w:r>
      <w:r w:rsidR="00EC3E9C" w:rsidRPr="0052784A">
        <w:rPr>
          <w:bCs/>
        </w:rPr>
        <w:t>Two of approved type according to:</w:t>
      </w:r>
    </w:p>
    <w:p w14:paraId="1F97F273" w14:textId="77777777" w:rsidR="00EC3E9C" w:rsidRPr="0052784A" w:rsidRDefault="00EC3E9C" w:rsidP="0050427B">
      <w:pPr>
        <w:spacing w:after="120"/>
        <w:ind w:left="2835" w:rightChars="567" w:right="1134" w:hanging="567"/>
        <w:jc w:val="both"/>
        <w:rPr>
          <w:bCs/>
        </w:rPr>
      </w:pPr>
      <w:r w:rsidRPr="0052784A">
        <w:rPr>
          <w:bCs/>
        </w:rPr>
        <w:t>(</w:t>
      </w:r>
      <w:r w:rsidRPr="00E66CF3">
        <w:rPr>
          <w:bCs/>
          <w:strike/>
        </w:rPr>
        <w:t>i</w:t>
      </w:r>
      <w:r w:rsidRPr="00E66CF3">
        <w:rPr>
          <w:b/>
        </w:rPr>
        <w:t>j</w:t>
      </w:r>
      <w:r w:rsidRPr="0052784A">
        <w:rPr>
          <w:bCs/>
        </w:rPr>
        <w:t xml:space="preserve">) </w:t>
      </w:r>
      <w:r w:rsidRPr="0052784A">
        <w:rPr>
          <w:bCs/>
        </w:rPr>
        <w:tab/>
      </w:r>
      <w:r w:rsidRPr="0052784A">
        <w:rPr>
          <w:bCs/>
        </w:rPr>
        <w:tab/>
        <w:t>Class C of UN Regulation No. 113;</w:t>
      </w:r>
    </w:p>
    <w:p w14:paraId="73CE5D19" w14:textId="05A914E0" w:rsidR="00EC3E9C" w:rsidRDefault="00EC3E9C" w:rsidP="0050427B">
      <w:pPr>
        <w:spacing w:after="120"/>
        <w:ind w:left="2835" w:rightChars="567" w:right="1134" w:hanging="567"/>
        <w:jc w:val="both"/>
        <w:rPr>
          <w:rFonts w:eastAsia="MS Mincho"/>
          <w:b/>
          <w:sz w:val="28"/>
        </w:rPr>
      </w:pPr>
      <w:r w:rsidRPr="0052784A">
        <w:rPr>
          <w:bCs/>
        </w:rPr>
        <w:t>(</w:t>
      </w:r>
      <w:r w:rsidRPr="00E66CF3">
        <w:rPr>
          <w:bCs/>
          <w:strike/>
        </w:rPr>
        <w:t>j</w:t>
      </w:r>
      <w:r w:rsidRPr="00E66CF3">
        <w:rPr>
          <w:b/>
        </w:rPr>
        <w:t>k</w:t>
      </w:r>
      <w:r w:rsidRPr="0052784A">
        <w:rPr>
          <w:bCs/>
        </w:rPr>
        <w:t xml:space="preserve">) </w:t>
      </w:r>
      <w:r w:rsidRPr="0052784A">
        <w:rPr>
          <w:bCs/>
        </w:rPr>
        <w:tab/>
        <w:t xml:space="preserve">Class CS of UN Regulation No. </w:t>
      </w:r>
      <w:r>
        <w:rPr>
          <w:bCs/>
        </w:rPr>
        <w:t>149.</w:t>
      </w:r>
      <w:r w:rsidRPr="0052784A">
        <w:rPr>
          <w:bCs/>
        </w:rPr>
        <w:t>"</w:t>
      </w:r>
      <w:r w:rsidRPr="00541938">
        <w:rPr>
          <w:rFonts w:eastAsia="MS Mincho"/>
          <w:b/>
          <w:sz w:val="28"/>
        </w:rPr>
        <w:t xml:space="preserve"> </w:t>
      </w:r>
    </w:p>
    <w:p w14:paraId="4ED672C8" w14:textId="50777CF5" w:rsidR="00EC3E9C" w:rsidRDefault="000712E1" w:rsidP="0050427B">
      <w:pPr>
        <w:tabs>
          <w:tab w:val="left" w:pos="2268"/>
        </w:tabs>
        <w:spacing w:after="120"/>
        <w:ind w:left="1134" w:rightChars="567" w:right="1134"/>
        <w:rPr>
          <w:bCs/>
          <w:iCs/>
        </w:rPr>
      </w:pPr>
      <w:r>
        <w:rPr>
          <w:bCs/>
          <w:i/>
        </w:rPr>
        <w:t xml:space="preserve">Insert a </w:t>
      </w:r>
      <w:r w:rsidR="00F73D2C">
        <w:rPr>
          <w:bCs/>
          <w:i/>
        </w:rPr>
        <w:t>n</w:t>
      </w:r>
      <w:r w:rsidR="00EC3E9C">
        <w:rPr>
          <w:bCs/>
          <w:i/>
        </w:rPr>
        <w:t>ew p</w:t>
      </w:r>
      <w:r w:rsidR="00EC3E9C" w:rsidRPr="0052784A">
        <w:rPr>
          <w:bCs/>
          <w:i/>
        </w:rPr>
        <w:t>aragraph</w:t>
      </w:r>
      <w:r w:rsidR="00EC3E9C">
        <w:rPr>
          <w:bCs/>
          <w:i/>
        </w:rPr>
        <w:t xml:space="preserve"> 11.12. </w:t>
      </w:r>
      <w:r w:rsidR="00EC3E9C" w:rsidRPr="00F73D2C">
        <w:rPr>
          <w:bCs/>
          <w:iCs/>
        </w:rPr>
        <w:t>to read</w:t>
      </w:r>
      <w:r w:rsidR="00F73D2C" w:rsidRPr="00F73D2C">
        <w:rPr>
          <w:bCs/>
          <w:iCs/>
        </w:rPr>
        <w:t>:</w:t>
      </w:r>
    </w:p>
    <w:p w14:paraId="275163C3" w14:textId="77777777" w:rsidR="00C71AB3" w:rsidRPr="00DF0F68" w:rsidRDefault="00C71AB3" w:rsidP="00C71AB3">
      <w:pPr>
        <w:tabs>
          <w:tab w:val="left" w:pos="2268"/>
        </w:tabs>
        <w:spacing w:after="120"/>
        <w:ind w:left="1134" w:rightChars="567" w:right="1134"/>
        <w:jc w:val="both"/>
        <w:rPr>
          <w:b/>
          <w:bCs/>
        </w:rPr>
      </w:pPr>
      <w:r>
        <w:rPr>
          <w:b/>
          <w:bCs/>
        </w:rPr>
        <w:t>"</w:t>
      </w:r>
      <w:r w:rsidRPr="00DF0F68">
        <w:rPr>
          <w:b/>
          <w:bCs/>
        </w:rPr>
        <w:t>11.</w:t>
      </w:r>
      <w:r>
        <w:rPr>
          <w:b/>
          <w:bCs/>
        </w:rPr>
        <w:t>12</w:t>
      </w:r>
      <w:r w:rsidRPr="00DF0F68">
        <w:rPr>
          <w:b/>
          <w:bCs/>
        </w:rPr>
        <w:t xml:space="preserve">. </w:t>
      </w:r>
      <w:r>
        <w:rPr>
          <w:b/>
          <w:bCs/>
        </w:rPr>
        <w:tab/>
      </w:r>
      <w:r w:rsidRPr="00DF0F68">
        <w:rPr>
          <w:b/>
          <w:bCs/>
        </w:rPr>
        <w:t xml:space="preserve">Transitional provisions applicable to </w:t>
      </w:r>
      <w:r>
        <w:rPr>
          <w:b/>
          <w:bCs/>
        </w:rPr>
        <w:t xml:space="preserve">the </w:t>
      </w:r>
      <w:r w:rsidRPr="00DF0F68">
        <w:rPr>
          <w:b/>
          <w:bCs/>
        </w:rPr>
        <w:t>04 series of amendments</w:t>
      </w:r>
    </w:p>
    <w:p w14:paraId="786CF046" w14:textId="77777777" w:rsidR="00C71AB3" w:rsidRPr="00DF0F68" w:rsidRDefault="00C71AB3" w:rsidP="00C71AB3">
      <w:pPr>
        <w:tabs>
          <w:tab w:val="left" w:pos="2268"/>
        </w:tabs>
        <w:spacing w:after="120"/>
        <w:ind w:left="2268" w:rightChars="567" w:right="1134" w:hanging="1134"/>
        <w:jc w:val="both"/>
        <w:rPr>
          <w:b/>
          <w:bCs/>
        </w:rPr>
      </w:pPr>
      <w:r w:rsidRPr="00DF0F68">
        <w:rPr>
          <w:b/>
          <w:bCs/>
        </w:rPr>
        <w:t>11.</w:t>
      </w:r>
      <w:r>
        <w:rPr>
          <w:b/>
          <w:bCs/>
        </w:rPr>
        <w:t>12</w:t>
      </w:r>
      <w:r w:rsidRPr="00DF0F68">
        <w:rPr>
          <w:b/>
          <w:bCs/>
        </w:rPr>
        <w:t xml:space="preserve">.1. </w:t>
      </w:r>
      <w:r>
        <w:rPr>
          <w:b/>
          <w:bCs/>
        </w:rPr>
        <w:tab/>
      </w:r>
      <w:r w:rsidRPr="00DF0F68">
        <w:rPr>
          <w:b/>
          <w:bCs/>
        </w:rPr>
        <w:t>As from the official date of entry into force of the 04 series of amendments, no Contracting Party applying this UN Regulation shall refuse to grant or refuse to accept UN type approvals under this UN Regulation as amended by the 04 series of amendments.</w:t>
      </w:r>
    </w:p>
    <w:p w14:paraId="064AB5BA" w14:textId="77777777" w:rsidR="00C71AB3" w:rsidRDefault="00C71AB3" w:rsidP="00C71AB3">
      <w:pPr>
        <w:tabs>
          <w:tab w:val="left" w:pos="2268"/>
        </w:tabs>
        <w:spacing w:after="120"/>
        <w:ind w:left="2268" w:rightChars="567" w:right="1134" w:hanging="1134"/>
        <w:jc w:val="both"/>
        <w:rPr>
          <w:b/>
          <w:bCs/>
        </w:rPr>
      </w:pPr>
      <w:r w:rsidRPr="00DF0F68">
        <w:rPr>
          <w:b/>
          <w:bCs/>
        </w:rPr>
        <w:t>11.</w:t>
      </w:r>
      <w:r>
        <w:rPr>
          <w:b/>
          <w:bCs/>
        </w:rPr>
        <w:t>12</w:t>
      </w:r>
      <w:r w:rsidRPr="00DF0F68">
        <w:rPr>
          <w:b/>
          <w:bCs/>
        </w:rPr>
        <w:t xml:space="preserve">.2. </w:t>
      </w:r>
      <w:r>
        <w:rPr>
          <w:b/>
          <w:bCs/>
        </w:rPr>
        <w:tab/>
      </w:r>
      <w:r w:rsidRPr="00DF0F68">
        <w:rPr>
          <w:b/>
          <w:bCs/>
        </w:rPr>
        <w:t>As from [1 September 2026], Contracting Parties applying this UN Regulation shall not be obliged to accept UN type approvals to the preceding series of amendments, first issued after [1 September 2026].</w:t>
      </w:r>
    </w:p>
    <w:p w14:paraId="7B2A63A1" w14:textId="1E4CDD85" w:rsidR="00C71AB3" w:rsidRPr="0030475D" w:rsidRDefault="00C71AB3" w:rsidP="00C71AB3">
      <w:pPr>
        <w:tabs>
          <w:tab w:val="left" w:pos="2268"/>
        </w:tabs>
        <w:spacing w:after="120"/>
        <w:ind w:left="2268" w:rightChars="567" w:right="1134" w:hanging="1134"/>
        <w:jc w:val="both"/>
        <w:rPr>
          <w:b/>
          <w:bCs/>
        </w:rPr>
      </w:pPr>
      <w:r>
        <w:rPr>
          <w:b/>
          <w:bCs/>
        </w:rPr>
        <w:t>11.12.3</w:t>
      </w:r>
      <w:r w:rsidR="00F46602">
        <w:rPr>
          <w:b/>
          <w:bCs/>
        </w:rPr>
        <w:t>.</w:t>
      </w:r>
      <w:r>
        <w:rPr>
          <w:b/>
          <w:bCs/>
        </w:rPr>
        <w:tab/>
      </w:r>
      <w:r w:rsidRPr="0030475D">
        <w:rPr>
          <w:b/>
          <w:bCs/>
        </w:rPr>
        <w:t xml:space="preserve">Until </w:t>
      </w:r>
      <w:r>
        <w:rPr>
          <w:b/>
          <w:bCs/>
        </w:rPr>
        <w:t>[</w:t>
      </w:r>
      <w:r w:rsidRPr="0030475D">
        <w:rPr>
          <w:b/>
          <w:bCs/>
        </w:rPr>
        <w:t xml:space="preserve">1 September </w:t>
      </w:r>
      <w:r>
        <w:rPr>
          <w:b/>
          <w:bCs/>
        </w:rPr>
        <w:t>2027]</w:t>
      </w:r>
      <w:r w:rsidRPr="0030475D">
        <w:rPr>
          <w:b/>
          <w:bCs/>
        </w:rPr>
        <w:t xml:space="preserve">, Contracting Parties applying this Regulation shall accept type approvals to the preceding series of amendments, first issued before </w:t>
      </w:r>
      <w:r>
        <w:rPr>
          <w:b/>
          <w:bCs/>
        </w:rPr>
        <w:t>[</w:t>
      </w:r>
      <w:r w:rsidRPr="0030475D">
        <w:rPr>
          <w:b/>
          <w:bCs/>
        </w:rPr>
        <w:t xml:space="preserve">1 September </w:t>
      </w:r>
      <w:r>
        <w:rPr>
          <w:b/>
          <w:bCs/>
        </w:rPr>
        <w:t>2026].</w:t>
      </w:r>
    </w:p>
    <w:p w14:paraId="243D0722" w14:textId="77777777" w:rsidR="00C71AB3" w:rsidRPr="00DF0F68" w:rsidRDefault="00C71AB3" w:rsidP="00C71AB3">
      <w:pPr>
        <w:tabs>
          <w:tab w:val="left" w:pos="2268"/>
        </w:tabs>
        <w:spacing w:after="120"/>
        <w:ind w:left="2268" w:rightChars="567" w:right="1134" w:hanging="1134"/>
        <w:jc w:val="both"/>
        <w:rPr>
          <w:b/>
          <w:bCs/>
        </w:rPr>
      </w:pPr>
      <w:r>
        <w:rPr>
          <w:b/>
          <w:bCs/>
        </w:rPr>
        <w:t>11.12.4.</w:t>
      </w:r>
      <w:r w:rsidRPr="0030475D">
        <w:rPr>
          <w:b/>
          <w:bCs/>
        </w:rPr>
        <w:tab/>
        <w:t xml:space="preserve">As from </w:t>
      </w:r>
      <w:r>
        <w:rPr>
          <w:b/>
          <w:bCs/>
        </w:rPr>
        <w:t>[</w:t>
      </w:r>
      <w:r w:rsidRPr="0030475D">
        <w:rPr>
          <w:b/>
          <w:bCs/>
        </w:rPr>
        <w:t xml:space="preserve">1 September </w:t>
      </w:r>
      <w:r>
        <w:rPr>
          <w:b/>
          <w:bCs/>
        </w:rPr>
        <w:t>2027]</w:t>
      </w:r>
      <w:r w:rsidRPr="0030475D">
        <w:rPr>
          <w:b/>
          <w:bCs/>
        </w:rPr>
        <w:t>, Contracting Parties applying this Regulation shall not be obliged to accept type approvals issued to the preceding series of amendments to this Regulation.</w:t>
      </w:r>
    </w:p>
    <w:p w14:paraId="54476FB4" w14:textId="77777777" w:rsidR="00C71AB3" w:rsidRPr="00DF0F68" w:rsidRDefault="00C71AB3" w:rsidP="00C71AB3">
      <w:pPr>
        <w:tabs>
          <w:tab w:val="left" w:pos="2268"/>
        </w:tabs>
        <w:spacing w:after="120"/>
        <w:ind w:left="2268" w:rightChars="567" w:right="1134" w:hanging="1134"/>
        <w:jc w:val="both"/>
        <w:rPr>
          <w:b/>
          <w:bCs/>
        </w:rPr>
      </w:pPr>
      <w:r w:rsidRPr="00DF0F68">
        <w:rPr>
          <w:b/>
          <w:bCs/>
        </w:rPr>
        <w:t>11.</w:t>
      </w:r>
      <w:r>
        <w:rPr>
          <w:b/>
          <w:bCs/>
        </w:rPr>
        <w:t>12</w:t>
      </w:r>
      <w:r w:rsidRPr="00DF0F68">
        <w:rPr>
          <w:b/>
          <w:bCs/>
        </w:rPr>
        <w:t>.</w:t>
      </w:r>
      <w:r>
        <w:rPr>
          <w:b/>
          <w:bCs/>
        </w:rPr>
        <w:t>5</w:t>
      </w:r>
      <w:r w:rsidRPr="00DF0F68">
        <w:rPr>
          <w:b/>
          <w:bCs/>
        </w:rPr>
        <w:t xml:space="preserve">. </w:t>
      </w:r>
      <w:r>
        <w:rPr>
          <w:b/>
          <w:bCs/>
        </w:rPr>
        <w:tab/>
      </w:r>
      <w:r w:rsidRPr="00DF0F68">
        <w:rPr>
          <w:b/>
          <w:bCs/>
        </w:rPr>
        <w:t>Notwithstanding the transitional provisions above, Contracting Parties who start to apply this UN Regulation after the date of entry into</w:t>
      </w:r>
      <w:r>
        <w:rPr>
          <w:b/>
          <w:bCs/>
        </w:rPr>
        <w:t xml:space="preserve"> </w:t>
      </w:r>
      <w:r w:rsidRPr="00DF0F68">
        <w:rPr>
          <w:b/>
          <w:bCs/>
        </w:rPr>
        <w:t>force of the most recent series of amendments are not obliged to accept UN type-approvals which were granted in accordance with any of the preceding series of amendments to this UN Regulation.</w:t>
      </w:r>
    </w:p>
    <w:p w14:paraId="539529C0" w14:textId="77777777" w:rsidR="00C71AB3" w:rsidRPr="00DF0F68" w:rsidRDefault="00C71AB3" w:rsidP="00C71AB3">
      <w:pPr>
        <w:tabs>
          <w:tab w:val="left" w:pos="2268"/>
        </w:tabs>
        <w:spacing w:after="120"/>
        <w:ind w:left="2268" w:rightChars="567" w:right="1134" w:hanging="1134"/>
        <w:jc w:val="both"/>
        <w:rPr>
          <w:b/>
          <w:bCs/>
        </w:rPr>
      </w:pPr>
      <w:r w:rsidRPr="00DF0F68">
        <w:rPr>
          <w:b/>
          <w:bCs/>
        </w:rPr>
        <w:t>11.</w:t>
      </w:r>
      <w:r>
        <w:rPr>
          <w:b/>
          <w:bCs/>
        </w:rPr>
        <w:t>12</w:t>
      </w:r>
      <w:r w:rsidRPr="00DF0F68">
        <w:rPr>
          <w:b/>
          <w:bCs/>
        </w:rPr>
        <w:t>.</w:t>
      </w:r>
      <w:r>
        <w:rPr>
          <w:b/>
          <w:bCs/>
        </w:rPr>
        <w:t>6</w:t>
      </w:r>
      <w:r w:rsidRPr="00DF0F68">
        <w:rPr>
          <w:b/>
          <w:bCs/>
        </w:rPr>
        <w:t xml:space="preserve">. </w:t>
      </w:r>
      <w:r>
        <w:rPr>
          <w:b/>
          <w:bCs/>
        </w:rPr>
        <w:tab/>
      </w:r>
      <w:r w:rsidRPr="00DF0F68">
        <w:rPr>
          <w:b/>
          <w:bCs/>
        </w:rPr>
        <w:t>Notwithstanding paragraph 11.</w:t>
      </w:r>
      <w:r>
        <w:rPr>
          <w:b/>
          <w:bCs/>
        </w:rPr>
        <w:t>12.2</w:t>
      </w:r>
      <w:r w:rsidRPr="00DF0F68">
        <w:rPr>
          <w:b/>
          <w:bCs/>
        </w:rPr>
        <w:t>., Contracting Parties applying this UN Regulation shall continue to accept UN type approvals to the preceding series of amendments to this UN Regulation and extension thereof, for the vehicles which are not affected by the changes introduced by the 04 series of amendments.</w:t>
      </w:r>
    </w:p>
    <w:p w14:paraId="1C6F9108" w14:textId="77777777" w:rsidR="00C71AB3" w:rsidRPr="0030475D" w:rsidRDefault="00C71AB3" w:rsidP="00C71AB3">
      <w:pPr>
        <w:tabs>
          <w:tab w:val="left" w:pos="2268"/>
        </w:tabs>
        <w:spacing w:after="120"/>
        <w:ind w:left="2268" w:rightChars="567" w:right="1134" w:hanging="1134"/>
        <w:jc w:val="both"/>
        <w:rPr>
          <w:b/>
          <w:bCs/>
        </w:rPr>
      </w:pPr>
      <w:r w:rsidRPr="00DF0F68">
        <w:rPr>
          <w:b/>
          <w:bCs/>
        </w:rPr>
        <w:t>11.</w:t>
      </w:r>
      <w:r>
        <w:rPr>
          <w:b/>
          <w:bCs/>
        </w:rPr>
        <w:t>12</w:t>
      </w:r>
      <w:r w:rsidRPr="00DF0F68">
        <w:rPr>
          <w:b/>
          <w:bCs/>
        </w:rPr>
        <w:t>.</w:t>
      </w:r>
      <w:r>
        <w:rPr>
          <w:b/>
          <w:bCs/>
        </w:rPr>
        <w:t>7</w:t>
      </w:r>
      <w:r w:rsidRPr="00DF0F68">
        <w:rPr>
          <w:b/>
          <w:bCs/>
        </w:rPr>
        <w:t xml:space="preserve">. </w:t>
      </w:r>
      <w:r>
        <w:rPr>
          <w:b/>
          <w:bCs/>
        </w:rPr>
        <w:tab/>
      </w:r>
      <w:r w:rsidRPr="0030475D">
        <w:rPr>
          <w:b/>
          <w:bCs/>
        </w:rPr>
        <w:t xml:space="preserve">Contracting Parties applying this Regulation may grant type approvals according to any preceding series of amendments to this Regulation. </w:t>
      </w:r>
    </w:p>
    <w:p w14:paraId="5F98CC48" w14:textId="73C10EC8" w:rsidR="00C71AB3" w:rsidRDefault="00C71AB3" w:rsidP="00C71AB3">
      <w:pPr>
        <w:tabs>
          <w:tab w:val="left" w:pos="2268"/>
        </w:tabs>
        <w:spacing w:after="120"/>
        <w:ind w:left="2268" w:rightChars="567" w:right="1134" w:hanging="1134"/>
        <w:jc w:val="both"/>
        <w:rPr>
          <w:i/>
          <w:iCs/>
          <w:lang w:val="en-US"/>
        </w:rPr>
      </w:pPr>
      <w:r>
        <w:rPr>
          <w:b/>
          <w:bCs/>
        </w:rPr>
        <w:t>11.12.8</w:t>
      </w:r>
      <w:r w:rsidRPr="0030475D">
        <w:rPr>
          <w:b/>
          <w:bCs/>
        </w:rPr>
        <w:t xml:space="preserve">. </w:t>
      </w:r>
      <w:r w:rsidRPr="0030475D">
        <w:rPr>
          <w:b/>
          <w:bCs/>
        </w:rPr>
        <w:tab/>
        <w:t>Contracting Parties applying this Regulation shall continue to grant extensions of existing approvals to any preceding series of amendments to this Regulation</w:t>
      </w:r>
      <w:r>
        <w:rPr>
          <w:b/>
          <w:bCs/>
        </w:rPr>
        <w:t>."</w:t>
      </w:r>
    </w:p>
    <w:p w14:paraId="33F98E11" w14:textId="77777777" w:rsidR="00DE2A74" w:rsidRPr="00F73D2C" w:rsidRDefault="00DE2A74" w:rsidP="0050427B">
      <w:pPr>
        <w:tabs>
          <w:tab w:val="left" w:pos="2268"/>
        </w:tabs>
        <w:spacing w:after="120"/>
        <w:ind w:left="1134" w:rightChars="567" w:right="1134"/>
        <w:rPr>
          <w:bCs/>
          <w:iCs/>
        </w:rPr>
      </w:pPr>
    </w:p>
    <w:p w14:paraId="026D2BF0" w14:textId="77777777" w:rsidR="00E933B8" w:rsidRDefault="00E933B8" w:rsidP="00E933B8">
      <w:pPr>
        <w:pStyle w:val="HChG"/>
      </w:pPr>
      <w:r w:rsidRPr="00525E6C">
        <w:lastRenderedPageBreak/>
        <w:tab/>
        <w:t>II.</w:t>
      </w:r>
      <w:r w:rsidRPr="00525E6C">
        <w:tab/>
        <w:t>Justification</w:t>
      </w:r>
    </w:p>
    <w:p w14:paraId="2A04BD2C" w14:textId="4B409638" w:rsidR="00282842" w:rsidRPr="00270F9B" w:rsidRDefault="006D0CC6" w:rsidP="006D0CC6">
      <w:pPr>
        <w:pStyle w:val="Bullet1G"/>
        <w:numPr>
          <w:ilvl w:val="0"/>
          <w:numId w:val="0"/>
        </w:numPr>
        <w:ind w:left="1134"/>
        <w:rPr>
          <w:u w:val="single"/>
        </w:rPr>
      </w:pPr>
      <w:r w:rsidRPr="00270F9B">
        <w:t>1.</w:t>
      </w:r>
      <w:r w:rsidRPr="00270F9B">
        <w:tab/>
      </w:r>
      <w:r w:rsidR="00282842" w:rsidRPr="00541938">
        <w:t>The accident rates of motorised two-wheelers are too high worldwide, especially compared to multi-track motor vehicles. Passive safety for motorbikes is essentially limited to personal protective equipment. Active safety includes steering, brakes and, among other things, lighting equipment. Motorbikes up to 125 c</w:t>
      </w:r>
      <w:r w:rsidR="00282842">
        <w:t>m</w:t>
      </w:r>
      <w:r w:rsidR="00E15BA0">
        <w:rPr>
          <w:vertAlign w:val="superscript"/>
        </w:rPr>
        <w:t>3</w:t>
      </w:r>
      <w:r w:rsidR="00282842" w:rsidRPr="00541938">
        <w:t xml:space="preserve"> reach top speeds f</w:t>
      </w:r>
      <w:r w:rsidR="002F53F1">
        <w:t>rom</w:t>
      </w:r>
      <w:r w:rsidR="00282842" w:rsidRPr="00541938">
        <w:t xml:space="preserve"> 80 km/h to over 100 km/h. For reasons of road safety, there is no </w:t>
      </w:r>
      <w:r w:rsidR="00EB18AF">
        <w:t xml:space="preserve">reason </w:t>
      </w:r>
      <w:r w:rsidR="00282842" w:rsidRPr="00541938">
        <w:t xml:space="preserve">to illuminate the road </w:t>
      </w:r>
      <w:r w:rsidR="006976D4">
        <w:t xml:space="preserve">any </w:t>
      </w:r>
      <w:r w:rsidR="009472EB">
        <w:t xml:space="preserve">less </w:t>
      </w:r>
      <w:r w:rsidR="00282842" w:rsidRPr="00541938">
        <w:t xml:space="preserve">than </w:t>
      </w:r>
      <w:r w:rsidR="009472EB">
        <w:t xml:space="preserve">for </w:t>
      </w:r>
      <w:r w:rsidR="00282842" w:rsidRPr="00541938">
        <w:t>motor</w:t>
      </w:r>
      <w:r w:rsidR="00282842">
        <w:t>cycles</w:t>
      </w:r>
      <w:r w:rsidR="00282842" w:rsidRPr="00541938">
        <w:t xml:space="preserve"> </w:t>
      </w:r>
      <w:r w:rsidR="009472EB">
        <w:t xml:space="preserve">above </w:t>
      </w:r>
      <w:r w:rsidR="00282842" w:rsidRPr="00541938">
        <w:t>125 c</w:t>
      </w:r>
      <w:r w:rsidR="00282842">
        <w:t>m</w:t>
      </w:r>
      <w:r w:rsidR="00DA0290">
        <w:rPr>
          <w:vertAlign w:val="superscript"/>
        </w:rPr>
        <w:t>3</w:t>
      </w:r>
      <w:r w:rsidR="00282842" w:rsidRPr="00541938">
        <w:t xml:space="preserve">. </w:t>
      </w:r>
    </w:p>
    <w:p w14:paraId="12D9FDE7" w14:textId="279CF3C5" w:rsidR="00282842" w:rsidRPr="0062460D" w:rsidRDefault="006D0CC6" w:rsidP="006D0CC6">
      <w:pPr>
        <w:pStyle w:val="Bullet1G"/>
        <w:numPr>
          <w:ilvl w:val="0"/>
          <w:numId w:val="0"/>
        </w:numPr>
        <w:ind w:left="1134"/>
      </w:pPr>
      <w:r w:rsidRPr="0062460D">
        <w:t>2.</w:t>
      </w:r>
      <w:r w:rsidRPr="0062460D">
        <w:tab/>
      </w:r>
      <w:r w:rsidR="00282842">
        <w:t>In ECE/TRANS/WP.29/GRE/2021/21</w:t>
      </w:r>
      <w:r w:rsidR="009472EB">
        <w:t xml:space="preserve">, </w:t>
      </w:r>
      <w:r w:rsidR="00E60906">
        <w:t xml:space="preserve">for slow-moving mopeds </w:t>
      </w:r>
      <w:r w:rsidR="00807519">
        <w:t xml:space="preserve">this issue </w:t>
      </w:r>
      <w:r w:rsidR="00282842">
        <w:t>is regulated by the</w:t>
      </w:r>
      <w:r w:rsidR="00E60906">
        <w:t xml:space="preserve"> following</w:t>
      </w:r>
      <w:r w:rsidR="00282842">
        <w:t xml:space="preserve"> footnote: </w:t>
      </w:r>
      <w:r w:rsidR="006550BD">
        <w:t>"</w:t>
      </w:r>
      <w:r w:rsidR="00282842" w:rsidRPr="00592E92">
        <w:t>Headlamps of Class A of</w:t>
      </w:r>
      <w:r w:rsidR="00E60906">
        <w:t xml:space="preserve"> </w:t>
      </w:r>
      <w:r w:rsidR="00282842" w:rsidRPr="00592E92">
        <w:t>UN Regulation No. 113 with LED modules or class AS of UN Regulation No. 149 with LED modules only on vehicles with a maximum design speed not exceeding 25 km/h"</w:t>
      </w:r>
      <w:r w:rsidR="006550BD">
        <w:t xml:space="preserve">. </w:t>
      </w:r>
      <w:r w:rsidR="00282842">
        <w:t xml:space="preserve"> </w:t>
      </w:r>
    </w:p>
    <w:p w14:paraId="4FEE543E" w14:textId="2DF192E4" w:rsidR="00282842" w:rsidRDefault="006D0CC6" w:rsidP="006D0CC6">
      <w:pPr>
        <w:pStyle w:val="Bullet1G"/>
        <w:numPr>
          <w:ilvl w:val="0"/>
          <w:numId w:val="0"/>
        </w:numPr>
        <w:ind w:left="1134"/>
      </w:pPr>
      <w:r>
        <w:t>3.</w:t>
      </w:r>
      <w:r>
        <w:tab/>
      </w:r>
      <w:r w:rsidR="00282842">
        <w:t>Taking into account</w:t>
      </w:r>
      <w:r w:rsidR="00577F5F">
        <w:t xml:space="preserve"> paras. </w:t>
      </w:r>
      <w:r w:rsidR="00282842">
        <w:t xml:space="preserve">1 </w:t>
      </w:r>
      <w:r w:rsidR="00577F5F">
        <w:t xml:space="preserve">and </w:t>
      </w:r>
      <w:r w:rsidR="00282842">
        <w:t xml:space="preserve">2 </w:t>
      </w:r>
      <w:r w:rsidR="00577F5F">
        <w:t>above</w:t>
      </w:r>
      <w:r w:rsidR="00282842">
        <w:t xml:space="preserve"> </w:t>
      </w:r>
      <w:r w:rsidR="00282842" w:rsidRPr="00592E92">
        <w:t>and in order to improve road safety</w:t>
      </w:r>
      <w:r w:rsidR="00282842">
        <w:t xml:space="preserve"> for motorcycles</w:t>
      </w:r>
      <w:r w:rsidR="006550BD">
        <w:t>,</w:t>
      </w:r>
      <w:r w:rsidR="00282842" w:rsidRPr="00592E92">
        <w:t xml:space="preserve"> Germany proposes to delete Class A</w:t>
      </w:r>
      <w:r w:rsidR="006936D4">
        <w:t xml:space="preserve"> headlamps </w:t>
      </w:r>
      <w:r w:rsidR="00282842" w:rsidRPr="00592E92">
        <w:t xml:space="preserve">from </w:t>
      </w:r>
      <w:r w:rsidR="006936D4">
        <w:t xml:space="preserve">UN </w:t>
      </w:r>
      <w:r w:rsidR="00282842" w:rsidRPr="00592E92">
        <w:t>R</w:t>
      </w:r>
      <w:r w:rsidR="006936D4">
        <w:t>egulation No.</w:t>
      </w:r>
      <w:r w:rsidR="00282842" w:rsidRPr="00592E92">
        <w:t xml:space="preserve"> 53.</w:t>
      </w:r>
      <w:r w:rsidR="00282842">
        <w:t xml:space="preserve"> With the same intention Germany propose</w:t>
      </w:r>
      <w:r w:rsidR="006936D4">
        <w:t>s</w:t>
      </w:r>
      <w:r w:rsidR="00282842">
        <w:t xml:space="preserve"> to delete Class BS</w:t>
      </w:r>
      <w:r w:rsidR="006936D4">
        <w:t xml:space="preserve"> headlamps</w:t>
      </w:r>
      <w:r w:rsidR="00282842">
        <w:t xml:space="preserve"> for motorcycles in </w:t>
      </w:r>
      <w:r w:rsidR="00310F5E">
        <w:t>a S</w:t>
      </w:r>
      <w:r w:rsidR="00282842" w:rsidRPr="00D2070F">
        <w:t>upplement to the 01 series of amendments to UN Regulation No. 53</w:t>
      </w:r>
      <w:r w:rsidR="00282842">
        <w:t>.</w:t>
      </w:r>
    </w:p>
    <w:p w14:paraId="437E50F1" w14:textId="4EAF11DD" w:rsidR="007F6206" w:rsidRPr="00C71AB3" w:rsidRDefault="005A2F36" w:rsidP="007F6206">
      <w:pPr>
        <w:pStyle w:val="HChG"/>
      </w:pPr>
      <w:r w:rsidRPr="003B7557">
        <w:rPr>
          <w:bCs/>
          <w:iCs/>
          <w:noProof/>
          <w:color w:val="000000" w:themeColor="text1"/>
          <w:kern w:val="24"/>
          <w:sz w:val="18"/>
          <w:szCs w:val="18"/>
          <w:highlight w:val="yellow"/>
          <w:lang w:val="en-US" w:eastAsia="fr-FR"/>
        </w:rPr>
        <mc:AlternateContent>
          <mc:Choice Requires="wps">
            <w:drawing>
              <wp:anchor distT="45720" distB="45720" distL="114300" distR="114300" simplePos="0" relativeHeight="251659264" behindDoc="0" locked="0" layoutInCell="1" allowOverlap="1" wp14:anchorId="658ACE49" wp14:editId="1D32F295">
                <wp:simplePos x="0" y="0"/>
                <wp:positionH relativeFrom="margin">
                  <wp:posOffset>3638354</wp:posOffset>
                </wp:positionH>
                <wp:positionV relativeFrom="paragraph">
                  <wp:posOffset>857299</wp:posOffset>
                </wp:positionV>
                <wp:extent cx="2360930" cy="1404620"/>
                <wp:effectExtent l="0" t="0" r="20320" b="2032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28BAB9B" w14:textId="77777777" w:rsidR="007F6206" w:rsidRPr="00504CB6" w:rsidRDefault="007F6206" w:rsidP="007F6206">
                            <w:pPr>
                              <w:rPr>
                                <w:lang w:val="en-US"/>
                              </w:rPr>
                            </w:pPr>
                            <w:r w:rsidRPr="00504CB6">
                              <w:t>The minimum performance of class A and class BS is significantly worse than class B. In many areas, not even 50% of class B is achieved.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58ACE49" id="_x0000_t202" coordsize="21600,21600" o:spt="202" path="m,l,21600r21600,l21600,xe">
                <v:stroke joinstyle="miter"/>
                <v:path gradientshapeok="t" o:connecttype="rect"/>
              </v:shapetype>
              <v:shape id="Textfeld 2" o:spid="_x0000_s1026" type="#_x0000_t202" style="position:absolute;left:0;text-align:left;margin-left:286.5pt;margin-top:67.5pt;width:185.9pt;height:110.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">
                <v:textbox style="mso-fit-shape-to-text:t">
                  <w:txbxContent>
                    <w:p w14:paraId="428BAB9B" w14:textId="77777777" w:rsidR="007F6206" w:rsidRPr="00504CB6" w:rsidRDefault="007F6206" w:rsidP="007F6206">
                      <w:pPr>
                        <w:rPr>
                          <w:lang w:val="en-US"/>
                        </w:rPr>
                      </w:pPr>
                      <w:r w:rsidRPr="00504CB6">
                        <w:t>The minimum performance of class A and class BS is significantly worse than class B. In many areas, not even 50% of class B is achieved.</w:t>
                      </w:r>
                    </w:p>
                  </w:txbxContent>
                </v:textbox>
                <w10:wrap type="square" anchorx="margin"/>
              </v:shape>
            </w:pict>
          </mc:Fallback>
        </mc:AlternateContent>
      </w:r>
      <w:r w:rsidR="00C71AB3">
        <w:tab/>
      </w:r>
      <w:r w:rsidR="007F6206" w:rsidRPr="00C71AB3">
        <w:t>III.</w:t>
      </w:r>
      <w:r w:rsidR="007F6206" w:rsidRPr="00C71AB3">
        <w:tab/>
      </w:r>
      <w:r w:rsidR="007F6206" w:rsidRPr="00C71AB3">
        <w:tab/>
      </w:r>
      <w:r w:rsidR="00507D7A">
        <w:t xml:space="preserve">Extract </w:t>
      </w:r>
      <w:r w:rsidR="00040808">
        <w:t>from</w:t>
      </w:r>
      <w:r w:rsidR="00673E78">
        <w:t xml:space="preserve"> the draft</w:t>
      </w:r>
      <w:r w:rsidR="00673E78" w:rsidRPr="00673E78">
        <w:t xml:space="preserve"> </w:t>
      </w:r>
      <w:r w:rsidR="00673E78">
        <w:t xml:space="preserve">01 </w:t>
      </w:r>
      <w:r w:rsidR="00673E78" w:rsidRPr="00673E78">
        <w:t xml:space="preserve">series of amendments to UN Regulation No. 149 </w:t>
      </w:r>
      <w:r w:rsidR="00673E78">
        <w:t>(</w:t>
      </w:r>
      <w:r w:rsidR="00673E78" w:rsidRPr="00673E78">
        <w:t xml:space="preserve">Road </w:t>
      </w:r>
      <w:r w:rsidR="00673E78">
        <w:t>i</w:t>
      </w:r>
      <w:r w:rsidR="00673E78" w:rsidRPr="00673E78">
        <w:t xml:space="preserve">llumination </w:t>
      </w:r>
      <w:r w:rsidR="00673E78">
        <w:t>d</w:t>
      </w:r>
      <w:r w:rsidR="00673E78" w:rsidRPr="00673E78">
        <w:t>evices)</w:t>
      </w:r>
      <w:r w:rsidR="00673E78">
        <w:t xml:space="preserve"> (</w:t>
      </w:r>
      <w:r w:rsidR="00673E78" w:rsidRPr="00673E78">
        <w:t>ECE/TRANS/WP.29/GRE/2021/14</w:t>
      </w:r>
      <w:r w:rsidR="00673E78">
        <w:t>)</w:t>
      </w:r>
    </w:p>
    <w:p w14:paraId="5C268D7B" w14:textId="1723ACF6" w:rsidR="007F6206" w:rsidRPr="00375F2D" w:rsidRDefault="007F6206" w:rsidP="00D05E26">
      <w:pPr>
        <w:pStyle w:val="HChG"/>
        <w:spacing w:before="0" w:after="120" w:line="240" w:lineRule="atLeast"/>
        <w:ind w:left="2268"/>
        <w:rPr>
          <w:b w:val="0"/>
          <w:bCs/>
          <w:sz w:val="20"/>
          <w:lang w:val="en-US"/>
        </w:rPr>
      </w:pPr>
      <w:bookmarkStart w:id="1" w:name="_Hlk78276159"/>
      <w:r w:rsidRPr="003B7557">
        <w:rPr>
          <w:rFonts w:eastAsiaTheme="minorEastAsia"/>
          <w:b w:val="0"/>
          <w:sz w:val="20"/>
          <w:lang w:val="en-US"/>
        </w:rPr>
        <w:t xml:space="preserve"> </w:t>
      </w:r>
      <w:bookmarkEnd w:id="1"/>
      <w:r w:rsidR="00673E78" w:rsidRPr="00375F2D">
        <w:rPr>
          <w:b w:val="0"/>
          <w:bCs/>
          <w:sz w:val="20"/>
          <w:lang w:val="en-US"/>
        </w:rPr>
        <w:t>"</w:t>
      </w:r>
      <w:r w:rsidRPr="00375F2D">
        <w:rPr>
          <w:b w:val="0"/>
          <w:bCs/>
          <w:sz w:val="20"/>
          <w:lang w:val="en-US"/>
        </w:rPr>
        <w:t>5.1.4.</w:t>
      </w:r>
      <w:r w:rsidRPr="00375F2D">
        <w:rPr>
          <w:b w:val="0"/>
          <w:bCs/>
          <w:sz w:val="20"/>
          <w:lang w:val="en-US"/>
        </w:rPr>
        <w:tab/>
        <w:t xml:space="preserve">The luminous intensity distribution of the driving-beam, referring to Figures A4-II, A4-III or </w:t>
      </w:r>
      <w:r w:rsidRPr="00375F2D">
        <w:rPr>
          <w:b w:val="0"/>
          <w:bCs/>
          <w:color w:val="000000" w:themeColor="text1"/>
          <w:sz w:val="20"/>
          <w:lang w:val="en-US"/>
        </w:rPr>
        <w:t xml:space="preserve">A4-IV, </w:t>
      </w:r>
      <w:r w:rsidRPr="00375F2D">
        <w:rPr>
          <w:b w:val="0"/>
          <w:bCs/>
          <w:sz w:val="20"/>
          <w:lang w:val="en-US"/>
        </w:rPr>
        <w:t>shall meet the requirements of Table 5.</w:t>
      </w:r>
    </w:p>
    <w:p w14:paraId="4E0E99A6" w14:textId="5B11B394" w:rsidR="007F6206" w:rsidRPr="007F738B" w:rsidRDefault="00111F19" w:rsidP="007F6206">
      <w:pPr>
        <w:pStyle w:val="a0"/>
        <w:spacing w:after="0"/>
        <w:rPr>
          <w:lang w:val="en-US"/>
        </w:rPr>
      </w:pPr>
      <w:r>
        <w:rPr>
          <w:noProof/>
          <w:lang w:val="en-US"/>
        </w:rPr>
        <mc:AlternateContent>
          <mc:Choice Requires="wps">
            <w:drawing>
              <wp:anchor distT="0" distB="0" distL="114300" distR="114300" simplePos="0" relativeHeight="251661312" behindDoc="0" locked="0" layoutInCell="1" allowOverlap="1" wp14:anchorId="64BACDD4" wp14:editId="6EEC390A">
                <wp:simplePos x="0" y="0"/>
                <wp:positionH relativeFrom="column">
                  <wp:posOffset>4265148</wp:posOffset>
                </wp:positionH>
                <wp:positionV relativeFrom="paragraph">
                  <wp:posOffset>30089</wp:posOffset>
                </wp:positionV>
                <wp:extent cx="1263162" cy="1585546"/>
                <wp:effectExtent l="38100" t="19050" r="32385" b="53340"/>
                <wp:wrapNone/>
                <wp:docPr id="1" name="Gerade Verbindung mit Pfeil 1"/>
                <wp:cNvGraphicFramePr/>
                <a:graphic xmlns:a="http://schemas.openxmlformats.org/drawingml/2006/main">
                  <a:graphicData uri="http://schemas.microsoft.com/office/word/2010/wordprocessingShape">
                    <wps:wsp>
                      <wps:cNvCnPr/>
                      <wps:spPr>
                        <a:xfrm flipH="1">
                          <a:off x="0" y="0"/>
                          <a:ext cx="1263162" cy="1585546"/>
                        </a:xfrm>
                        <a:prstGeom prst="straightConnector1">
                          <a:avLst/>
                        </a:prstGeom>
                        <a:noFill/>
                        <a:ln w="317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534249D" id="_x0000_t32" coordsize="21600,21600" o:spt="32" o:oned="t" path="m,l21600,21600e" filled="f">
                <v:path arrowok="t" fillok="f" o:connecttype="none"/>
                <o:lock v:ext="edit" shapetype="t"/>
              </v:shapetype>
              <v:shape id="Gerade Verbindung mit Pfeil 1" o:spid="_x0000_s1026" type="#_x0000_t32" style="position:absolute;margin-left:335.85pt;margin-top:2.35pt;width:99.45pt;height:124.8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" strokecolor="windowText" strokeweight="2.5pt">
                <v:stroke endarrow="block" joinstyle="miter"/>
              </v:shape>
            </w:pict>
          </mc:Fallback>
        </mc:AlternateContent>
      </w:r>
      <w:r>
        <w:rPr>
          <w:noProof/>
          <w:lang w:val="en-US"/>
        </w:rPr>
        <mc:AlternateContent>
          <mc:Choice Requires="wps">
            <w:drawing>
              <wp:anchor distT="0" distB="0" distL="114300" distR="114300" simplePos="0" relativeHeight="251660288" behindDoc="0" locked="0" layoutInCell="1" allowOverlap="1" wp14:anchorId="0F19E45E" wp14:editId="353FB603">
                <wp:simplePos x="0" y="0"/>
                <wp:positionH relativeFrom="column">
                  <wp:posOffset>2764595</wp:posOffset>
                </wp:positionH>
                <wp:positionV relativeFrom="paragraph">
                  <wp:posOffset>28624</wp:posOffset>
                </wp:positionV>
                <wp:extent cx="1597269" cy="1824208"/>
                <wp:effectExtent l="38100" t="19050" r="22225" b="43180"/>
                <wp:wrapNone/>
                <wp:docPr id="11" name="Gerade Verbindung mit Pfeil 11"/>
                <wp:cNvGraphicFramePr/>
                <a:graphic xmlns:a="http://schemas.openxmlformats.org/drawingml/2006/main">
                  <a:graphicData uri="http://schemas.microsoft.com/office/word/2010/wordprocessingShape">
                    <wps:wsp>
                      <wps:cNvCnPr/>
                      <wps:spPr>
                        <a:xfrm flipH="1">
                          <a:off x="0" y="0"/>
                          <a:ext cx="1597269" cy="1824208"/>
                        </a:xfrm>
                        <a:prstGeom prst="straightConnector1">
                          <a:avLst/>
                        </a:prstGeom>
                        <a:ln w="317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A8AC2A" id="Gerade Verbindung mit Pfeil 11" o:spid="_x0000_s1026" type="#_x0000_t32" style="position:absolute;margin-left:217.7pt;margin-top:2.25pt;width:125.75pt;height:143.6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" strokecolor="black [3040]" strokeweight="2.5pt">
                <v:stroke endarrow="block"/>
              </v:shape>
            </w:pict>
          </mc:Fallback>
        </mc:AlternateContent>
      </w:r>
      <w:r w:rsidR="007F6206" w:rsidRPr="007F738B">
        <w:t>Table</w:t>
      </w:r>
      <w:r w:rsidR="007F6206" w:rsidRPr="007F738B">
        <w:rPr>
          <w:lang w:val="en-US"/>
        </w:rPr>
        <w:t xml:space="preserve"> 5 </w:t>
      </w:r>
    </w:p>
    <w:p w14:paraId="212959B6" w14:textId="77777777" w:rsidR="007F6206" w:rsidRPr="00BA2863" w:rsidRDefault="007F6206" w:rsidP="00D05E26">
      <w:pPr>
        <w:pStyle w:val="a0"/>
        <w:ind w:left="1134" w:firstLine="0"/>
        <w:rPr>
          <w:b/>
          <w:bCs/>
          <w:lang w:val="en-US"/>
        </w:rPr>
      </w:pPr>
      <w:r w:rsidRPr="00BA2863">
        <w:rPr>
          <w:b/>
          <w:bCs/>
        </w:rPr>
        <w:t>Type</w:t>
      </w:r>
      <w:r w:rsidRPr="00BA2863">
        <w:rPr>
          <w:b/>
          <w:bCs/>
          <w:lang w:val="en-US"/>
        </w:rPr>
        <w:t xml:space="preserve"> approval photometric requirements for driving-beam</w:t>
      </w:r>
    </w:p>
    <w:tbl>
      <w:tblPr>
        <w:tblStyle w:val="TableGrid"/>
        <w:tblW w:w="0" w:type="auto"/>
        <w:tblInd w:w="1129" w:type="dxa"/>
        <w:tblLook w:val="04A0" w:firstRow="1" w:lastRow="0" w:firstColumn="1" w:lastColumn="0" w:noHBand="0" w:noVBand="1"/>
      </w:tblPr>
      <w:tblGrid>
        <w:gridCol w:w="709"/>
        <w:gridCol w:w="709"/>
        <w:gridCol w:w="992"/>
        <w:gridCol w:w="850"/>
        <w:gridCol w:w="851"/>
        <w:gridCol w:w="850"/>
        <w:gridCol w:w="794"/>
        <w:gridCol w:w="1009"/>
        <w:gridCol w:w="1027"/>
      </w:tblGrid>
      <w:tr w:rsidR="007F6206" w:rsidRPr="00D00310" w14:paraId="77324010" w14:textId="77777777" w:rsidTr="000E0B7D">
        <w:trPr>
          <w:trHeight w:val="253"/>
        </w:trPr>
        <w:tc>
          <w:tcPr>
            <w:tcW w:w="709" w:type="dxa"/>
            <w:vMerge w:val="restart"/>
            <w:vAlign w:val="center"/>
          </w:tcPr>
          <w:p w14:paraId="4A635DE1" w14:textId="77777777" w:rsidR="007F6206" w:rsidRPr="00D00310" w:rsidRDefault="007F6206" w:rsidP="00FD5664">
            <w:pPr>
              <w:pStyle w:val="Heading1"/>
              <w:numPr>
                <w:ilvl w:val="0"/>
                <w:numId w:val="0"/>
              </w:numPr>
              <w:spacing w:before="20" w:after="20"/>
              <w:jc w:val="center"/>
              <w:outlineLvl w:val="0"/>
              <w:rPr>
                <w:i/>
                <w:color w:val="000000" w:themeColor="text1"/>
                <w:sz w:val="16"/>
                <w:szCs w:val="16"/>
                <w:lang w:val="en-US"/>
              </w:rPr>
            </w:pPr>
            <w:r w:rsidRPr="00D00310">
              <w:rPr>
                <w:i/>
                <w:sz w:val="16"/>
                <w:szCs w:val="16"/>
                <w:lang w:val="en-US"/>
              </w:rPr>
              <w:t>Element</w:t>
            </w:r>
          </w:p>
        </w:tc>
        <w:tc>
          <w:tcPr>
            <w:tcW w:w="1701" w:type="dxa"/>
            <w:gridSpan w:val="2"/>
            <w:vAlign w:val="center"/>
          </w:tcPr>
          <w:p w14:paraId="61155482" w14:textId="77777777" w:rsidR="007F6206" w:rsidRPr="00D00310" w:rsidRDefault="007F6206" w:rsidP="00FD5664">
            <w:pPr>
              <w:pStyle w:val="Heading1"/>
              <w:numPr>
                <w:ilvl w:val="0"/>
                <w:numId w:val="0"/>
              </w:numPr>
              <w:spacing w:before="20" w:after="20"/>
              <w:jc w:val="center"/>
              <w:outlineLvl w:val="0"/>
              <w:rPr>
                <w:rFonts w:eastAsia="HGSGothicM"/>
                <w:i/>
                <w:sz w:val="16"/>
                <w:szCs w:val="16"/>
                <w:lang w:val="en-US"/>
              </w:rPr>
            </w:pPr>
            <w:r w:rsidRPr="00D00310">
              <w:rPr>
                <w:rFonts w:eastAsia="HGSGothicM"/>
                <w:i/>
                <w:sz w:val="16"/>
                <w:szCs w:val="16"/>
                <w:lang w:val="en-US"/>
              </w:rPr>
              <w:t>Angular coordinates</w:t>
            </w:r>
          </w:p>
          <w:p w14:paraId="0A57DBEB" w14:textId="77777777" w:rsidR="007F6206" w:rsidRPr="00D00310" w:rsidRDefault="007F6206" w:rsidP="00FD5664">
            <w:pPr>
              <w:pStyle w:val="Heading1"/>
              <w:numPr>
                <w:ilvl w:val="0"/>
                <w:numId w:val="0"/>
              </w:numPr>
              <w:spacing w:before="20" w:after="20"/>
              <w:jc w:val="center"/>
              <w:outlineLvl w:val="0"/>
              <w:rPr>
                <w:rFonts w:eastAsia="HGSGothicM"/>
                <w:i/>
                <w:sz w:val="16"/>
                <w:szCs w:val="16"/>
                <w:lang w:val="en-US"/>
              </w:rPr>
            </w:pPr>
            <w:r w:rsidRPr="00D00310">
              <w:rPr>
                <w:rFonts w:eastAsia="HGSGothicM"/>
                <w:i/>
                <w:sz w:val="16"/>
                <w:szCs w:val="16"/>
                <w:lang w:val="en-US"/>
              </w:rPr>
              <w:t xml:space="preserve"> in deg.</w:t>
            </w:r>
          </w:p>
        </w:tc>
        <w:tc>
          <w:tcPr>
            <w:tcW w:w="5381" w:type="dxa"/>
            <w:gridSpan w:val="6"/>
            <w:tcBorders>
              <w:bottom w:val="single" w:sz="4" w:space="0" w:color="auto"/>
            </w:tcBorders>
            <w:vAlign w:val="center"/>
          </w:tcPr>
          <w:p w14:paraId="679C6DEE" w14:textId="77777777" w:rsidR="007F6206" w:rsidRPr="00D00310" w:rsidRDefault="007F6206" w:rsidP="00FD5664">
            <w:pPr>
              <w:pStyle w:val="Heading1"/>
              <w:numPr>
                <w:ilvl w:val="0"/>
                <w:numId w:val="0"/>
              </w:numPr>
              <w:spacing w:before="20" w:after="20"/>
              <w:jc w:val="center"/>
              <w:outlineLvl w:val="0"/>
              <w:rPr>
                <w:i/>
                <w:color w:val="000000" w:themeColor="text1"/>
                <w:sz w:val="16"/>
                <w:szCs w:val="16"/>
                <w:lang w:val="en-US"/>
              </w:rPr>
            </w:pPr>
            <w:r w:rsidRPr="00D00310">
              <w:rPr>
                <w:i/>
                <w:color w:val="000000" w:themeColor="text1"/>
                <w:sz w:val="16"/>
                <w:szCs w:val="16"/>
                <w:lang w:val="en-US"/>
              </w:rPr>
              <w:t>Minimum luminous intensity in cd</w:t>
            </w:r>
          </w:p>
        </w:tc>
      </w:tr>
      <w:tr w:rsidR="007F6206" w:rsidRPr="00D00310" w14:paraId="7508B31C" w14:textId="77777777" w:rsidTr="000E0B7D">
        <w:trPr>
          <w:trHeight w:val="253"/>
        </w:trPr>
        <w:tc>
          <w:tcPr>
            <w:tcW w:w="709" w:type="dxa"/>
            <w:vMerge/>
            <w:vAlign w:val="center"/>
          </w:tcPr>
          <w:p w14:paraId="5DD0A8A3" w14:textId="77777777" w:rsidR="007F6206" w:rsidRPr="00D00310" w:rsidRDefault="007F6206" w:rsidP="00FD5664">
            <w:pPr>
              <w:pStyle w:val="Heading1"/>
              <w:numPr>
                <w:ilvl w:val="0"/>
                <w:numId w:val="0"/>
              </w:numPr>
              <w:spacing w:before="20" w:after="20"/>
              <w:jc w:val="center"/>
              <w:outlineLvl w:val="0"/>
              <w:rPr>
                <w:i/>
                <w:color w:val="000000" w:themeColor="text1"/>
                <w:kern w:val="24"/>
                <w:sz w:val="16"/>
                <w:szCs w:val="16"/>
                <w:lang w:val="en-US"/>
              </w:rPr>
            </w:pPr>
          </w:p>
        </w:tc>
        <w:tc>
          <w:tcPr>
            <w:tcW w:w="709" w:type="dxa"/>
            <w:vAlign w:val="center"/>
          </w:tcPr>
          <w:p w14:paraId="28E254C0" w14:textId="77777777" w:rsidR="007F6206" w:rsidRPr="00D00310" w:rsidRDefault="007F6206" w:rsidP="00FD5664">
            <w:pPr>
              <w:pStyle w:val="Heading1"/>
              <w:numPr>
                <w:ilvl w:val="0"/>
                <w:numId w:val="0"/>
              </w:numPr>
              <w:spacing w:after="20" w:line="360" w:lineRule="auto"/>
              <w:jc w:val="center"/>
              <w:outlineLvl w:val="0"/>
              <w:rPr>
                <w:i/>
                <w:color w:val="000000" w:themeColor="text1"/>
                <w:kern w:val="24"/>
                <w:sz w:val="16"/>
                <w:szCs w:val="16"/>
                <w:lang w:val="en-US"/>
              </w:rPr>
            </w:pPr>
            <w:r w:rsidRPr="00D00310">
              <w:rPr>
                <w:i/>
                <w:sz w:val="16"/>
                <w:szCs w:val="16"/>
                <w:lang w:val="en-US"/>
              </w:rPr>
              <w:t>vertical</w:t>
            </w:r>
          </w:p>
        </w:tc>
        <w:tc>
          <w:tcPr>
            <w:tcW w:w="992" w:type="dxa"/>
          </w:tcPr>
          <w:p w14:paraId="0DDA13EF" w14:textId="77777777" w:rsidR="007F6206" w:rsidRPr="00D00310" w:rsidRDefault="007F6206" w:rsidP="00FD5664">
            <w:pPr>
              <w:pStyle w:val="Heading1"/>
              <w:numPr>
                <w:ilvl w:val="0"/>
                <w:numId w:val="0"/>
              </w:numPr>
              <w:spacing w:after="20" w:line="360" w:lineRule="auto"/>
              <w:jc w:val="center"/>
              <w:outlineLvl w:val="0"/>
              <w:rPr>
                <w:i/>
                <w:color w:val="000000" w:themeColor="text1"/>
                <w:kern w:val="24"/>
                <w:sz w:val="16"/>
                <w:szCs w:val="16"/>
                <w:lang w:val="en-US"/>
              </w:rPr>
            </w:pPr>
            <w:r w:rsidRPr="00D00310">
              <w:rPr>
                <w:i/>
                <w:sz w:val="16"/>
                <w:szCs w:val="16"/>
                <w:lang w:val="en-US"/>
              </w:rPr>
              <w:t>horizontal</w:t>
            </w:r>
          </w:p>
        </w:tc>
        <w:tc>
          <w:tcPr>
            <w:tcW w:w="850" w:type="dxa"/>
            <w:tcBorders>
              <w:top w:val="single" w:sz="12" w:space="0" w:color="auto"/>
            </w:tcBorders>
            <w:vAlign w:val="center"/>
          </w:tcPr>
          <w:p w14:paraId="023B648F" w14:textId="77777777" w:rsidR="007F6206" w:rsidRPr="003B7557" w:rsidRDefault="007F6206" w:rsidP="00FD5664">
            <w:pPr>
              <w:pStyle w:val="Heading1"/>
              <w:numPr>
                <w:ilvl w:val="0"/>
                <w:numId w:val="0"/>
              </w:numPr>
              <w:spacing w:before="20" w:after="20"/>
              <w:jc w:val="center"/>
              <w:outlineLvl w:val="0"/>
              <w:rPr>
                <w:i/>
                <w:color w:val="000000" w:themeColor="text1"/>
                <w:kern w:val="24"/>
                <w:sz w:val="16"/>
                <w:szCs w:val="16"/>
                <w:highlight w:val="yellow"/>
                <w:lang w:val="en-US"/>
              </w:rPr>
            </w:pPr>
            <w:r w:rsidRPr="003B7557">
              <w:rPr>
                <w:i/>
                <w:color w:val="000000" w:themeColor="text1"/>
                <w:kern w:val="24"/>
                <w:sz w:val="16"/>
                <w:szCs w:val="16"/>
                <w:highlight w:val="yellow"/>
                <w:lang w:val="en-US"/>
              </w:rPr>
              <w:t>Class A</w:t>
            </w:r>
          </w:p>
        </w:tc>
        <w:tc>
          <w:tcPr>
            <w:tcW w:w="851" w:type="dxa"/>
            <w:tcBorders>
              <w:top w:val="single" w:sz="12" w:space="0" w:color="auto"/>
            </w:tcBorders>
            <w:vAlign w:val="center"/>
          </w:tcPr>
          <w:p w14:paraId="3B8D8649" w14:textId="77777777" w:rsidR="007F6206" w:rsidRPr="00D00310" w:rsidRDefault="007F6206" w:rsidP="00FD5664">
            <w:pPr>
              <w:pStyle w:val="Heading1"/>
              <w:numPr>
                <w:ilvl w:val="0"/>
                <w:numId w:val="0"/>
              </w:numPr>
              <w:spacing w:before="20" w:after="20"/>
              <w:jc w:val="center"/>
              <w:outlineLvl w:val="0"/>
              <w:rPr>
                <w:i/>
                <w:color w:val="000000" w:themeColor="text1"/>
                <w:kern w:val="24"/>
                <w:sz w:val="16"/>
                <w:szCs w:val="16"/>
                <w:lang w:val="en-US"/>
              </w:rPr>
            </w:pPr>
            <w:r w:rsidRPr="00D00310">
              <w:rPr>
                <w:i/>
                <w:color w:val="000000" w:themeColor="text1"/>
                <w:kern w:val="24"/>
                <w:sz w:val="16"/>
                <w:szCs w:val="16"/>
                <w:lang w:val="en-US"/>
              </w:rPr>
              <w:t>Class B</w:t>
            </w:r>
          </w:p>
        </w:tc>
        <w:tc>
          <w:tcPr>
            <w:tcW w:w="850" w:type="dxa"/>
            <w:tcBorders>
              <w:top w:val="single" w:sz="12" w:space="0" w:color="auto"/>
            </w:tcBorders>
            <w:vAlign w:val="center"/>
          </w:tcPr>
          <w:p w14:paraId="3F656B2D" w14:textId="77777777" w:rsidR="007F6206" w:rsidRPr="00D00310" w:rsidRDefault="007F6206" w:rsidP="00FD5664">
            <w:pPr>
              <w:pStyle w:val="Heading1"/>
              <w:numPr>
                <w:ilvl w:val="0"/>
                <w:numId w:val="0"/>
              </w:numPr>
              <w:spacing w:before="20" w:after="20"/>
              <w:jc w:val="center"/>
              <w:outlineLvl w:val="0"/>
              <w:rPr>
                <w:i/>
                <w:color w:val="000000" w:themeColor="text1"/>
                <w:sz w:val="16"/>
                <w:szCs w:val="16"/>
                <w:lang w:val="en-US"/>
              </w:rPr>
            </w:pPr>
            <w:r w:rsidRPr="00D00310">
              <w:rPr>
                <w:i/>
                <w:color w:val="000000" w:themeColor="text1"/>
                <w:sz w:val="16"/>
                <w:szCs w:val="16"/>
                <w:lang w:val="en-US"/>
              </w:rPr>
              <w:t>Class RA (Auxiliary)</w:t>
            </w:r>
          </w:p>
        </w:tc>
        <w:tc>
          <w:tcPr>
            <w:tcW w:w="794" w:type="dxa"/>
            <w:tcBorders>
              <w:top w:val="single" w:sz="12" w:space="0" w:color="auto"/>
            </w:tcBorders>
            <w:vAlign w:val="center"/>
          </w:tcPr>
          <w:p w14:paraId="30CD60DC" w14:textId="77777777" w:rsidR="007F6206" w:rsidRPr="00D00310" w:rsidRDefault="007F6206" w:rsidP="00FD5664">
            <w:pPr>
              <w:pStyle w:val="Heading1"/>
              <w:numPr>
                <w:ilvl w:val="0"/>
                <w:numId w:val="0"/>
              </w:numPr>
              <w:spacing w:before="20" w:after="20"/>
              <w:jc w:val="center"/>
              <w:outlineLvl w:val="0"/>
              <w:rPr>
                <w:i/>
                <w:color w:val="000000" w:themeColor="text1"/>
                <w:sz w:val="16"/>
                <w:szCs w:val="16"/>
                <w:lang w:val="en-US"/>
              </w:rPr>
            </w:pPr>
            <w:r w:rsidRPr="00BE7F09">
              <w:rPr>
                <w:i/>
                <w:color w:val="000000" w:themeColor="text1"/>
                <w:sz w:val="16"/>
                <w:szCs w:val="16"/>
                <w:highlight w:val="yellow"/>
                <w:lang w:val="en-US"/>
              </w:rPr>
              <w:t>Class BS</w:t>
            </w:r>
          </w:p>
        </w:tc>
        <w:tc>
          <w:tcPr>
            <w:tcW w:w="1009" w:type="dxa"/>
            <w:tcBorders>
              <w:top w:val="single" w:sz="12" w:space="0" w:color="auto"/>
            </w:tcBorders>
            <w:vAlign w:val="center"/>
          </w:tcPr>
          <w:p w14:paraId="5209A4A6" w14:textId="77777777" w:rsidR="007F6206" w:rsidRPr="00D00310" w:rsidRDefault="007F6206" w:rsidP="00FD5664">
            <w:pPr>
              <w:pStyle w:val="Heading1"/>
              <w:numPr>
                <w:ilvl w:val="0"/>
                <w:numId w:val="0"/>
              </w:numPr>
              <w:spacing w:before="20" w:after="20"/>
              <w:jc w:val="center"/>
              <w:outlineLvl w:val="0"/>
              <w:rPr>
                <w:i/>
                <w:sz w:val="16"/>
                <w:szCs w:val="16"/>
                <w:lang w:val="en-US"/>
              </w:rPr>
            </w:pPr>
            <w:r w:rsidRPr="00D00310">
              <w:rPr>
                <w:i/>
                <w:color w:val="000000" w:themeColor="text1"/>
                <w:sz w:val="16"/>
                <w:szCs w:val="16"/>
                <w:lang w:val="en-US"/>
              </w:rPr>
              <w:t xml:space="preserve">Class CS </w:t>
            </w:r>
            <w:r w:rsidRPr="00D00310">
              <w:rPr>
                <w:i/>
                <w:sz w:val="16"/>
                <w:szCs w:val="16"/>
                <w:lang w:val="en-US"/>
              </w:rPr>
              <w:t>(Secondary)</w:t>
            </w:r>
          </w:p>
        </w:tc>
        <w:tc>
          <w:tcPr>
            <w:tcW w:w="1027" w:type="dxa"/>
            <w:tcBorders>
              <w:top w:val="single" w:sz="12" w:space="0" w:color="auto"/>
            </w:tcBorders>
            <w:vAlign w:val="center"/>
          </w:tcPr>
          <w:p w14:paraId="56FE4E25" w14:textId="77777777" w:rsidR="007F6206" w:rsidRPr="00D00310" w:rsidRDefault="007F6206" w:rsidP="00FD5664">
            <w:pPr>
              <w:pStyle w:val="Heading1"/>
              <w:numPr>
                <w:ilvl w:val="0"/>
                <w:numId w:val="0"/>
              </w:numPr>
              <w:spacing w:before="20" w:after="20"/>
              <w:jc w:val="center"/>
              <w:outlineLvl w:val="0"/>
              <w:rPr>
                <w:i/>
                <w:sz w:val="16"/>
                <w:szCs w:val="16"/>
                <w:lang w:val="en-US"/>
              </w:rPr>
            </w:pPr>
            <w:r w:rsidRPr="00D00310">
              <w:rPr>
                <w:i/>
                <w:color w:val="000000" w:themeColor="text1"/>
                <w:sz w:val="16"/>
                <w:szCs w:val="16"/>
                <w:lang w:val="en-US"/>
              </w:rPr>
              <w:t xml:space="preserve">Class DS </w:t>
            </w:r>
            <w:r w:rsidRPr="00D00310">
              <w:rPr>
                <w:i/>
                <w:sz w:val="16"/>
                <w:szCs w:val="16"/>
                <w:lang w:val="en-US"/>
              </w:rPr>
              <w:t>(Secondary)</w:t>
            </w:r>
          </w:p>
        </w:tc>
      </w:tr>
      <w:tr w:rsidR="007F6206" w:rsidRPr="007F738B" w14:paraId="393D737F" w14:textId="77777777" w:rsidTr="000E0B7D">
        <w:trPr>
          <w:trHeight w:val="253"/>
        </w:trPr>
        <w:tc>
          <w:tcPr>
            <w:tcW w:w="709" w:type="dxa"/>
            <w:tcBorders>
              <w:top w:val="single" w:sz="12" w:space="0" w:color="auto"/>
            </w:tcBorders>
            <w:vAlign w:val="center"/>
          </w:tcPr>
          <w:p w14:paraId="69CC38EC" w14:textId="77777777" w:rsidR="007F6206" w:rsidRPr="007F738B" w:rsidRDefault="007F6206" w:rsidP="00FD5664">
            <w:pPr>
              <w:pStyle w:val="Heading1"/>
              <w:numPr>
                <w:ilvl w:val="0"/>
                <w:numId w:val="0"/>
              </w:numPr>
              <w:spacing w:before="20" w:after="20"/>
              <w:jc w:val="center"/>
              <w:outlineLvl w:val="0"/>
              <w:rPr>
                <w:b/>
                <w:bCs/>
                <w:iCs/>
                <w:color w:val="000000" w:themeColor="text1"/>
                <w:sz w:val="18"/>
                <w:szCs w:val="18"/>
                <w:lang w:val="en-US"/>
              </w:rPr>
            </w:pPr>
            <w:r w:rsidRPr="007F738B">
              <w:rPr>
                <w:iCs/>
                <w:color w:val="000000" w:themeColor="text1"/>
                <w:kern w:val="24"/>
                <w:sz w:val="18"/>
                <w:szCs w:val="18"/>
                <w:lang w:val="en-US"/>
              </w:rPr>
              <w:t>2U-V</w:t>
            </w:r>
          </w:p>
        </w:tc>
        <w:tc>
          <w:tcPr>
            <w:tcW w:w="709" w:type="dxa"/>
            <w:tcBorders>
              <w:top w:val="single" w:sz="12" w:space="0" w:color="auto"/>
            </w:tcBorders>
            <w:vAlign w:val="center"/>
          </w:tcPr>
          <w:p w14:paraId="5AB0AA65" w14:textId="77777777" w:rsidR="007F6206" w:rsidRPr="007F738B" w:rsidRDefault="007F6206" w:rsidP="00FD5664">
            <w:pPr>
              <w:pStyle w:val="Heading1"/>
              <w:numPr>
                <w:ilvl w:val="0"/>
                <w:numId w:val="0"/>
              </w:numPr>
              <w:spacing w:before="20" w:after="20"/>
              <w:jc w:val="center"/>
              <w:outlineLvl w:val="0"/>
              <w:rPr>
                <w:b/>
                <w:bCs/>
                <w:iCs/>
                <w:color w:val="000000" w:themeColor="text1"/>
                <w:sz w:val="18"/>
                <w:szCs w:val="18"/>
                <w:lang w:val="en-US"/>
              </w:rPr>
            </w:pPr>
            <w:r w:rsidRPr="007F738B">
              <w:rPr>
                <w:iCs/>
                <w:color w:val="000000" w:themeColor="text1"/>
                <w:kern w:val="24"/>
                <w:sz w:val="18"/>
                <w:szCs w:val="18"/>
                <w:lang w:val="en-US"/>
              </w:rPr>
              <w:t>2°U</w:t>
            </w:r>
          </w:p>
        </w:tc>
        <w:tc>
          <w:tcPr>
            <w:tcW w:w="992" w:type="dxa"/>
            <w:tcBorders>
              <w:top w:val="single" w:sz="12" w:space="0" w:color="auto"/>
            </w:tcBorders>
            <w:vAlign w:val="center"/>
          </w:tcPr>
          <w:p w14:paraId="4685DDC7" w14:textId="77777777" w:rsidR="007F6206" w:rsidRPr="007F738B" w:rsidRDefault="007F6206" w:rsidP="00FD5664">
            <w:pPr>
              <w:pStyle w:val="Heading1"/>
              <w:numPr>
                <w:ilvl w:val="0"/>
                <w:numId w:val="0"/>
              </w:numPr>
              <w:spacing w:before="20" w:after="20"/>
              <w:jc w:val="center"/>
              <w:outlineLvl w:val="0"/>
              <w:rPr>
                <w:b/>
                <w:bCs/>
                <w:iCs/>
                <w:color w:val="000000" w:themeColor="text1"/>
                <w:sz w:val="18"/>
                <w:szCs w:val="18"/>
                <w:lang w:val="en-US"/>
              </w:rPr>
            </w:pPr>
            <w:r w:rsidRPr="007F738B">
              <w:rPr>
                <w:iCs/>
                <w:color w:val="000000" w:themeColor="text1"/>
                <w:kern w:val="24"/>
                <w:sz w:val="18"/>
                <w:szCs w:val="18"/>
                <w:lang w:val="en-US"/>
              </w:rPr>
              <w:t>0°</w:t>
            </w:r>
          </w:p>
        </w:tc>
        <w:tc>
          <w:tcPr>
            <w:tcW w:w="850" w:type="dxa"/>
            <w:tcBorders>
              <w:top w:val="single" w:sz="12" w:space="0" w:color="auto"/>
            </w:tcBorders>
            <w:vAlign w:val="center"/>
          </w:tcPr>
          <w:p w14:paraId="1899E327" w14:textId="77777777" w:rsidR="007F6206" w:rsidRPr="003B7557" w:rsidRDefault="007F6206" w:rsidP="00FD5664">
            <w:pPr>
              <w:pStyle w:val="Heading1"/>
              <w:numPr>
                <w:ilvl w:val="0"/>
                <w:numId w:val="0"/>
              </w:numPr>
              <w:spacing w:before="20" w:after="20"/>
              <w:jc w:val="center"/>
              <w:outlineLvl w:val="0"/>
              <w:rPr>
                <w:bCs/>
                <w:iCs/>
                <w:color w:val="000000" w:themeColor="text1"/>
                <w:sz w:val="18"/>
                <w:szCs w:val="18"/>
                <w:highlight w:val="yellow"/>
                <w:lang w:val="en-US"/>
              </w:rPr>
            </w:pPr>
            <w:r w:rsidRPr="003B7557">
              <w:rPr>
                <w:iCs/>
                <w:color w:val="000000" w:themeColor="text1"/>
                <w:kern w:val="24"/>
                <w:sz w:val="18"/>
                <w:szCs w:val="18"/>
                <w:highlight w:val="yellow"/>
                <w:lang w:val="en-US"/>
              </w:rPr>
              <w:t>1.00∙10</w:t>
            </w:r>
            <w:r w:rsidRPr="003B7557">
              <w:rPr>
                <w:iCs/>
                <w:color w:val="000000" w:themeColor="text1"/>
                <w:kern w:val="24"/>
                <w:sz w:val="18"/>
                <w:szCs w:val="18"/>
                <w:highlight w:val="yellow"/>
                <w:vertAlign w:val="superscript"/>
                <w:lang w:val="en-US"/>
              </w:rPr>
              <w:t>3</w:t>
            </w:r>
          </w:p>
        </w:tc>
        <w:tc>
          <w:tcPr>
            <w:tcW w:w="851" w:type="dxa"/>
            <w:tcBorders>
              <w:top w:val="single" w:sz="12" w:space="0" w:color="auto"/>
            </w:tcBorders>
            <w:vAlign w:val="center"/>
          </w:tcPr>
          <w:p w14:paraId="62AC0A0F" w14:textId="77777777" w:rsidR="007F6206" w:rsidRPr="007F738B" w:rsidRDefault="007F6206" w:rsidP="00FD5664">
            <w:pPr>
              <w:pStyle w:val="Heading1"/>
              <w:numPr>
                <w:ilvl w:val="0"/>
                <w:numId w:val="0"/>
              </w:numPr>
              <w:spacing w:before="20" w:after="20"/>
              <w:jc w:val="center"/>
              <w:outlineLvl w:val="0"/>
              <w:rPr>
                <w:b/>
                <w:bCs/>
                <w:iCs/>
                <w:color w:val="000000" w:themeColor="text1"/>
                <w:sz w:val="18"/>
                <w:szCs w:val="18"/>
                <w:lang w:val="en-US"/>
              </w:rPr>
            </w:pPr>
            <w:r w:rsidRPr="007F738B">
              <w:rPr>
                <w:iCs/>
                <w:color w:val="000000" w:themeColor="text1"/>
                <w:kern w:val="24"/>
                <w:sz w:val="18"/>
                <w:szCs w:val="18"/>
                <w:lang w:val="en-US"/>
              </w:rPr>
              <w:t>1.70∙10</w:t>
            </w:r>
            <w:r w:rsidRPr="007F738B">
              <w:rPr>
                <w:iCs/>
                <w:color w:val="000000" w:themeColor="text1"/>
                <w:kern w:val="24"/>
                <w:sz w:val="18"/>
                <w:szCs w:val="18"/>
                <w:vertAlign w:val="superscript"/>
                <w:lang w:val="en-US"/>
              </w:rPr>
              <w:t>3</w:t>
            </w:r>
          </w:p>
        </w:tc>
        <w:tc>
          <w:tcPr>
            <w:tcW w:w="850" w:type="dxa"/>
            <w:tcBorders>
              <w:top w:val="single" w:sz="12" w:space="0" w:color="auto"/>
            </w:tcBorders>
            <w:vAlign w:val="center"/>
          </w:tcPr>
          <w:p w14:paraId="7D0AD8CE" w14:textId="77777777" w:rsidR="007F6206" w:rsidRPr="007F738B" w:rsidRDefault="007F6206" w:rsidP="00FD5664">
            <w:pPr>
              <w:pStyle w:val="Heading1"/>
              <w:numPr>
                <w:ilvl w:val="0"/>
                <w:numId w:val="0"/>
              </w:numPr>
              <w:spacing w:before="20" w:after="20"/>
              <w:jc w:val="center"/>
              <w:outlineLvl w:val="0"/>
              <w:rPr>
                <w:b/>
                <w:bCs/>
                <w:iCs/>
                <w:color w:val="000000" w:themeColor="text1"/>
                <w:sz w:val="18"/>
                <w:szCs w:val="18"/>
                <w:lang w:val="en-US"/>
              </w:rPr>
            </w:pPr>
            <w:r w:rsidRPr="007F738B">
              <w:rPr>
                <w:iCs/>
                <w:color w:val="000000" w:themeColor="text1"/>
                <w:sz w:val="18"/>
                <w:szCs w:val="18"/>
                <w:lang w:val="en-US"/>
              </w:rPr>
              <w:t>-</w:t>
            </w:r>
          </w:p>
        </w:tc>
        <w:tc>
          <w:tcPr>
            <w:tcW w:w="794" w:type="dxa"/>
            <w:tcBorders>
              <w:top w:val="single" w:sz="12" w:space="0" w:color="auto"/>
            </w:tcBorders>
            <w:vAlign w:val="center"/>
          </w:tcPr>
          <w:p w14:paraId="242C649A" w14:textId="77777777" w:rsidR="007F6206" w:rsidRPr="00BE7F09" w:rsidRDefault="007F6206" w:rsidP="00FD5664">
            <w:pPr>
              <w:pStyle w:val="Heading1"/>
              <w:numPr>
                <w:ilvl w:val="0"/>
                <w:numId w:val="0"/>
              </w:numPr>
              <w:spacing w:before="20" w:after="20"/>
              <w:jc w:val="center"/>
              <w:outlineLvl w:val="0"/>
              <w:rPr>
                <w:b/>
                <w:bCs/>
                <w:iCs/>
                <w:color w:val="000000" w:themeColor="text1"/>
                <w:sz w:val="18"/>
                <w:szCs w:val="18"/>
                <w:highlight w:val="yellow"/>
                <w:lang w:val="en-US"/>
              </w:rPr>
            </w:pPr>
            <w:r w:rsidRPr="00BE7F09">
              <w:rPr>
                <w:iCs/>
                <w:color w:val="000000" w:themeColor="text1"/>
                <w:sz w:val="18"/>
                <w:szCs w:val="18"/>
                <w:highlight w:val="yellow"/>
                <w:lang w:val="en-US"/>
              </w:rPr>
              <w:t>-</w:t>
            </w:r>
          </w:p>
        </w:tc>
        <w:tc>
          <w:tcPr>
            <w:tcW w:w="1009" w:type="dxa"/>
            <w:tcBorders>
              <w:top w:val="single" w:sz="12" w:space="0" w:color="auto"/>
            </w:tcBorders>
            <w:vAlign w:val="center"/>
          </w:tcPr>
          <w:p w14:paraId="561C34E5" w14:textId="77777777" w:rsidR="007F6206" w:rsidRPr="007F738B" w:rsidRDefault="007F6206" w:rsidP="00FD5664">
            <w:pPr>
              <w:pStyle w:val="Heading1"/>
              <w:numPr>
                <w:ilvl w:val="0"/>
                <w:numId w:val="0"/>
              </w:numPr>
              <w:spacing w:before="20" w:after="20"/>
              <w:jc w:val="center"/>
              <w:outlineLvl w:val="0"/>
              <w:rPr>
                <w:b/>
                <w:bCs/>
                <w:iCs/>
                <w:color w:val="000000" w:themeColor="text1"/>
                <w:sz w:val="18"/>
                <w:szCs w:val="18"/>
                <w:lang w:val="en-US"/>
              </w:rPr>
            </w:pPr>
            <w:r w:rsidRPr="007F738B">
              <w:rPr>
                <w:iCs/>
                <w:color w:val="000000" w:themeColor="text1"/>
                <w:sz w:val="18"/>
                <w:szCs w:val="18"/>
                <w:lang w:val="en-US"/>
              </w:rPr>
              <w:t>1.00</w:t>
            </w:r>
            <w:r w:rsidRPr="007F738B">
              <w:rPr>
                <w:iCs/>
                <w:color w:val="000000" w:themeColor="text1"/>
                <w:kern w:val="24"/>
                <w:sz w:val="18"/>
                <w:szCs w:val="18"/>
                <w:lang w:val="en-US"/>
              </w:rPr>
              <w:t>∙10</w:t>
            </w:r>
            <w:r w:rsidRPr="007F738B">
              <w:rPr>
                <w:iCs/>
                <w:color w:val="000000" w:themeColor="text1"/>
                <w:kern w:val="24"/>
                <w:sz w:val="18"/>
                <w:szCs w:val="18"/>
                <w:vertAlign w:val="superscript"/>
                <w:lang w:val="en-US"/>
              </w:rPr>
              <w:t>3</w:t>
            </w:r>
          </w:p>
        </w:tc>
        <w:tc>
          <w:tcPr>
            <w:tcW w:w="1027" w:type="dxa"/>
            <w:tcBorders>
              <w:top w:val="single" w:sz="12" w:space="0" w:color="auto"/>
            </w:tcBorders>
            <w:vAlign w:val="center"/>
          </w:tcPr>
          <w:p w14:paraId="132623F0" w14:textId="77777777" w:rsidR="007F6206" w:rsidRPr="007F738B" w:rsidRDefault="007F6206" w:rsidP="00FD5664">
            <w:pPr>
              <w:pStyle w:val="Heading1"/>
              <w:numPr>
                <w:ilvl w:val="0"/>
                <w:numId w:val="0"/>
              </w:numPr>
              <w:spacing w:before="20" w:after="20"/>
              <w:jc w:val="center"/>
              <w:outlineLvl w:val="0"/>
              <w:rPr>
                <w:b/>
                <w:bCs/>
                <w:iCs/>
                <w:color w:val="000000" w:themeColor="text1"/>
                <w:sz w:val="18"/>
                <w:szCs w:val="18"/>
                <w:lang w:val="en-US"/>
              </w:rPr>
            </w:pPr>
            <w:r w:rsidRPr="007F738B">
              <w:rPr>
                <w:iCs/>
                <w:color w:val="000000" w:themeColor="text1"/>
                <w:sz w:val="18"/>
                <w:szCs w:val="18"/>
                <w:lang w:val="en-US"/>
              </w:rPr>
              <w:t>1.70</w:t>
            </w:r>
            <w:r w:rsidRPr="007F738B">
              <w:rPr>
                <w:iCs/>
                <w:color w:val="000000" w:themeColor="text1"/>
                <w:kern w:val="24"/>
                <w:sz w:val="18"/>
                <w:szCs w:val="18"/>
                <w:lang w:val="en-US"/>
              </w:rPr>
              <w:t>∙10</w:t>
            </w:r>
            <w:r w:rsidRPr="007F738B">
              <w:rPr>
                <w:iCs/>
                <w:color w:val="000000" w:themeColor="text1"/>
                <w:kern w:val="24"/>
                <w:sz w:val="18"/>
                <w:szCs w:val="18"/>
                <w:vertAlign w:val="superscript"/>
                <w:lang w:val="en-US"/>
              </w:rPr>
              <w:t>3</w:t>
            </w:r>
          </w:p>
        </w:tc>
      </w:tr>
      <w:tr w:rsidR="007F6206" w:rsidRPr="007F738B" w14:paraId="5797BA01" w14:textId="77777777" w:rsidTr="000E0B7D">
        <w:trPr>
          <w:trHeight w:val="253"/>
        </w:trPr>
        <w:tc>
          <w:tcPr>
            <w:tcW w:w="709" w:type="dxa"/>
            <w:vAlign w:val="center"/>
          </w:tcPr>
          <w:p w14:paraId="0584A9A7" w14:textId="77777777" w:rsidR="007F6206" w:rsidRPr="007F738B" w:rsidRDefault="007F6206" w:rsidP="00FD5664">
            <w:pPr>
              <w:pStyle w:val="Heading1"/>
              <w:numPr>
                <w:ilvl w:val="0"/>
                <w:numId w:val="0"/>
              </w:numPr>
              <w:spacing w:before="20" w:after="20"/>
              <w:jc w:val="center"/>
              <w:outlineLvl w:val="0"/>
              <w:rPr>
                <w:b/>
                <w:bCs/>
                <w:iCs/>
                <w:color w:val="000000" w:themeColor="text1"/>
                <w:kern w:val="24"/>
                <w:sz w:val="18"/>
                <w:szCs w:val="18"/>
                <w:lang w:val="en-US"/>
              </w:rPr>
            </w:pPr>
            <w:r w:rsidRPr="007F738B">
              <w:rPr>
                <w:iCs/>
                <w:color w:val="000000" w:themeColor="text1"/>
                <w:kern w:val="24"/>
                <w:sz w:val="18"/>
                <w:szCs w:val="18"/>
                <w:lang w:val="en-US"/>
              </w:rPr>
              <w:t>H-12L</w:t>
            </w:r>
          </w:p>
        </w:tc>
        <w:tc>
          <w:tcPr>
            <w:tcW w:w="709" w:type="dxa"/>
            <w:vAlign w:val="center"/>
          </w:tcPr>
          <w:p w14:paraId="4D6D2F54" w14:textId="77777777" w:rsidR="007F6206" w:rsidRPr="007F738B" w:rsidRDefault="007F6206" w:rsidP="00FD5664">
            <w:pPr>
              <w:pStyle w:val="Heading1"/>
              <w:numPr>
                <w:ilvl w:val="0"/>
                <w:numId w:val="0"/>
              </w:numPr>
              <w:spacing w:before="20" w:after="20"/>
              <w:jc w:val="center"/>
              <w:outlineLvl w:val="0"/>
              <w:rPr>
                <w:b/>
                <w:bCs/>
                <w:iCs/>
                <w:color w:val="000000" w:themeColor="text1"/>
                <w:kern w:val="24"/>
                <w:sz w:val="18"/>
                <w:szCs w:val="18"/>
                <w:lang w:val="en-US"/>
              </w:rPr>
            </w:pPr>
            <w:r w:rsidRPr="007F738B">
              <w:rPr>
                <w:iCs/>
                <w:color w:val="000000" w:themeColor="text1"/>
                <w:kern w:val="24"/>
                <w:sz w:val="18"/>
                <w:szCs w:val="18"/>
                <w:lang w:val="en-US"/>
              </w:rPr>
              <w:t>0°</w:t>
            </w:r>
          </w:p>
        </w:tc>
        <w:tc>
          <w:tcPr>
            <w:tcW w:w="992" w:type="dxa"/>
            <w:vAlign w:val="center"/>
          </w:tcPr>
          <w:p w14:paraId="70BD842D" w14:textId="77777777" w:rsidR="007F6206" w:rsidRPr="007F738B" w:rsidRDefault="007F6206" w:rsidP="00FD5664">
            <w:pPr>
              <w:pStyle w:val="Heading1"/>
              <w:numPr>
                <w:ilvl w:val="0"/>
                <w:numId w:val="0"/>
              </w:numPr>
              <w:spacing w:before="20" w:after="20"/>
              <w:jc w:val="center"/>
              <w:outlineLvl w:val="0"/>
              <w:rPr>
                <w:b/>
                <w:bCs/>
                <w:iCs/>
                <w:color w:val="000000" w:themeColor="text1"/>
                <w:kern w:val="24"/>
                <w:sz w:val="18"/>
                <w:szCs w:val="18"/>
                <w:lang w:val="en-US"/>
              </w:rPr>
            </w:pPr>
            <w:r w:rsidRPr="007F738B">
              <w:rPr>
                <w:iCs/>
                <w:color w:val="000000" w:themeColor="text1"/>
                <w:kern w:val="24"/>
                <w:sz w:val="18"/>
                <w:szCs w:val="18"/>
                <w:lang w:val="en-US"/>
              </w:rPr>
              <w:t>12°L</w:t>
            </w:r>
          </w:p>
        </w:tc>
        <w:tc>
          <w:tcPr>
            <w:tcW w:w="850" w:type="dxa"/>
            <w:vAlign w:val="center"/>
          </w:tcPr>
          <w:p w14:paraId="3184AA4F" w14:textId="77777777" w:rsidR="007F6206" w:rsidRPr="003B7557" w:rsidRDefault="007F6206" w:rsidP="00FD5664">
            <w:pPr>
              <w:pStyle w:val="Heading1"/>
              <w:numPr>
                <w:ilvl w:val="0"/>
                <w:numId w:val="0"/>
              </w:numPr>
              <w:spacing w:before="20" w:after="20"/>
              <w:jc w:val="center"/>
              <w:outlineLvl w:val="0"/>
              <w:rPr>
                <w:bCs/>
                <w:iCs/>
                <w:color w:val="000000" w:themeColor="text1"/>
                <w:kern w:val="24"/>
                <w:sz w:val="18"/>
                <w:szCs w:val="18"/>
                <w:highlight w:val="yellow"/>
                <w:lang w:val="en-US"/>
              </w:rPr>
            </w:pPr>
            <w:r w:rsidRPr="003B7557">
              <w:rPr>
                <w:iCs/>
                <w:color w:val="000000" w:themeColor="text1"/>
                <w:kern w:val="24"/>
                <w:sz w:val="18"/>
                <w:szCs w:val="18"/>
                <w:highlight w:val="yellow"/>
                <w:lang w:val="en-US"/>
              </w:rPr>
              <w:t>6.00∙10</w:t>
            </w:r>
            <w:r w:rsidRPr="003B7557">
              <w:rPr>
                <w:iCs/>
                <w:color w:val="000000" w:themeColor="text1"/>
                <w:kern w:val="24"/>
                <w:sz w:val="18"/>
                <w:szCs w:val="18"/>
                <w:highlight w:val="yellow"/>
                <w:vertAlign w:val="superscript"/>
                <w:lang w:val="en-US"/>
              </w:rPr>
              <w:t>2</w:t>
            </w:r>
          </w:p>
        </w:tc>
        <w:tc>
          <w:tcPr>
            <w:tcW w:w="851" w:type="dxa"/>
            <w:vAlign w:val="center"/>
          </w:tcPr>
          <w:p w14:paraId="49866B32" w14:textId="77777777" w:rsidR="007F6206" w:rsidRPr="007F738B" w:rsidRDefault="007F6206" w:rsidP="00FD5664">
            <w:pPr>
              <w:pStyle w:val="Heading1"/>
              <w:numPr>
                <w:ilvl w:val="0"/>
                <w:numId w:val="0"/>
              </w:numPr>
              <w:spacing w:before="20" w:after="20"/>
              <w:jc w:val="center"/>
              <w:outlineLvl w:val="0"/>
              <w:rPr>
                <w:b/>
                <w:bCs/>
                <w:iCs/>
                <w:color w:val="000000" w:themeColor="text1"/>
                <w:kern w:val="24"/>
                <w:sz w:val="18"/>
                <w:szCs w:val="18"/>
                <w:lang w:val="en-US"/>
              </w:rPr>
            </w:pPr>
            <w:r w:rsidRPr="007F738B">
              <w:rPr>
                <w:iCs/>
                <w:color w:val="000000" w:themeColor="text1"/>
                <w:kern w:val="24"/>
                <w:sz w:val="18"/>
                <w:szCs w:val="18"/>
                <w:lang w:val="en-US"/>
              </w:rPr>
              <w:t>1.50∙10</w:t>
            </w:r>
            <w:r w:rsidRPr="007F738B">
              <w:rPr>
                <w:iCs/>
                <w:color w:val="000000" w:themeColor="text1"/>
                <w:kern w:val="24"/>
                <w:sz w:val="18"/>
                <w:szCs w:val="18"/>
                <w:vertAlign w:val="superscript"/>
                <w:lang w:val="en-US"/>
              </w:rPr>
              <w:t>3</w:t>
            </w:r>
          </w:p>
        </w:tc>
        <w:tc>
          <w:tcPr>
            <w:tcW w:w="850" w:type="dxa"/>
            <w:vAlign w:val="center"/>
          </w:tcPr>
          <w:p w14:paraId="44CB367B" w14:textId="77777777" w:rsidR="007F6206" w:rsidRPr="007F738B" w:rsidRDefault="007F6206" w:rsidP="00FD5664">
            <w:pPr>
              <w:pStyle w:val="Heading1"/>
              <w:numPr>
                <w:ilvl w:val="0"/>
                <w:numId w:val="0"/>
              </w:numPr>
              <w:spacing w:before="20" w:after="20"/>
              <w:jc w:val="center"/>
              <w:outlineLvl w:val="0"/>
              <w:rPr>
                <w:b/>
                <w:bCs/>
                <w:iCs/>
                <w:color w:val="000000" w:themeColor="text1"/>
                <w:sz w:val="18"/>
                <w:szCs w:val="18"/>
                <w:lang w:val="en-US"/>
              </w:rPr>
            </w:pPr>
            <w:r w:rsidRPr="007F738B">
              <w:rPr>
                <w:iCs/>
                <w:color w:val="000000" w:themeColor="text1"/>
                <w:sz w:val="18"/>
                <w:szCs w:val="18"/>
                <w:lang w:val="en-US"/>
              </w:rPr>
              <w:t>-</w:t>
            </w:r>
          </w:p>
        </w:tc>
        <w:tc>
          <w:tcPr>
            <w:tcW w:w="794" w:type="dxa"/>
            <w:vAlign w:val="center"/>
          </w:tcPr>
          <w:p w14:paraId="42F5D3F1" w14:textId="77777777" w:rsidR="007F6206" w:rsidRPr="00BE7F09" w:rsidRDefault="007F6206" w:rsidP="00FD5664">
            <w:pPr>
              <w:pStyle w:val="Heading1"/>
              <w:numPr>
                <w:ilvl w:val="0"/>
                <w:numId w:val="0"/>
              </w:numPr>
              <w:spacing w:before="20" w:after="20"/>
              <w:jc w:val="center"/>
              <w:outlineLvl w:val="0"/>
              <w:rPr>
                <w:b/>
                <w:bCs/>
                <w:iCs/>
                <w:color w:val="000000" w:themeColor="text1"/>
                <w:sz w:val="18"/>
                <w:szCs w:val="18"/>
                <w:highlight w:val="yellow"/>
                <w:lang w:val="en-US"/>
              </w:rPr>
            </w:pPr>
            <w:r w:rsidRPr="00BE7F09">
              <w:rPr>
                <w:iCs/>
                <w:color w:val="000000" w:themeColor="text1"/>
                <w:sz w:val="18"/>
                <w:szCs w:val="18"/>
                <w:highlight w:val="yellow"/>
                <w:lang w:val="en-US"/>
              </w:rPr>
              <w:t>-</w:t>
            </w:r>
          </w:p>
        </w:tc>
        <w:tc>
          <w:tcPr>
            <w:tcW w:w="1009" w:type="dxa"/>
            <w:vAlign w:val="center"/>
          </w:tcPr>
          <w:p w14:paraId="6BD0946C" w14:textId="77777777" w:rsidR="007F6206" w:rsidRPr="007F738B" w:rsidRDefault="007F6206" w:rsidP="00FD5664">
            <w:pPr>
              <w:pStyle w:val="Heading1"/>
              <w:numPr>
                <w:ilvl w:val="0"/>
                <w:numId w:val="0"/>
              </w:numPr>
              <w:spacing w:before="20" w:after="20"/>
              <w:jc w:val="center"/>
              <w:outlineLvl w:val="0"/>
              <w:rPr>
                <w:b/>
                <w:bCs/>
                <w:iCs/>
                <w:color w:val="000000" w:themeColor="text1"/>
                <w:sz w:val="18"/>
                <w:szCs w:val="18"/>
                <w:lang w:val="en-US"/>
              </w:rPr>
            </w:pPr>
            <w:r w:rsidRPr="007F738B">
              <w:rPr>
                <w:iCs/>
                <w:color w:val="000000" w:themeColor="text1"/>
                <w:sz w:val="18"/>
                <w:szCs w:val="18"/>
                <w:lang w:val="en-US"/>
              </w:rPr>
              <w:t>-</w:t>
            </w:r>
          </w:p>
        </w:tc>
        <w:tc>
          <w:tcPr>
            <w:tcW w:w="1027" w:type="dxa"/>
            <w:vAlign w:val="center"/>
          </w:tcPr>
          <w:p w14:paraId="3BDAE533" w14:textId="77777777" w:rsidR="007F6206" w:rsidRPr="007F738B" w:rsidRDefault="007F6206" w:rsidP="00FD5664">
            <w:pPr>
              <w:pStyle w:val="Heading1"/>
              <w:numPr>
                <w:ilvl w:val="0"/>
                <w:numId w:val="0"/>
              </w:numPr>
              <w:spacing w:before="20" w:after="20"/>
              <w:jc w:val="center"/>
              <w:outlineLvl w:val="0"/>
              <w:rPr>
                <w:b/>
                <w:bCs/>
                <w:iCs/>
                <w:color w:val="000000" w:themeColor="text1"/>
                <w:sz w:val="18"/>
                <w:szCs w:val="18"/>
                <w:lang w:val="en-US"/>
              </w:rPr>
            </w:pPr>
            <w:r w:rsidRPr="007F738B">
              <w:rPr>
                <w:iCs/>
                <w:color w:val="000000" w:themeColor="text1"/>
                <w:sz w:val="18"/>
                <w:szCs w:val="18"/>
                <w:lang w:val="en-US"/>
              </w:rPr>
              <w:t>-</w:t>
            </w:r>
          </w:p>
        </w:tc>
      </w:tr>
      <w:tr w:rsidR="007F6206" w:rsidRPr="007F738B" w14:paraId="3AFA2C7E" w14:textId="77777777" w:rsidTr="000E0B7D">
        <w:trPr>
          <w:trHeight w:val="253"/>
        </w:trPr>
        <w:tc>
          <w:tcPr>
            <w:tcW w:w="709" w:type="dxa"/>
            <w:vAlign w:val="center"/>
          </w:tcPr>
          <w:p w14:paraId="72C7A874" w14:textId="77777777" w:rsidR="007F6206" w:rsidRPr="007F738B" w:rsidRDefault="007F6206" w:rsidP="00FD5664">
            <w:pPr>
              <w:pStyle w:val="Heading1"/>
              <w:numPr>
                <w:ilvl w:val="0"/>
                <w:numId w:val="0"/>
              </w:numPr>
              <w:spacing w:before="20" w:after="20"/>
              <w:jc w:val="center"/>
              <w:outlineLvl w:val="0"/>
              <w:rPr>
                <w:b/>
                <w:bCs/>
                <w:iCs/>
                <w:color w:val="000000" w:themeColor="text1"/>
                <w:kern w:val="24"/>
                <w:sz w:val="18"/>
                <w:szCs w:val="18"/>
                <w:lang w:val="en-US"/>
              </w:rPr>
            </w:pPr>
            <w:r w:rsidRPr="007F738B">
              <w:rPr>
                <w:iCs/>
                <w:color w:val="000000" w:themeColor="text1"/>
                <w:kern w:val="24"/>
                <w:sz w:val="18"/>
                <w:szCs w:val="18"/>
                <w:lang w:val="en-US"/>
              </w:rPr>
              <w:t>H-9L</w:t>
            </w:r>
          </w:p>
        </w:tc>
        <w:tc>
          <w:tcPr>
            <w:tcW w:w="709" w:type="dxa"/>
            <w:vAlign w:val="center"/>
          </w:tcPr>
          <w:p w14:paraId="70966026" w14:textId="77777777" w:rsidR="007F6206" w:rsidRPr="007F738B" w:rsidRDefault="007F6206" w:rsidP="00FD5664">
            <w:pPr>
              <w:pStyle w:val="Heading1"/>
              <w:numPr>
                <w:ilvl w:val="0"/>
                <w:numId w:val="0"/>
              </w:numPr>
              <w:spacing w:before="20" w:after="20"/>
              <w:jc w:val="center"/>
              <w:outlineLvl w:val="0"/>
              <w:rPr>
                <w:b/>
                <w:bCs/>
                <w:iCs/>
                <w:color w:val="000000" w:themeColor="text1"/>
                <w:kern w:val="24"/>
                <w:sz w:val="18"/>
                <w:szCs w:val="18"/>
                <w:lang w:val="en-US"/>
              </w:rPr>
            </w:pPr>
            <w:r w:rsidRPr="007F738B">
              <w:rPr>
                <w:iCs/>
                <w:color w:val="000000" w:themeColor="text1"/>
                <w:kern w:val="24"/>
                <w:sz w:val="18"/>
                <w:szCs w:val="18"/>
                <w:lang w:val="en-US"/>
              </w:rPr>
              <w:t>0°</w:t>
            </w:r>
          </w:p>
        </w:tc>
        <w:tc>
          <w:tcPr>
            <w:tcW w:w="992" w:type="dxa"/>
            <w:vAlign w:val="center"/>
          </w:tcPr>
          <w:p w14:paraId="53F3954E" w14:textId="77777777" w:rsidR="007F6206" w:rsidRPr="007F738B" w:rsidRDefault="007F6206" w:rsidP="00FD5664">
            <w:pPr>
              <w:pStyle w:val="Heading1"/>
              <w:numPr>
                <w:ilvl w:val="0"/>
                <w:numId w:val="0"/>
              </w:numPr>
              <w:spacing w:before="20" w:after="20"/>
              <w:jc w:val="center"/>
              <w:outlineLvl w:val="0"/>
              <w:rPr>
                <w:b/>
                <w:bCs/>
                <w:iCs/>
                <w:color w:val="000000" w:themeColor="text1"/>
                <w:kern w:val="24"/>
                <w:sz w:val="18"/>
                <w:szCs w:val="18"/>
                <w:lang w:val="en-US"/>
              </w:rPr>
            </w:pPr>
            <w:r w:rsidRPr="007F738B">
              <w:rPr>
                <w:iCs/>
                <w:color w:val="000000" w:themeColor="text1"/>
                <w:kern w:val="24"/>
                <w:sz w:val="18"/>
                <w:szCs w:val="18"/>
                <w:lang w:val="en-US"/>
              </w:rPr>
              <w:t>9°L</w:t>
            </w:r>
          </w:p>
        </w:tc>
        <w:tc>
          <w:tcPr>
            <w:tcW w:w="850" w:type="dxa"/>
            <w:vAlign w:val="center"/>
          </w:tcPr>
          <w:p w14:paraId="42B3A2C8" w14:textId="77777777" w:rsidR="007F6206" w:rsidRPr="003B7557" w:rsidRDefault="007F6206" w:rsidP="00FD5664">
            <w:pPr>
              <w:pStyle w:val="Heading1"/>
              <w:numPr>
                <w:ilvl w:val="0"/>
                <w:numId w:val="0"/>
              </w:numPr>
              <w:spacing w:before="20" w:after="20"/>
              <w:jc w:val="center"/>
              <w:outlineLvl w:val="0"/>
              <w:rPr>
                <w:bCs/>
                <w:iCs/>
                <w:color w:val="000000" w:themeColor="text1"/>
                <w:kern w:val="24"/>
                <w:sz w:val="18"/>
                <w:szCs w:val="18"/>
                <w:highlight w:val="yellow"/>
                <w:lang w:val="en-US"/>
              </w:rPr>
            </w:pPr>
            <w:r w:rsidRPr="003B7557">
              <w:rPr>
                <w:iCs/>
                <w:color w:val="000000" w:themeColor="text1"/>
                <w:kern w:val="24"/>
                <w:sz w:val="18"/>
                <w:szCs w:val="18"/>
                <w:highlight w:val="yellow"/>
                <w:lang w:val="en-US"/>
              </w:rPr>
              <w:t>2.00∙10</w:t>
            </w:r>
            <w:r w:rsidRPr="003B7557">
              <w:rPr>
                <w:iCs/>
                <w:color w:val="000000" w:themeColor="text1"/>
                <w:kern w:val="24"/>
                <w:sz w:val="18"/>
                <w:szCs w:val="18"/>
                <w:highlight w:val="yellow"/>
                <w:vertAlign w:val="superscript"/>
                <w:lang w:val="en-US"/>
              </w:rPr>
              <w:t>3</w:t>
            </w:r>
          </w:p>
        </w:tc>
        <w:tc>
          <w:tcPr>
            <w:tcW w:w="851" w:type="dxa"/>
            <w:vAlign w:val="center"/>
          </w:tcPr>
          <w:p w14:paraId="0078BD82" w14:textId="77777777" w:rsidR="007F6206" w:rsidRPr="007F738B" w:rsidRDefault="007F6206" w:rsidP="00FD5664">
            <w:pPr>
              <w:pStyle w:val="Heading1"/>
              <w:numPr>
                <w:ilvl w:val="0"/>
                <w:numId w:val="0"/>
              </w:numPr>
              <w:spacing w:before="20" w:after="20"/>
              <w:jc w:val="center"/>
              <w:outlineLvl w:val="0"/>
              <w:rPr>
                <w:b/>
                <w:bCs/>
                <w:iCs/>
                <w:color w:val="000000" w:themeColor="text1"/>
                <w:kern w:val="24"/>
                <w:sz w:val="18"/>
                <w:szCs w:val="18"/>
                <w:lang w:val="en-US"/>
              </w:rPr>
            </w:pPr>
            <w:r w:rsidRPr="007F738B">
              <w:rPr>
                <w:iCs/>
                <w:color w:val="000000" w:themeColor="text1"/>
                <w:kern w:val="24"/>
                <w:sz w:val="18"/>
                <w:szCs w:val="18"/>
                <w:lang w:val="en-US"/>
              </w:rPr>
              <w:t>3.40∙10</w:t>
            </w:r>
            <w:r w:rsidRPr="007F738B">
              <w:rPr>
                <w:iCs/>
                <w:color w:val="000000" w:themeColor="text1"/>
                <w:kern w:val="24"/>
                <w:sz w:val="18"/>
                <w:szCs w:val="18"/>
                <w:vertAlign w:val="superscript"/>
                <w:lang w:val="en-US"/>
              </w:rPr>
              <w:t>3</w:t>
            </w:r>
          </w:p>
        </w:tc>
        <w:tc>
          <w:tcPr>
            <w:tcW w:w="850" w:type="dxa"/>
            <w:vAlign w:val="center"/>
          </w:tcPr>
          <w:p w14:paraId="330AD874" w14:textId="77777777" w:rsidR="007F6206" w:rsidRPr="007F738B" w:rsidRDefault="007F6206" w:rsidP="00FD5664">
            <w:pPr>
              <w:pStyle w:val="Heading1"/>
              <w:numPr>
                <w:ilvl w:val="0"/>
                <w:numId w:val="0"/>
              </w:numPr>
              <w:spacing w:before="20" w:after="20"/>
              <w:jc w:val="center"/>
              <w:outlineLvl w:val="0"/>
              <w:rPr>
                <w:b/>
                <w:bCs/>
                <w:iCs/>
                <w:color w:val="000000" w:themeColor="text1"/>
                <w:sz w:val="18"/>
                <w:szCs w:val="18"/>
                <w:lang w:val="en-US"/>
              </w:rPr>
            </w:pPr>
            <w:r w:rsidRPr="007F738B">
              <w:rPr>
                <w:iCs/>
                <w:color w:val="000000" w:themeColor="text1"/>
                <w:sz w:val="18"/>
                <w:szCs w:val="18"/>
                <w:lang w:val="en-US"/>
              </w:rPr>
              <w:t>-</w:t>
            </w:r>
          </w:p>
        </w:tc>
        <w:tc>
          <w:tcPr>
            <w:tcW w:w="794" w:type="dxa"/>
            <w:vAlign w:val="center"/>
          </w:tcPr>
          <w:p w14:paraId="421EA4C5" w14:textId="77777777" w:rsidR="007F6206" w:rsidRPr="00BE7F09" w:rsidRDefault="007F6206" w:rsidP="00FD5664">
            <w:pPr>
              <w:pStyle w:val="Heading1"/>
              <w:numPr>
                <w:ilvl w:val="0"/>
                <w:numId w:val="0"/>
              </w:numPr>
              <w:spacing w:before="20" w:after="20"/>
              <w:jc w:val="center"/>
              <w:outlineLvl w:val="0"/>
              <w:rPr>
                <w:b/>
                <w:bCs/>
                <w:iCs/>
                <w:color w:val="000000" w:themeColor="text1"/>
                <w:sz w:val="18"/>
                <w:szCs w:val="18"/>
                <w:highlight w:val="yellow"/>
                <w:lang w:val="en-US"/>
              </w:rPr>
            </w:pPr>
            <w:r w:rsidRPr="00BE7F09">
              <w:rPr>
                <w:iCs/>
                <w:color w:val="000000" w:themeColor="text1"/>
                <w:sz w:val="18"/>
                <w:szCs w:val="18"/>
                <w:highlight w:val="yellow"/>
                <w:lang w:val="en-US"/>
              </w:rPr>
              <w:t>-</w:t>
            </w:r>
          </w:p>
        </w:tc>
        <w:tc>
          <w:tcPr>
            <w:tcW w:w="1009" w:type="dxa"/>
            <w:vAlign w:val="center"/>
          </w:tcPr>
          <w:p w14:paraId="2CA3FB9D" w14:textId="77777777" w:rsidR="007F6206" w:rsidRPr="007F738B" w:rsidRDefault="007F6206" w:rsidP="00FD5664">
            <w:pPr>
              <w:pStyle w:val="Heading1"/>
              <w:numPr>
                <w:ilvl w:val="0"/>
                <w:numId w:val="0"/>
              </w:numPr>
              <w:spacing w:before="20" w:after="20"/>
              <w:jc w:val="center"/>
              <w:outlineLvl w:val="0"/>
              <w:rPr>
                <w:b/>
                <w:bCs/>
                <w:iCs/>
                <w:color w:val="000000" w:themeColor="text1"/>
                <w:sz w:val="18"/>
                <w:szCs w:val="18"/>
                <w:lang w:val="en-US"/>
              </w:rPr>
            </w:pPr>
            <w:r w:rsidRPr="007F738B">
              <w:rPr>
                <w:iCs/>
                <w:color w:val="000000" w:themeColor="text1"/>
                <w:sz w:val="18"/>
                <w:szCs w:val="18"/>
                <w:lang w:val="en-US"/>
              </w:rPr>
              <w:t>-</w:t>
            </w:r>
          </w:p>
        </w:tc>
        <w:tc>
          <w:tcPr>
            <w:tcW w:w="1027" w:type="dxa"/>
            <w:vAlign w:val="center"/>
          </w:tcPr>
          <w:p w14:paraId="29F87055" w14:textId="77777777" w:rsidR="007F6206" w:rsidRPr="007F738B" w:rsidRDefault="007F6206" w:rsidP="00FD5664">
            <w:pPr>
              <w:pStyle w:val="Heading1"/>
              <w:numPr>
                <w:ilvl w:val="0"/>
                <w:numId w:val="0"/>
              </w:numPr>
              <w:spacing w:before="20" w:after="20"/>
              <w:jc w:val="center"/>
              <w:outlineLvl w:val="0"/>
              <w:rPr>
                <w:b/>
                <w:bCs/>
                <w:iCs/>
                <w:color w:val="000000" w:themeColor="text1"/>
                <w:sz w:val="18"/>
                <w:szCs w:val="18"/>
                <w:lang w:val="en-US"/>
              </w:rPr>
            </w:pPr>
            <w:r w:rsidRPr="007F738B">
              <w:rPr>
                <w:iCs/>
                <w:color w:val="000000" w:themeColor="text1"/>
                <w:sz w:val="18"/>
                <w:szCs w:val="18"/>
                <w:lang w:val="en-US"/>
              </w:rPr>
              <w:t>-</w:t>
            </w:r>
          </w:p>
        </w:tc>
      </w:tr>
      <w:tr w:rsidR="007F6206" w:rsidRPr="007F738B" w14:paraId="6161C6A7" w14:textId="77777777" w:rsidTr="000E0B7D">
        <w:trPr>
          <w:trHeight w:val="253"/>
        </w:trPr>
        <w:tc>
          <w:tcPr>
            <w:tcW w:w="709" w:type="dxa"/>
            <w:vAlign w:val="center"/>
          </w:tcPr>
          <w:p w14:paraId="2A89BFC8" w14:textId="77777777" w:rsidR="007F6206" w:rsidRPr="007F738B" w:rsidRDefault="007F6206" w:rsidP="00FD5664">
            <w:pPr>
              <w:pStyle w:val="Heading1"/>
              <w:numPr>
                <w:ilvl w:val="0"/>
                <w:numId w:val="0"/>
              </w:numPr>
              <w:spacing w:before="20" w:after="20"/>
              <w:jc w:val="center"/>
              <w:outlineLvl w:val="0"/>
              <w:rPr>
                <w:b/>
                <w:bCs/>
                <w:iCs/>
                <w:color w:val="000000" w:themeColor="text1"/>
                <w:kern w:val="24"/>
                <w:sz w:val="18"/>
                <w:szCs w:val="18"/>
                <w:lang w:val="en-US"/>
              </w:rPr>
            </w:pPr>
            <w:r w:rsidRPr="007F738B">
              <w:rPr>
                <w:iCs/>
                <w:color w:val="000000" w:themeColor="text1"/>
                <w:kern w:val="24"/>
                <w:sz w:val="18"/>
                <w:szCs w:val="18"/>
                <w:lang w:val="en-US"/>
              </w:rPr>
              <w:t>H-6L</w:t>
            </w:r>
          </w:p>
        </w:tc>
        <w:tc>
          <w:tcPr>
            <w:tcW w:w="709" w:type="dxa"/>
            <w:vAlign w:val="center"/>
          </w:tcPr>
          <w:p w14:paraId="018F259D" w14:textId="77777777" w:rsidR="007F6206" w:rsidRPr="007F738B" w:rsidRDefault="007F6206" w:rsidP="00FD5664">
            <w:pPr>
              <w:pStyle w:val="Heading1"/>
              <w:numPr>
                <w:ilvl w:val="0"/>
                <w:numId w:val="0"/>
              </w:numPr>
              <w:spacing w:before="20" w:after="20"/>
              <w:jc w:val="center"/>
              <w:outlineLvl w:val="0"/>
              <w:rPr>
                <w:b/>
                <w:bCs/>
                <w:iCs/>
                <w:color w:val="000000" w:themeColor="text1"/>
                <w:kern w:val="24"/>
                <w:sz w:val="18"/>
                <w:szCs w:val="18"/>
                <w:lang w:val="en-US"/>
              </w:rPr>
            </w:pPr>
            <w:r w:rsidRPr="007F738B">
              <w:rPr>
                <w:iCs/>
                <w:color w:val="000000" w:themeColor="text1"/>
                <w:kern w:val="24"/>
                <w:sz w:val="18"/>
                <w:szCs w:val="18"/>
                <w:lang w:val="en-US"/>
              </w:rPr>
              <w:t>0°</w:t>
            </w:r>
          </w:p>
        </w:tc>
        <w:tc>
          <w:tcPr>
            <w:tcW w:w="992" w:type="dxa"/>
            <w:vAlign w:val="center"/>
          </w:tcPr>
          <w:p w14:paraId="6BA2B639" w14:textId="77777777" w:rsidR="007F6206" w:rsidRPr="007F738B" w:rsidRDefault="007F6206" w:rsidP="00FD5664">
            <w:pPr>
              <w:pStyle w:val="Heading1"/>
              <w:numPr>
                <w:ilvl w:val="0"/>
                <w:numId w:val="0"/>
              </w:numPr>
              <w:spacing w:before="20" w:after="20"/>
              <w:jc w:val="center"/>
              <w:outlineLvl w:val="0"/>
              <w:rPr>
                <w:b/>
                <w:bCs/>
                <w:iCs/>
                <w:color w:val="000000" w:themeColor="text1"/>
                <w:kern w:val="24"/>
                <w:sz w:val="18"/>
                <w:szCs w:val="18"/>
                <w:lang w:val="en-US"/>
              </w:rPr>
            </w:pPr>
            <w:r w:rsidRPr="007F738B">
              <w:rPr>
                <w:iCs/>
                <w:color w:val="000000" w:themeColor="text1"/>
                <w:kern w:val="24"/>
                <w:sz w:val="18"/>
                <w:szCs w:val="18"/>
                <w:lang w:val="en-US"/>
              </w:rPr>
              <w:t>6°L</w:t>
            </w:r>
          </w:p>
        </w:tc>
        <w:tc>
          <w:tcPr>
            <w:tcW w:w="850" w:type="dxa"/>
            <w:vAlign w:val="center"/>
          </w:tcPr>
          <w:p w14:paraId="5C359FC5" w14:textId="77777777" w:rsidR="007F6206" w:rsidRPr="003B7557" w:rsidRDefault="007F6206" w:rsidP="00FD5664">
            <w:pPr>
              <w:pStyle w:val="Heading1"/>
              <w:numPr>
                <w:ilvl w:val="0"/>
                <w:numId w:val="0"/>
              </w:numPr>
              <w:spacing w:before="20" w:after="20"/>
              <w:jc w:val="center"/>
              <w:outlineLvl w:val="0"/>
              <w:rPr>
                <w:bCs/>
                <w:iCs/>
                <w:color w:val="000000" w:themeColor="text1"/>
                <w:kern w:val="24"/>
                <w:sz w:val="18"/>
                <w:szCs w:val="18"/>
                <w:highlight w:val="yellow"/>
                <w:lang w:val="en-US"/>
              </w:rPr>
            </w:pPr>
            <w:r w:rsidRPr="003B7557">
              <w:rPr>
                <w:iCs/>
                <w:color w:val="000000" w:themeColor="text1"/>
                <w:kern w:val="24"/>
                <w:sz w:val="18"/>
                <w:szCs w:val="18"/>
                <w:highlight w:val="yellow"/>
                <w:lang w:val="en-US"/>
              </w:rPr>
              <w:t>3.40∙10</w:t>
            </w:r>
            <w:r w:rsidRPr="003B7557">
              <w:rPr>
                <w:iCs/>
                <w:color w:val="000000" w:themeColor="text1"/>
                <w:kern w:val="24"/>
                <w:sz w:val="18"/>
                <w:szCs w:val="18"/>
                <w:highlight w:val="yellow"/>
                <w:vertAlign w:val="superscript"/>
                <w:lang w:val="en-US"/>
              </w:rPr>
              <w:t>3</w:t>
            </w:r>
          </w:p>
        </w:tc>
        <w:tc>
          <w:tcPr>
            <w:tcW w:w="851" w:type="dxa"/>
            <w:vAlign w:val="center"/>
          </w:tcPr>
          <w:p w14:paraId="103F1FB6" w14:textId="77777777" w:rsidR="007F6206" w:rsidRPr="007F738B" w:rsidRDefault="007F6206" w:rsidP="00FD5664">
            <w:pPr>
              <w:pStyle w:val="Heading1"/>
              <w:numPr>
                <w:ilvl w:val="0"/>
                <w:numId w:val="0"/>
              </w:numPr>
              <w:spacing w:before="20" w:after="20"/>
              <w:jc w:val="center"/>
              <w:outlineLvl w:val="0"/>
              <w:rPr>
                <w:b/>
                <w:bCs/>
                <w:iCs/>
                <w:color w:val="000000" w:themeColor="text1"/>
                <w:kern w:val="24"/>
                <w:sz w:val="18"/>
                <w:szCs w:val="18"/>
                <w:lang w:val="en-US"/>
              </w:rPr>
            </w:pPr>
            <w:r w:rsidRPr="007F738B">
              <w:rPr>
                <w:iCs/>
                <w:color w:val="000000" w:themeColor="text1"/>
                <w:kern w:val="24"/>
                <w:sz w:val="18"/>
                <w:szCs w:val="18"/>
                <w:lang w:val="en-US"/>
              </w:rPr>
              <w:t>5.00∙10</w:t>
            </w:r>
            <w:r w:rsidRPr="007F738B">
              <w:rPr>
                <w:iCs/>
                <w:color w:val="000000" w:themeColor="text1"/>
                <w:kern w:val="24"/>
                <w:sz w:val="18"/>
                <w:szCs w:val="18"/>
                <w:vertAlign w:val="superscript"/>
                <w:lang w:val="en-US"/>
              </w:rPr>
              <w:t>3</w:t>
            </w:r>
          </w:p>
        </w:tc>
        <w:tc>
          <w:tcPr>
            <w:tcW w:w="850" w:type="dxa"/>
            <w:vAlign w:val="center"/>
          </w:tcPr>
          <w:p w14:paraId="60B0461B" w14:textId="77777777" w:rsidR="007F6206" w:rsidRPr="007F738B" w:rsidRDefault="007F6206" w:rsidP="00FD5664">
            <w:pPr>
              <w:pStyle w:val="Heading1"/>
              <w:numPr>
                <w:ilvl w:val="0"/>
                <w:numId w:val="0"/>
              </w:numPr>
              <w:spacing w:before="20" w:after="20"/>
              <w:jc w:val="center"/>
              <w:outlineLvl w:val="0"/>
              <w:rPr>
                <w:b/>
                <w:bCs/>
                <w:iCs/>
                <w:color w:val="000000" w:themeColor="text1"/>
                <w:sz w:val="18"/>
                <w:szCs w:val="18"/>
                <w:lang w:val="en-US"/>
              </w:rPr>
            </w:pPr>
            <w:r w:rsidRPr="007F738B">
              <w:rPr>
                <w:iCs/>
                <w:color w:val="000000" w:themeColor="text1"/>
                <w:sz w:val="18"/>
                <w:szCs w:val="18"/>
                <w:lang w:val="en-US"/>
              </w:rPr>
              <w:t>-</w:t>
            </w:r>
          </w:p>
        </w:tc>
        <w:tc>
          <w:tcPr>
            <w:tcW w:w="794" w:type="dxa"/>
            <w:vAlign w:val="center"/>
          </w:tcPr>
          <w:p w14:paraId="657E7477" w14:textId="77777777" w:rsidR="007F6206" w:rsidRPr="000E060F" w:rsidRDefault="007F6206" w:rsidP="00FD5664">
            <w:pPr>
              <w:pStyle w:val="Heading1"/>
              <w:numPr>
                <w:ilvl w:val="0"/>
                <w:numId w:val="0"/>
              </w:numPr>
              <w:spacing w:before="20" w:after="20"/>
              <w:jc w:val="center"/>
              <w:outlineLvl w:val="0"/>
              <w:rPr>
                <w:bCs/>
                <w:iCs/>
                <w:color w:val="000000" w:themeColor="text1"/>
                <w:sz w:val="18"/>
                <w:szCs w:val="18"/>
                <w:highlight w:val="yellow"/>
                <w:lang w:val="en-US"/>
              </w:rPr>
            </w:pPr>
            <w:r w:rsidRPr="000E060F">
              <w:rPr>
                <w:iCs/>
                <w:color w:val="000000" w:themeColor="text1"/>
                <w:sz w:val="18"/>
                <w:szCs w:val="18"/>
                <w:highlight w:val="yellow"/>
                <w:lang w:val="en-US"/>
              </w:rPr>
              <w:t>2.50</w:t>
            </w:r>
            <w:r w:rsidRPr="000E060F">
              <w:rPr>
                <w:iCs/>
                <w:color w:val="000000" w:themeColor="text1"/>
                <w:kern w:val="24"/>
                <w:sz w:val="18"/>
                <w:szCs w:val="18"/>
                <w:highlight w:val="yellow"/>
                <w:lang w:val="en-US"/>
              </w:rPr>
              <w:t>∙10</w:t>
            </w:r>
            <w:r w:rsidRPr="000E060F">
              <w:rPr>
                <w:iCs/>
                <w:color w:val="000000" w:themeColor="text1"/>
                <w:kern w:val="24"/>
                <w:sz w:val="18"/>
                <w:szCs w:val="18"/>
                <w:highlight w:val="yellow"/>
                <w:vertAlign w:val="superscript"/>
                <w:lang w:val="en-US"/>
              </w:rPr>
              <w:t>3</w:t>
            </w:r>
          </w:p>
        </w:tc>
        <w:tc>
          <w:tcPr>
            <w:tcW w:w="1009" w:type="dxa"/>
            <w:vAlign w:val="center"/>
          </w:tcPr>
          <w:p w14:paraId="3F46E055" w14:textId="77777777" w:rsidR="007F6206" w:rsidRPr="007F738B" w:rsidRDefault="007F6206" w:rsidP="00FD5664">
            <w:pPr>
              <w:pStyle w:val="Heading1"/>
              <w:numPr>
                <w:ilvl w:val="0"/>
                <w:numId w:val="0"/>
              </w:numPr>
              <w:spacing w:before="20" w:after="20"/>
              <w:jc w:val="center"/>
              <w:outlineLvl w:val="0"/>
              <w:rPr>
                <w:b/>
                <w:bCs/>
                <w:iCs/>
                <w:color w:val="000000" w:themeColor="text1"/>
                <w:sz w:val="18"/>
                <w:szCs w:val="18"/>
                <w:lang w:val="en-US"/>
              </w:rPr>
            </w:pPr>
            <w:r w:rsidRPr="007F738B">
              <w:rPr>
                <w:iCs/>
                <w:color w:val="000000" w:themeColor="text1"/>
                <w:sz w:val="18"/>
                <w:szCs w:val="18"/>
                <w:lang w:val="en-US"/>
              </w:rPr>
              <w:t>3.40</w:t>
            </w:r>
            <w:r w:rsidRPr="007F738B">
              <w:rPr>
                <w:iCs/>
                <w:color w:val="000000" w:themeColor="text1"/>
                <w:kern w:val="24"/>
                <w:sz w:val="18"/>
                <w:szCs w:val="18"/>
                <w:lang w:val="en-US"/>
              </w:rPr>
              <w:t>∙10</w:t>
            </w:r>
            <w:r w:rsidRPr="007F738B">
              <w:rPr>
                <w:iCs/>
                <w:color w:val="000000" w:themeColor="text1"/>
                <w:kern w:val="24"/>
                <w:sz w:val="18"/>
                <w:szCs w:val="18"/>
                <w:vertAlign w:val="superscript"/>
                <w:lang w:val="en-US"/>
              </w:rPr>
              <w:t>3</w:t>
            </w:r>
          </w:p>
        </w:tc>
        <w:tc>
          <w:tcPr>
            <w:tcW w:w="1027" w:type="dxa"/>
            <w:vAlign w:val="center"/>
          </w:tcPr>
          <w:p w14:paraId="1D18F453" w14:textId="77777777" w:rsidR="007F6206" w:rsidRPr="007F738B" w:rsidRDefault="007F6206" w:rsidP="00FD5664">
            <w:pPr>
              <w:pStyle w:val="Heading1"/>
              <w:numPr>
                <w:ilvl w:val="0"/>
                <w:numId w:val="0"/>
              </w:numPr>
              <w:spacing w:before="20" w:after="20"/>
              <w:jc w:val="center"/>
              <w:outlineLvl w:val="0"/>
              <w:rPr>
                <w:b/>
                <w:bCs/>
                <w:iCs/>
                <w:color w:val="000000" w:themeColor="text1"/>
                <w:sz w:val="18"/>
                <w:szCs w:val="18"/>
                <w:lang w:val="en-US"/>
              </w:rPr>
            </w:pPr>
            <w:r w:rsidRPr="007F738B">
              <w:rPr>
                <w:iCs/>
                <w:color w:val="000000" w:themeColor="text1"/>
                <w:sz w:val="18"/>
                <w:szCs w:val="18"/>
                <w:lang w:val="en-US"/>
              </w:rPr>
              <w:t>5.00</w:t>
            </w:r>
            <w:r w:rsidRPr="007F738B">
              <w:rPr>
                <w:iCs/>
                <w:color w:val="000000" w:themeColor="text1"/>
                <w:kern w:val="24"/>
                <w:sz w:val="18"/>
                <w:szCs w:val="18"/>
                <w:lang w:val="en-US"/>
              </w:rPr>
              <w:t>∙10</w:t>
            </w:r>
            <w:r w:rsidRPr="007F738B">
              <w:rPr>
                <w:iCs/>
                <w:color w:val="000000" w:themeColor="text1"/>
                <w:kern w:val="24"/>
                <w:sz w:val="18"/>
                <w:szCs w:val="18"/>
                <w:vertAlign w:val="superscript"/>
                <w:lang w:val="en-US"/>
              </w:rPr>
              <w:t>3</w:t>
            </w:r>
          </w:p>
        </w:tc>
      </w:tr>
      <w:tr w:rsidR="007F6206" w:rsidRPr="007F738B" w14:paraId="478EE8AF" w14:textId="77777777" w:rsidTr="000E0B7D">
        <w:trPr>
          <w:trHeight w:val="253"/>
        </w:trPr>
        <w:tc>
          <w:tcPr>
            <w:tcW w:w="709" w:type="dxa"/>
            <w:vAlign w:val="center"/>
          </w:tcPr>
          <w:p w14:paraId="7F0EDED6" w14:textId="77777777" w:rsidR="007F6206" w:rsidRPr="007F738B" w:rsidRDefault="007F6206" w:rsidP="00FD5664">
            <w:pPr>
              <w:pStyle w:val="Heading1"/>
              <w:numPr>
                <w:ilvl w:val="0"/>
                <w:numId w:val="0"/>
              </w:numPr>
              <w:spacing w:before="20" w:after="20"/>
              <w:jc w:val="center"/>
              <w:outlineLvl w:val="0"/>
              <w:rPr>
                <w:b/>
                <w:bCs/>
                <w:iCs/>
                <w:color w:val="000000" w:themeColor="text1"/>
                <w:kern w:val="24"/>
                <w:sz w:val="18"/>
                <w:szCs w:val="18"/>
                <w:lang w:val="en-US"/>
              </w:rPr>
            </w:pPr>
            <w:r w:rsidRPr="007F738B">
              <w:rPr>
                <w:iCs/>
                <w:color w:val="000000" w:themeColor="text1"/>
                <w:kern w:val="24"/>
                <w:sz w:val="18"/>
                <w:szCs w:val="18"/>
                <w:lang w:val="en-US"/>
              </w:rPr>
              <w:t>H-3L</w:t>
            </w:r>
          </w:p>
        </w:tc>
        <w:tc>
          <w:tcPr>
            <w:tcW w:w="709" w:type="dxa"/>
            <w:vAlign w:val="center"/>
          </w:tcPr>
          <w:p w14:paraId="7887C6B4" w14:textId="77777777" w:rsidR="007F6206" w:rsidRPr="007F738B" w:rsidRDefault="007F6206" w:rsidP="00FD5664">
            <w:pPr>
              <w:pStyle w:val="Heading1"/>
              <w:numPr>
                <w:ilvl w:val="0"/>
                <w:numId w:val="0"/>
              </w:numPr>
              <w:spacing w:before="20" w:after="20"/>
              <w:jc w:val="center"/>
              <w:outlineLvl w:val="0"/>
              <w:rPr>
                <w:b/>
                <w:bCs/>
                <w:iCs/>
                <w:color w:val="000000" w:themeColor="text1"/>
                <w:kern w:val="24"/>
                <w:sz w:val="18"/>
                <w:szCs w:val="18"/>
                <w:lang w:val="en-US"/>
              </w:rPr>
            </w:pPr>
            <w:r w:rsidRPr="007F738B">
              <w:rPr>
                <w:iCs/>
                <w:color w:val="000000" w:themeColor="text1"/>
                <w:kern w:val="24"/>
                <w:sz w:val="18"/>
                <w:szCs w:val="18"/>
                <w:lang w:val="en-US"/>
              </w:rPr>
              <w:t>0°</w:t>
            </w:r>
          </w:p>
        </w:tc>
        <w:tc>
          <w:tcPr>
            <w:tcW w:w="992" w:type="dxa"/>
            <w:vAlign w:val="center"/>
          </w:tcPr>
          <w:p w14:paraId="0BDED71D" w14:textId="77777777" w:rsidR="007F6206" w:rsidRPr="007F738B" w:rsidRDefault="007F6206" w:rsidP="00FD5664">
            <w:pPr>
              <w:pStyle w:val="Heading1"/>
              <w:numPr>
                <w:ilvl w:val="0"/>
                <w:numId w:val="0"/>
              </w:numPr>
              <w:spacing w:before="20" w:after="20"/>
              <w:jc w:val="center"/>
              <w:outlineLvl w:val="0"/>
              <w:rPr>
                <w:b/>
                <w:bCs/>
                <w:iCs/>
                <w:color w:val="000000" w:themeColor="text1"/>
                <w:kern w:val="24"/>
                <w:sz w:val="18"/>
                <w:szCs w:val="18"/>
                <w:lang w:val="en-US"/>
              </w:rPr>
            </w:pPr>
            <w:r w:rsidRPr="007F738B">
              <w:rPr>
                <w:iCs/>
                <w:color w:val="000000" w:themeColor="text1"/>
                <w:kern w:val="24"/>
                <w:sz w:val="18"/>
                <w:szCs w:val="18"/>
                <w:lang w:val="en-US"/>
              </w:rPr>
              <w:t>3°L</w:t>
            </w:r>
          </w:p>
        </w:tc>
        <w:tc>
          <w:tcPr>
            <w:tcW w:w="850" w:type="dxa"/>
            <w:vAlign w:val="center"/>
          </w:tcPr>
          <w:p w14:paraId="7EEF206A" w14:textId="77777777" w:rsidR="007F6206" w:rsidRPr="003B7557" w:rsidRDefault="007F6206" w:rsidP="00FD5664">
            <w:pPr>
              <w:pStyle w:val="Heading1"/>
              <w:numPr>
                <w:ilvl w:val="0"/>
                <w:numId w:val="0"/>
              </w:numPr>
              <w:spacing w:before="20" w:after="20"/>
              <w:jc w:val="center"/>
              <w:outlineLvl w:val="0"/>
              <w:rPr>
                <w:bCs/>
                <w:iCs/>
                <w:color w:val="000000" w:themeColor="text1"/>
                <w:kern w:val="24"/>
                <w:sz w:val="18"/>
                <w:szCs w:val="18"/>
                <w:highlight w:val="yellow"/>
                <w:lang w:val="en-US"/>
              </w:rPr>
            </w:pPr>
            <w:r w:rsidRPr="003B7557">
              <w:rPr>
                <w:iCs/>
                <w:color w:val="000000" w:themeColor="text1"/>
                <w:kern w:val="24"/>
                <w:sz w:val="18"/>
                <w:szCs w:val="18"/>
                <w:highlight w:val="yellow"/>
                <w:lang w:val="en-US"/>
              </w:rPr>
              <w:t>1.20∙10</w:t>
            </w:r>
            <w:r w:rsidRPr="003B7557">
              <w:rPr>
                <w:iCs/>
                <w:color w:val="000000" w:themeColor="text1"/>
                <w:kern w:val="24"/>
                <w:sz w:val="18"/>
                <w:szCs w:val="18"/>
                <w:highlight w:val="yellow"/>
                <w:vertAlign w:val="superscript"/>
                <w:lang w:val="en-US"/>
              </w:rPr>
              <w:t>4</w:t>
            </w:r>
          </w:p>
        </w:tc>
        <w:tc>
          <w:tcPr>
            <w:tcW w:w="851" w:type="dxa"/>
            <w:vAlign w:val="center"/>
          </w:tcPr>
          <w:p w14:paraId="36BB7B25" w14:textId="77777777" w:rsidR="007F6206" w:rsidRPr="007F738B" w:rsidRDefault="007F6206" w:rsidP="00FD5664">
            <w:pPr>
              <w:pStyle w:val="Heading1"/>
              <w:numPr>
                <w:ilvl w:val="0"/>
                <w:numId w:val="0"/>
              </w:numPr>
              <w:spacing w:before="20" w:after="20"/>
              <w:jc w:val="center"/>
              <w:outlineLvl w:val="0"/>
              <w:rPr>
                <w:b/>
                <w:bCs/>
                <w:iCs/>
                <w:color w:val="000000" w:themeColor="text1"/>
                <w:kern w:val="24"/>
                <w:sz w:val="18"/>
                <w:szCs w:val="18"/>
                <w:lang w:val="en-US"/>
              </w:rPr>
            </w:pPr>
            <w:r w:rsidRPr="007F738B">
              <w:rPr>
                <w:iCs/>
                <w:color w:val="000000" w:themeColor="text1"/>
                <w:kern w:val="24"/>
                <w:sz w:val="18"/>
                <w:szCs w:val="18"/>
                <w:lang w:val="en-US"/>
              </w:rPr>
              <w:t>1.75∙10</w:t>
            </w:r>
            <w:r w:rsidRPr="007F738B">
              <w:rPr>
                <w:iCs/>
                <w:color w:val="000000" w:themeColor="text1"/>
                <w:kern w:val="24"/>
                <w:sz w:val="18"/>
                <w:szCs w:val="18"/>
                <w:vertAlign w:val="superscript"/>
                <w:lang w:val="en-US"/>
              </w:rPr>
              <w:t>4</w:t>
            </w:r>
          </w:p>
        </w:tc>
        <w:tc>
          <w:tcPr>
            <w:tcW w:w="850" w:type="dxa"/>
            <w:vAlign w:val="center"/>
          </w:tcPr>
          <w:p w14:paraId="516FFF00" w14:textId="77777777" w:rsidR="007F6206" w:rsidRPr="007F738B" w:rsidRDefault="007F6206" w:rsidP="00FD5664">
            <w:pPr>
              <w:pStyle w:val="Heading1"/>
              <w:numPr>
                <w:ilvl w:val="0"/>
                <w:numId w:val="0"/>
              </w:numPr>
              <w:spacing w:before="20" w:after="20"/>
              <w:jc w:val="center"/>
              <w:outlineLvl w:val="0"/>
              <w:rPr>
                <w:b/>
                <w:bCs/>
                <w:iCs/>
                <w:color w:val="000000" w:themeColor="text1"/>
                <w:sz w:val="18"/>
                <w:szCs w:val="18"/>
                <w:lang w:val="en-US"/>
              </w:rPr>
            </w:pPr>
            <w:r w:rsidRPr="007F738B">
              <w:rPr>
                <w:iCs/>
                <w:color w:val="000000" w:themeColor="text1"/>
                <w:sz w:val="18"/>
                <w:szCs w:val="18"/>
                <w:lang w:val="en-US"/>
              </w:rPr>
              <w:t>-</w:t>
            </w:r>
          </w:p>
        </w:tc>
        <w:tc>
          <w:tcPr>
            <w:tcW w:w="794" w:type="dxa"/>
            <w:vAlign w:val="center"/>
          </w:tcPr>
          <w:p w14:paraId="5096848E" w14:textId="77777777" w:rsidR="007F6206" w:rsidRPr="000E060F" w:rsidRDefault="007F6206" w:rsidP="00FD5664">
            <w:pPr>
              <w:pStyle w:val="Heading1"/>
              <w:numPr>
                <w:ilvl w:val="0"/>
                <w:numId w:val="0"/>
              </w:numPr>
              <w:spacing w:before="20" w:after="20"/>
              <w:jc w:val="center"/>
              <w:outlineLvl w:val="0"/>
              <w:rPr>
                <w:bCs/>
                <w:iCs/>
                <w:color w:val="000000" w:themeColor="text1"/>
                <w:sz w:val="18"/>
                <w:szCs w:val="18"/>
                <w:highlight w:val="yellow"/>
                <w:lang w:val="en-US"/>
              </w:rPr>
            </w:pPr>
            <w:r w:rsidRPr="000E060F">
              <w:rPr>
                <w:iCs/>
                <w:color w:val="000000" w:themeColor="text1"/>
                <w:sz w:val="18"/>
                <w:szCs w:val="18"/>
                <w:highlight w:val="yellow"/>
                <w:lang w:val="en-US"/>
              </w:rPr>
              <w:t>9.00</w:t>
            </w:r>
            <w:r w:rsidRPr="000E060F">
              <w:rPr>
                <w:iCs/>
                <w:color w:val="000000" w:themeColor="text1"/>
                <w:kern w:val="24"/>
                <w:sz w:val="18"/>
                <w:szCs w:val="18"/>
                <w:highlight w:val="yellow"/>
                <w:lang w:val="en-US"/>
              </w:rPr>
              <w:t>∙10</w:t>
            </w:r>
            <w:r w:rsidRPr="000E060F">
              <w:rPr>
                <w:iCs/>
                <w:color w:val="000000" w:themeColor="text1"/>
                <w:kern w:val="24"/>
                <w:sz w:val="18"/>
                <w:szCs w:val="18"/>
                <w:highlight w:val="yellow"/>
                <w:vertAlign w:val="superscript"/>
                <w:lang w:val="en-US"/>
              </w:rPr>
              <w:t>3</w:t>
            </w:r>
          </w:p>
        </w:tc>
        <w:tc>
          <w:tcPr>
            <w:tcW w:w="1009" w:type="dxa"/>
            <w:vAlign w:val="center"/>
          </w:tcPr>
          <w:p w14:paraId="39682875" w14:textId="77777777" w:rsidR="007F6206" w:rsidRPr="007F738B" w:rsidRDefault="007F6206" w:rsidP="00FD5664">
            <w:pPr>
              <w:pStyle w:val="Heading1"/>
              <w:numPr>
                <w:ilvl w:val="0"/>
                <w:numId w:val="0"/>
              </w:numPr>
              <w:spacing w:before="20" w:after="20"/>
              <w:jc w:val="center"/>
              <w:outlineLvl w:val="0"/>
              <w:rPr>
                <w:b/>
                <w:bCs/>
                <w:iCs/>
                <w:color w:val="000000" w:themeColor="text1"/>
                <w:sz w:val="18"/>
                <w:szCs w:val="18"/>
                <w:lang w:val="en-US"/>
              </w:rPr>
            </w:pPr>
            <w:r w:rsidRPr="007F738B">
              <w:rPr>
                <w:iCs/>
                <w:color w:val="000000" w:themeColor="text1"/>
                <w:sz w:val="18"/>
                <w:szCs w:val="18"/>
                <w:lang w:val="en-US"/>
              </w:rPr>
              <w:t>1.20</w:t>
            </w:r>
            <w:r w:rsidRPr="007F738B">
              <w:rPr>
                <w:iCs/>
                <w:color w:val="000000" w:themeColor="text1"/>
                <w:kern w:val="24"/>
                <w:sz w:val="18"/>
                <w:szCs w:val="18"/>
                <w:lang w:val="en-US"/>
              </w:rPr>
              <w:t>∙10</w:t>
            </w:r>
            <w:r w:rsidRPr="007F738B">
              <w:rPr>
                <w:iCs/>
                <w:color w:val="000000" w:themeColor="text1"/>
                <w:kern w:val="24"/>
                <w:sz w:val="18"/>
                <w:szCs w:val="18"/>
                <w:vertAlign w:val="superscript"/>
                <w:lang w:val="en-US"/>
              </w:rPr>
              <w:t>4</w:t>
            </w:r>
          </w:p>
        </w:tc>
        <w:tc>
          <w:tcPr>
            <w:tcW w:w="1027" w:type="dxa"/>
            <w:vAlign w:val="center"/>
          </w:tcPr>
          <w:p w14:paraId="6BE4E76B" w14:textId="77777777" w:rsidR="007F6206" w:rsidRPr="007F738B" w:rsidRDefault="007F6206" w:rsidP="00FD5664">
            <w:pPr>
              <w:pStyle w:val="Heading1"/>
              <w:numPr>
                <w:ilvl w:val="0"/>
                <w:numId w:val="0"/>
              </w:numPr>
              <w:spacing w:before="20" w:after="20"/>
              <w:jc w:val="center"/>
              <w:outlineLvl w:val="0"/>
              <w:rPr>
                <w:b/>
                <w:bCs/>
                <w:iCs/>
                <w:color w:val="000000" w:themeColor="text1"/>
                <w:sz w:val="18"/>
                <w:szCs w:val="18"/>
                <w:lang w:val="en-US"/>
              </w:rPr>
            </w:pPr>
            <w:r w:rsidRPr="007F738B">
              <w:rPr>
                <w:iCs/>
                <w:color w:val="000000" w:themeColor="text1"/>
                <w:sz w:val="18"/>
                <w:szCs w:val="18"/>
                <w:lang w:val="en-US"/>
              </w:rPr>
              <w:t>1.75</w:t>
            </w:r>
            <w:r w:rsidRPr="007F738B">
              <w:rPr>
                <w:iCs/>
                <w:color w:val="000000" w:themeColor="text1"/>
                <w:kern w:val="24"/>
                <w:sz w:val="18"/>
                <w:szCs w:val="18"/>
                <w:lang w:val="en-US"/>
              </w:rPr>
              <w:t>∙10</w:t>
            </w:r>
            <w:r w:rsidRPr="007F738B">
              <w:rPr>
                <w:iCs/>
                <w:color w:val="000000" w:themeColor="text1"/>
                <w:kern w:val="24"/>
                <w:sz w:val="18"/>
                <w:szCs w:val="18"/>
                <w:vertAlign w:val="superscript"/>
                <w:lang w:val="en-US"/>
              </w:rPr>
              <w:t>4</w:t>
            </w:r>
          </w:p>
        </w:tc>
      </w:tr>
      <w:tr w:rsidR="007F6206" w:rsidRPr="007F738B" w14:paraId="28C80E79" w14:textId="77777777" w:rsidTr="000E0B7D">
        <w:trPr>
          <w:trHeight w:val="253"/>
        </w:trPr>
        <w:tc>
          <w:tcPr>
            <w:tcW w:w="709" w:type="dxa"/>
            <w:vAlign w:val="center"/>
          </w:tcPr>
          <w:p w14:paraId="5081624E" w14:textId="77777777" w:rsidR="007F6206" w:rsidRPr="007F738B" w:rsidRDefault="007F6206" w:rsidP="00FD5664">
            <w:pPr>
              <w:pStyle w:val="Heading1"/>
              <w:numPr>
                <w:ilvl w:val="0"/>
                <w:numId w:val="0"/>
              </w:numPr>
              <w:spacing w:before="20" w:after="20"/>
              <w:jc w:val="center"/>
              <w:outlineLvl w:val="0"/>
              <w:rPr>
                <w:b/>
                <w:bCs/>
                <w:iCs/>
                <w:color w:val="000000" w:themeColor="text1"/>
                <w:kern w:val="24"/>
                <w:sz w:val="18"/>
                <w:szCs w:val="18"/>
                <w:lang w:val="en-US"/>
              </w:rPr>
            </w:pPr>
            <w:r w:rsidRPr="007F738B">
              <w:rPr>
                <w:iCs/>
                <w:color w:val="000000" w:themeColor="text1"/>
                <w:kern w:val="24"/>
                <w:sz w:val="18"/>
                <w:szCs w:val="18"/>
                <w:lang w:val="en-US"/>
              </w:rPr>
              <w:t xml:space="preserve">H-V </w:t>
            </w:r>
            <w:r w:rsidRPr="007F738B">
              <w:rPr>
                <w:sz w:val="18"/>
                <w:szCs w:val="18"/>
                <w:vertAlign w:val="superscript"/>
                <w:lang w:val="en-US"/>
              </w:rPr>
              <w:t>a</w:t>
            </w:r>
          </w:p>
        </w:tc>
        <w:tc>
          <w:tcPr>
            <w:tcW w:w="709" w:type="dxa"/>
            <w:vAlign w:val="center"/>
          </w:tcPr>
          <w:p w14:paraId="0EA53749" w14:textId="77777777" w:rsidR="007F6206" w:rsidRPr="007F738B" w:rsidRDefault="007F6206" w:rsidP="00FD5664">
            <w:pPr>
              <w:pStyle w:val="Heading1"/>
              <w:numPr>
                <w:ilvl w:val="0"/>
                <w:numId w:val="0"/>
              </w:numPr>
              <w:spacing w:before="20" w:after="20"/>
              <w:jc w:val="center"/>
              <w:outlineLvl w:val="0"/>
              <w:rPr>
                <w:b/>
                <w:bCs/>
                <w:iCs/>
                <w:color w:val="000000" w:themeColor="text1"/>
                <w:kern w:val="24"/>
                <w:sz w:val="18"/>
                <w:szCs w:val="18"/>
                <w:lang w:val="en-US"/>
              </w:rPr>
            </w:pPr>
            <w:r w:rsidRPr="007F738B">
              <w:rPr>
                <w:iCs/>
                <w:color w:val="000000" w:themeColor="text1"/>
                <w:kern w:val="24"/>
                <w:sz w:val="18"/>
                <w:szCs w:val="18"/>
                <w:lang w:val="en-US"/>
              </w:rPr>
              <w:t>0°</w:t>
            </w:r>
          </w:p>
        </w:tc>
        <w:tc>
          <w:tcPr>
            <w:tcW w:w="992" w:type="dxa"/>
            <w:vAlign w:val="center"/>
          </w:tcPr>
          <w:p w14:paraId="7346A30A" w14:textId="77777777" w:rsidR="007F6206" w:rsidRPr="007F738B" w:rsidRDefault="007F6206" w:rsidP="00FD5664">
            <w:pPr>
              <w:pStyle w:val="Heading1"/>
              <w:numPr>
                <w:ilvl w:val="0"/>
                <w:numId w:val="0"/>
              </w:numPr>
              <w:spacing w:before="20" w:after="20"/>
              <w:jc w:val="center"/>
              <w:outlineLvl w:val="0"/>
              <w:rPr>
                <w:b/>
                <w:bCs/>
                <w:iCs/>
                <w:color w:val="000000" w:themeColor="text1"/>
                <w:kern w:val="24"/>
                <w:sz w:val="18"/>
                <w:szCs w:val="18"/>
                <w:lang w:val="en-US"/>
              </w:rPr>
            </w:pPr>
            <w:r w:rsidRPr="007F738B">
              <w:rPr>
                <w:iCs/>
                <w:color w:val="000000" w:themeColor="text1"/>
                <w:kern w:val="24"/>
                <w:sz w:val="18"/>
                <w:szCs w:val="18"/>
                <w:lang w:val="en-US"/>
              </w:rPr>
              <w:t>0°</w:t>
            </w:r>
          </w:p>
        </w:tc>
        <w:tc>
          <w:tcPr>
            <w:tcW w:w="850" w:type="dxa"/>
            <w:vAlign w:val="center"/>
          </w:tcPr>
          <w:p w14:paraId="77E9A752" w14:textId="77777777" w:rsidR="007F6206" w:rsidRPr="003B7557" w:rsidRDefault="007F6206" w:rsidP="00FD5664">
            <w:pPr>
              <w:pStyle w:val="Heading1"/>
              <w:numPr>
                <w:ilvl w:val="0"/>
                <w:numId w:val="0"/>
              </w:numPr>
              <w:spacing w:before="20" w:after="20"/>
              <w:jc w:val="center"/>
              <w:outlineLvl w:val="0"/>
              <w:rPr>
                <w:bCs/>
                <w:iCs/>
                <w:color w:val="000000" w:themeColor="text1"/>
                <w:kern w:val="24"/>
                <w:sz w:val="18"/>
                <w:szCs w:val="18"/>
                <w:highlight w:val="yellow"/>
                <w:lang w:val="en-US"/>
              </w:rPr>
            </w:pPr>
            <w:r w:rsidRPr="003B7557">
              <w:rPr>
                <w:iCs/>
                <w:color w:val="000000" w:themeColor="text1"/>
                <w:kern w:val="24"/>
                <w:sz w:val="18"/>
                <w:szCs w:val="18"/>
                <w:highlight w:val="yellow"/>
                <w:lang w:val="en-US"/>
              </w:rPr>
              <w:t>0.8×</w:t>
            </w:r>
            <w:r w:rsidRPr="003B7557">
              <w:rPr>
                <w:iCs/>
                <w:color w:val="000000" w:themeColor="text1"/>
                <w:sz w:val="18"/>
                <w:szCs w:val="18"/>
                <w:highlight w:val="yellow"/>
                <w:lang w:val="en-US"/>
              </w:rPr>
              <w:t>I</w:t>
            </w:r>
            <w:r w:rsidRPr="003B7557">
              <w:rPr>
                <w:iCs/>
                <w:color w:val="000000" w:themeColor="text1"/>
                <w:sz w:val="18"/>
                <w:szCs w:val="18"/>
                <w:highlight w:val="yellow"/>
                <w:vertAlign w:val="subscript"/>
                <w:lang w:val="en-US"/>
              </w:rPr>
              <w:t>max</w:t>
            </w:r>
          </w:p>
        </w:tc>
        <w:tc>
          <w:tcPr>
            <w:tcW w:w="851" w:type="dxa"/>
            <w:vAlign w:val="center"/>
          </w:tcPr>
          <w:p w14:paraId="59C4FC2F" w14:textId="77777777" w:rsidR="007F6206" w:rsidRPr="007F738B" w:rsidRDefault="007F6206" w:rsidP="00FD5664">
            <w:pPr>
              <w:pStyle w:val="Heading1"/>
              <w:numPr>
                <w:ilvl w:val="0"/>
                <w:numId w:val="0"/>
              </w:numPr>
              <w:spacing w:before="20" w:after="20"/>
              <w:jc w:val="center"/>
              <w:outlineLvl w:val="0"/>
              <w:rPr>
                <w:b/>
                <w:bCs/>
                <w:iCs/>
                <w:color w:val="000000" w:themeColor="text1"/>
                <w:kern w:val="24"/>
                <w:sz w:val="18"/>
                <w:szCs w:val="18"/>
                <w:lang w:val="en-US"/>
              </w:rPr>
            </w:pPr>
            <w:r w:rsidRPr="007F738B">
              <w:rPr>
                <w:iCs/>
                <w:color w:val="000000" w:themeColor="text1"/>
                <w:sz w:val="18"/>
                <w:szCs w:val="18"/>
                <w:lang w:val="en-US"/>
              </w:rPr>
              <w:t>0.8</w:t>
            </w:r>
            <w:r w:rsidRPr="007F738B">
              <w:rPr>
                <w:iCs/>
                <w:color w:val="000000" w:themeColor="text1"/>
                <w:kern w:val="24"/>
                <w:sz w:val="18"/>
                <w:szCs w:val="18"/>
                <w:lang w:val="en-US"/>
              </w:rPr>
              <w:t>×</w:t>
            </w:r>
            <w:r w:rsidRPr="007F738B">
              <w:rPr>
                <w:iCs/>
                <w:color w:val="000000" w:themeColor="text1"/>
                <w:sz w:val="18"/>
                <w:szCs w:val="18"/>
                <w:lang w:val="en-US"/>
              </w:rPr>
              <w:t>I</w:t>
            </w:r>
            <w:r w:rsidRPr="007F738B">
              <w:rPr>
                <w:iCs/>
                <w:color w:val="000000" w:themeColor="text1"/>
                <w:sz w:val="18"/>
                <w:szCs w:val="18"/>
                <w:vertAlign w:val="subscript"/>
                <w:lang w:val="en-US"/>
              </w:rPr>
              <w:t>max</w:t>
            </w:r>
          </w:p>
        </w:tc>
        <w:tc>
          <w:tcPr>
            <w:tcW w:w="850" w:type="dxa"/>
            <w:vAlign w:val="center"/>
          </w:tcPr>
          <w:p w14:paraId="750B799A" w14:textId="77777777" w:rsidR="007F6206" w:rsidRPr="007F738B" w:rsidRDefault="007F6206" w:rsidP="00FD5664">
            <w:pPr>
              <w:pStyle w:val="Heading1"/>
              <w:numPr>
                <w:ilvl w:val="0"/>
                <w:numId w:val="0"/>
              </w:numPr>
              <w:spacing w:before="20" w:after="20"/>
              <w:jc w:val="center"/>
              <w:outlineLvl w:val="0"/>
              <w:rPr>
                <w:b/>
                <w:bCs/>
                <w:iCs/>
                <w:color w:val="000000" w:themeColor="text1"/>
                <w:sz w:val="18"/>
                <w:szCs w:val="18"/>
                <w:lang w:val="en-US"/>
              </w:rPr>
            </w:pPr>
            <w:r w:rsidRPr="007F738B">
              <w:rPr>
                <w:iCs/>
                <w:color w:val="000000" w:themeColor="text1"/>
                <w:kern w:val="24"/>
                <w:sz w:val="18"/>
                <w:szCs w:val="18"/>
                <w:lang w:val="en-US"/>
              </w:rPr>
              <w:t>0.8×</w:t>
            </w:r>
            <w:r w:rsidRPr="007F738B">
              <w:rPr>
                <w:iCs/>
                <w:color w:val="000000" w:themeColor="text1"/>
                <w:sz w:val="18"/>
                <w:szCs w:val="18"/>
                <w:lang w:val="en-US"/>
              </w:rPr>
              <w:t>I</w:t>
            </w:r>
            <w:r w:rsidRPr="007F738B">
              <w:rPr>
                <w:iCs/>
                <w:color w:val="000000" w:themeColor="text1"/>
                <w:sz w:val="18"/>
                <w:szCs w:val="18"/>
                <w:vertAlign w:val="subscript"/>
                <w:lang w:val="en-US"/>
              </w:rPr>
              <w:t>max</w:t>
            </w:r>
          </w:p>
        </w:tc>
        <w:tc>
          <w:tcPr>
            <w:tcW w:w="794" w:type="dxa"/>
            <w:vAlign w:val="center"/>
          </w:tcPr>
          <w:p w14:paraId="544503AD" w14:textId="77777777" w:rsidR="007F6206" w:rsidRPr="000E060F" w:rsidRDefault="007F6206" w:rsidP="00FD5664">
            <w:pPr>
              <w:pStyle w:val="Heading1"/>
              <w:numPr>
                <w:ilvl w:val="0"/>
                <w:numId w:val="0"/>
              </w:numPr>
              <w:spacing w:before="20" w:after="20"/>
              <w:jc w:val="center"/>
              <w:outlineLvl w:val="0"/>
              <w:rPr>
                <w:bCs/>
                <w:iCs/>
                <w:color w:val="000000" w:themeColor="text1"/>
                <w:sz w:val="18"/>
                <w:szCs w:val="18"/>
                <w:highlight w:val="yellow"/>
                <w:lang w:val="en-US"/>
              </w:rPr>
            </w:pPr>
            <w:r w:rsidRPr="000E060F">
              <w:rPr>
                <w:iCs/>
                <w:color w:val="000000" w:themeColor="text1"/>
                <w:kern w:val="24"/>
                <w:sz w:val="18"/>
                <w:szCs w:val="18"/>
                <w:highlight w:val="yellow"/>
                <w:lang w:val="en-US"/>
              </w:rPr>
              <w:t>1.60∙10</w:t>
            </w:r>
            <w:r w:rsidRPr="000E060F">
              <w:rPr>
                <w:iCs/>
                <w:color w:val="000000" w:themeColor="text1"/>
                <w:kern w:val="24"/>
                <w:sz w:val="18"/>
                <w:szCs w:val="18"/>
                <w:highlight w:val="yellow"/>
                <w:vertAlign w:val="superscript"/>
                <w:lang w:val="en-US"/>
              </w:rPr>
              <w:t>4</w:t>
            </w:r>
          </w:p>
        </w:tc>
        <w:tc>
          <w:tcPr>
            <w:tcW w:w="1009" w:type="dxa"/>
            <w:vAlign w:val="center"/>
          </w:tcPr>
          <w:p w14:paraId="76AAF210" w14:textId="77777777" w:rsidR="007F6206" w:rsidRPr="007F738B" w:rsidRDefault="007F6206" w:rsidP="00FD5664">
            <w:pPr>
              <w:pStyle w:val="Heading1"/>
              <w:numPr>
                <w:ilvl w:val="0"/>
                <w:numId w:val="0"/>
              </w:numPr>
              <w:spacing w:before="20" w:after="20"/>
              <w:jc w:val="center"/>
              <w:outlineLvl w:val="0"/>
              <w:rPr>
                <w:b/>
                <w:bCs/>
                <w:iCs/>
                <w:color w:val="000000" w:themeColor="text1"/>
                <w:sz w:val="18"/>
                <w:szCs w:val="18"/>
                <w:lang w:val="en-US"/>
              </w:rPr>
            </w:pPr>
            <w:r w:rsidRPr="007F738B">
              <w:rPr>
                <w:iCs/>
                <w:color w:val="000000" w:themeColor="text1"/>
                <w:kern w:val="24"/>
                <w:sz w:val="18"/>
                <w:szCs w:val="18"/>
                <w:lang w:val="en-US"/>
              </w:rPr>
              <w:t>2.00∙10</w:t>
            </w:r>
            <w:r w:rsidRPr="007F738B">
              <w:rPr>
                <w:iCs/>
                <w:color w:val="000000" w:themeColor="text1"/>
                <w:kern w:val="24"/>
                <w:sz w:val="18"/>
                <w:szCs w:val="18"/>
                <w:vertAlign w:val="superscript"/>
                <w:lang w:val="en-US"/>
              </w:rPr>
              <w:t>4</w:t>
            </w:r>
          </w:p>
        </w:tc>
        <w:tc>
          <w:tcPr>
            <w:tcW w:w="1027" w:type="dxa"/>
            <w:vAlign w:val="center"/>
          </w:tcPr>
          <w:p w14:paraId="1715576F" w14:textId="77777777" w:rsidR="007F6206" w:rsidRPr="007F738B" w:rsidRDefault="007F6206" w:rsidP="00FD5664">
            <w:pPr>
              <w:pStyle w:val="Heading1"/>
              <w:numPr>
                <w:ilvl w:val="0"/>
                <w:numId w:val="0"/>
              </w:numPr>
              <w:spacing w:before="20" w:after="20"/>
              <w:jc w:val="center"/>
              <w:outlineLvl w:val="0"/>
              <w:rPr>
                <w:b/>
                <w:bCs/>
                <w:iCs/>
                <w:color w:val="000000" w:themeColor="text1"/>
                <w:sz w:val="18"/>
                <w:szCs w:val="18"/>
                <w:lang w:val="en-US"/>
              </w:rPr>
            </w:pPr>
            <w:r w:rsidRPr="007F738B">
              <w:rPr>
                <w:iCs/>
                <w:color w:val="000000" w:themeColor="text1"/>
                <w:kern w:val="24"/>
                <w:sz w:val="18"/>
                <w:szCs w:val="18"/>
                <w:lang w:val="en-US"/>
              </w:rPr>
              <w:t>3.00∙10</w:t>
            </w:r>
            <w:r w:rsidRPr="007F738B">
              <w:rPr>
                <w:iCs/>
                <w:color w:val="000000" w:themeColor="text1"/>
                <w:kern w:val="24"/>
                <w:sz w:val="18"/>
                <w:szCs w:val="18"/>
                <w:vertAlign w:val="superscript"/>
                <w:lang w:val="en-US"/>
              </w:rPr>
              <w:t>4</w:t>
            </w:r>
          </w:p>
        </w:tc>
      </w:tr>
      <w:tr w:rsidR="007F6206" w:rsidRPr="007F738B" w14:paraId="085D545B" w14:textId="77777777" w:rsidTr="000E0B7D">
        <w:trPr>
          <w:trHeight w:val="253"/>
        </w:trPr>
        <w:tc>
          <w:tcPr>
            <w:tcW w:w="709" w:type="dxa"/>
            <w:vAlign w:val="center"/>
          </w:tcPr>
          <w:p w14:paraId="1DE006EF" w14:textId="77777777" w:rsidR="007F6206" w:rsidRPr="007F738B" w:rsidRDefault="007F6206" w:rsidP="00FD5664">
            <w:pPr>
              <w:pStyle w:val="Heading1"/>
              <w:numPr>
                <w:ilvl w:val="0"/>
                <w:numId w:val="0"/>
              </w:numPr>
              <w:spacing w:before="20" w:after="20"/>
              <w:jc w:val="center"/>
              <w:outlineLvl w:val="0"/>
              <w:rPr>
                <w:b/>
                <w:bCs/>
                <w:iCs/>
                <w:color w:val="000000" w:themeColor="text1"/>
                <w:kern w:val="24"/>
                <w:sz w:val="18"/>
                <w:szCs w:val="18"/>
                <w:lang w:val="en-US"/>
              </w:rPr>
            </w:pPr>
            <w:r w:rsidRPr="007F738B">
              <w:rPr>
                <w:iCs/>
                <w:color w:val="000000" w:themeColor="text1"/>
                <w:kern w:val="24"/>
                <w:sz w:val="18"/>
                <w:szCs w:val="18"/>
                <w:lang w:val="en-US"/>
              </w:rPr>
              <w:t>H-3R</w:t>
            </w:r>
          </w:p>
        </w:tc>
        <w:tc>
          <w:tcPr>
            <w:tcW w:w="709" w:type="dxa"/>
            <w:vAlign w:val="center"/>
          </w:tcPr>
          <w:p w14:paraId="3676C389" w14:textId="77777777" w:rsidR="007F6206" w:rsidRPr="007F738B" w:rsidRDefault="007F6206" w:rsidP="00FD5664">
            <w:pPr>
              <w:pStyle w:val="Heading1"/>
              <w:numPr>
                <w:ilvl w:val="0"/>
                <w:numId w:val="0"/>
              </w:numPr>
              <w:spacing w:before="20" w:after="20"/>
              <w:jc w:val="center"/>
              <w:outlineLvl w:val="0"/>
              <w:rPr>
                <w:b/>
                <w:bCs/>
                <w:iCs/>
                <w:color w:val="000000" w:themeColor="text1"/>
                <w:kern w:val="24"/>
                <w:sz w:val="18"/>
                <w:szCs w:val="18"/>
                <w:lang w:val="en-US"/>
              </w:rPr>
            </w:pPr>
            <w:r w:rsidRPr="007F738B">
              <w:rPr>
                <w:iCs/>
                <w:color w:val="000000" w:themeColor="text1"/>
                <w:kern w:val="24"/>
                <w:sz w:val="18"/>
                <w:szCs w:val="18"/>
                <w:lang w:val="en-US"/>
              </w:rPr>
              <w:t>0°</w:t>
            </w:r>
          </w:p>
        </w:tc>
        <w:tc>
          <w:tcPr>
            <w:tcW w:w="992" w:type="dxa"/>
            <w:vAlign w:val="center"/>
          </w:tcPr>
          <w:p w14:paraId="053827E7" w14:textId="77777777" w:rsidR="007F6206" w:rsidRPr="007F738B" w:rsidRDefault="007F6206" w:rsidP="00FD5664">
            <w:pPr>
              <w:pStyle w:val="Heading1"/>
              <w:numPr>
                <w:ilvl w:val="0"/>
                <w:numId w:val="0"/>
              </w:numPr>
              <w:spacing w:before="20" w:after="20"/>
              <w:jc w:val="center"/>
              <w:outlineLvl w:val="0"/>
              <w:rPr>
                <w:b/>
                <w:bCs/>
                <w:iCs/>
                <w:color w:val="000000" w:themeColor="text1"/>
                <w:kern w:val="24"/>
                <w:sz w:val="18"/>
                <w:szCs w:val="18"/>
                <w:lang w:val="en-US"/>
              </w:rPr>
            </w:pPr>
            <w:r w:rsidRPr="007F738B">
              <w:rPr>
                <w:iCs/>
                <w:color w:val="000000" w:themeColor="text1"/>
                <w:kern w:val="24"/>
                <w:sz w:val="18"/>
                <w:szCs w:val="18"/>
                <w:lang w:val="en-US"/>
              </w:rPr>
              <w:t>3°R</w:t>
            </w:r>
          </w:p>
        </w:tc>
        <w:tc>
          <w:tcPr>
            <w:tcW w:w="850" w:type="dxa"/>
            <w:vAlign w:val="center"/>
          </w:tcPr>
          <w:p w14:paraId="565F872F" w14:textId="77777777" w:rsidR="007F6206" w:rsidRPr="003B7557" w:rsidRDefault="007F6206" w:rsidP="00FD5664">
            <w:pPr>
              <w:pStyle w:val="Heading1"/>
              <w:numPr>
                <w:ilvl w:val="0"/>
                <w:numId w:val="0"/>
              </w:numPr>
              <w:spacing w:before="20" w:after="20"/>
              <w:jc w:val="center"/>
              <w:outlineLvl w:val="0"/>
              <w:rPr>
                <w:bCs/>
                <w:iCs/>
                <w:color w:val="000000" w:themeColor="text1"/>
                <w:kern w:val="24"/>
                <w:sz w:val="18"/>
                <w:szCs w:val="18"/>
                <w:highlight w:val="yellow"/>
                <w:lang w:val="en-US"/>
              </w:rPr>
            </w:pPr>
            <w:r w:rsidRPr="003B7557">
              <w:rPr>
                <w:iCs/>
                <w:color w:val="000000" w:themeColor="text1"/>
                <w:kern w:val="24"/>
                <w:sz w:val="18"/>
                <w:szCs w:val="18"/>
                <w:highlight w:val="yellow"/>
                <w:lang w:val="en-US"/>
              </w:rPr>
              <w:t>1.20∙10</w:t>
            </w:r>
            <w:r w:rsidRPr="003B7557">
              <w:rPr>
                <w:iCs/>
                <w:color w:val="000000" w:themeColor="text1"/>
                <w:kern w:val="24"/>
                <w:sz w:val="18"/>
                <w:szCs w:val="18"/>
                <w:highlight w:val="yellow"/>
                <w:vertAlign w:val="superscript"/>
                <w:lang w:val="en-US"/>
              </w:rPr>
              <w:t>4</w:t>
            </w:r>
          </w:p>
        </w:tc>
        <w:tc>
          <w:tcPr>
            <w:tcW w:w="851" w:type="dxa"/>
            <w:vAlign w:val="center"/>
          </w:tcPr>
          <w:p w14:paraId="29D1EDBE" w14:textId="77777777" w:rsidR="007F6206" w:rsidRPr="007F738B" w:rsidRDefault="007F6206" w:rsidP="00FD5664">
            <w:pPr>
              <w:pStyle w:val="Heading1"/>
              <w:numPr>
                <w:ilvl w:val="0"/>
                <w:numId w:val="0"/>
              </w:numPr>
              <w:spacing w:before="20" w:after="20"/>
              <w:jc w:val="center"/>
              <w:outlineLvl w:val="0"/>
              <w:rPr>
                <w:b/>
                <w:bCs/>
                <w:iCs/>
                <w:color w:val="000000" w:themeColor="text1"/>
                <w:kern w:val="24"/>
                <w:sz w:val="18"/>
                <w:szCs w:val="18"/>
                <w:lang w:val="en-US"/>
              </w:rPr>
            </w:pPr>
            <w:r w:rsidRPr="007F738B">
              <w:rPr>
                <w:iCs/>
                <w:color w:val="000000" w:themeColor="text1"/>
                <w:kern w:val="24"/>
                <w:sz w:val="18"/>
                <w:szCs w:val="18"/>
                <w:lang w:val="en-US"/>
              </w:rPr>
              <w:t>1.75∙10</w:t>
            </w:r>
            <w:r w:rsidRPr="007F738B">
              <w:rPr>
                <w:iCs/>
                <w:color w:val="000000" w:themeColor="text1"/>
                <w:kern w:val="24"/>
                <w:sz w:val="18"/>
                <w:szCs w:val="18"/>
                <w:vertAlign w:val="superscript"/>
                <w:lang w:val="en-US"/>
              </w:rPr>
              <w:t>4</w:t>
            </w:r>
          </w:p>
        </w:tc>
        <w:tc>
          <w:tcPr>
            <w:tcW w:w="850" w:type="dxa"/>
            <w:vAlign w:val="center"/>
          </w:tcPr>
          <w:p w14:paraId="759A596D" w14:textId="77777777" w:rsidR="007F6206" w:rsidRPr="007F738B" w:rsidRDefault="007F6206" w:rsidP="00FD5664">
            <w:pPr>
              <w:pStyle w:val="Heading1"/>
              <w:numPr>
                <w:ilvl w:val="0"/>
                <w:numId w:val="0"/>
              </w:numPr>
              <w:spacing w:before="20" w:after="20"/>
              <w:jc w:val="center"/>
              <w:outlineLvl w:val="0"/>
              <w:rPr>
                <w:b/>
                <w:bCs/>
                <w:iCs/>
                <w:color w:val="000000" w:themeColor="text1"/>
                <w:sz w:val="18"/>
                <w:szCs w:val="18"/>
                <w:lang w:val="en-US"/>
              </w:rPr>
            </w:pPr>
            <w:r w:rsidRPr="007F738B">
              <w:rPr>
                <w:iCs/>
                <w:color w:val="000000" w:themeColor="text1"/>
                <w:sz w:val="18"/>
                <w:szCs w:val="18"/>
                <w:lang w:val="en-US"/>
              </w:rPr>
              <w:t>-</w:t>
            </w:r>
          </w:p>
        </w:tc>
        <w:tc>
          <w:tcPr>
            <w:tcW w:w="794" w:type="dxa"/>
            <w:vAlign w:val="center"/>
          </w:tcPr>
          <w:p w14:paraId="3D65AEC6" w14:textId="77777777" w:rsidR="007F6206" w:rsidRPr="000E060F" w:rsidRDefault="007F6206" w:rsidP="00FD5664">
            <w:pPr>
              <w:pStyle w:val="Heading1"/>
              <w:numPr>
                <w:ilvl w:val="0"/>
                <w:numId w:val="0"/>
              </w:numPr>
              <w:spacing w:before="20" w:after="20"/>
              <w:jc w:val="center"/>
              <w:outlineLvl w:val="0"/>
              <w:rPr>
                <w:bCs/>
                <w:iCs/>
                <w:color w:val="000000" w:themeColor="text1"/>
                <w:sz w:val="18"/>
                <w:szCs w:val="18"/>
                <w:highlight w:val="yellow"/>
                <w:lang w:val="en-US"/>
              </w:rPr>
            </w:pPr>
            <w:r w:rsidRPr="000E060F">
              <w:rPr>
                <w:iCs/>
                <w:color w:val="000000" w:themeColor="text1"/>
                <w:sz w:val="18"/>
                <w:szCs w:val="18"/>
                <w:highlight w:val="yellow"/>
                <w:lang w:val="en-US"/>
              </w:rPr>
              <w:t>9.00</w:t>
            </w:r>
            <w:r w:rsidRPr="000E060F">
              <w:rPr>
                <w:iCs/>
                <w:color w:val="000000" w:themeColor="text1"/>
                <w:kern w:val="24"/>
                <w:sz w:val="18"/>
                <w:szCs w:val="18"/>
                <w:highlight w:val="yellow"/>
                <w:lang w:val="en-US"/>
              </w:rPr>
              <w:t>∙10</w:t>
            </w:r>
            <w:r w:rsidRPr="000E060F">
              <w:rPr>
                <w:iCs/>
                <w:color w:val="000000" w:themeColor="text1"/>
                <w:kern w:val="24"/>
                <w:sz w:val="18"/>
                <w:szCs w:val="18"/>
                <w:highlight w:val="yellow"/>
                <w:vertAlign w:val="superscript"/>
                <w:lang w:val="en-US"/>
              </w:rPr>
              <w:t>3</w:t>
            </w:r>
          </w:p>
        </w:tc>
        <w:tc>
          <w:tcPr>
            <w:tcW w:w="1009" w:type="dxa"/>
            <w:vAlign w:val="center"/>
          </w:tcPr>
          <w:p w14:paraId="00EEA54B" w14:textId="77777777" w:rsidR="007F6206" w:rsidRPr="007F738B" w:rsidRDefault="007F6206" w:rsidP="00FD5664">
            <w:pPr>
              <w:pStyle w:val="Heading1"/>
              <w:numPr>
                <w:ilvl w:val="0"/>
                <w:numId w:val="0"/>
              </w:numPr>
              <w:spacing w:before="20" w:after="20"/>
              <w:jc w:val="center"/>
              <w:outlineLvl w:val="0"/>
              <w:rPr>
                <w:b/>
                <w:bCs/>
                <w:iCs/>
                <w:color w:val="000000" w:themeColor="text1"/>
                <w:sz w:val="18"/>
                <w:szCs w:val="18"/>
                <w:lang w:val="en-US"/>
              </w:rPr>
            </w:pPr>
            <w:r w:rsidRPr="007F738B">
              <w:rPr>
                <w:iCs/>
                <w:color w:val="000000" w:themeColor="text1"/>
                <w:sz w:val="18"/>
                <w:szCs w:val="18"/>
                <w:lang w:val="en-US"/>
              </w:rPr>
              <w:t>1.20</w:t>
            </w:r>
            <w:r w:rsidRPr="007F738B">
              <w:rPr>
                <w:iCs/>
                <w:color w:val="000000" w:themeColor="text1"/>
                <w:kern w:val="24"/>
                <w:sz w:val="18"/>
                <w:szCs w:val="18"/>
                <w:lang w:val="en-US"/>
              </w:rPr>
              <w:t>∙10</w:t>
            </w:r>
            <w:r w:rsidRPr="007F738B">
              <w:rPr>
                <w:iCs/>
                <w:color w:val="000000" w:themeColor="text1"/>
                <w:kern w:val="24"/>
                <w:sz w:val="18"/>
                <w:szCs w:val="18"/>
                <w:vertAlign w:val="superscript"/>
                <w:lang w:val="en-US"/>
              </w:rPr>
              <w:t>4</w:t>
            </w:r>
          </w:p>
        </w:tc>
        <w:tc>
          <w:tcPr>
            <w:tcW w:w="1027" w:type="dxa"/>
            <w:vAlign w:val="center"/>
          </w:tcPr>
          <w:p w14:paraId="5E47ED09" w14:textId="77777777" w:rsidR="007F6206" w:rsidRPr="007F738B" w:rsidRDefault="007F6206" w:rsidP="00FD5664">
            <w:pPr>
              <w:pStyle w:val="Heading1"/>
              <w:numPr>
                <w:ilvl w:val="0"/>
                <w:numId w:val="0"/>
              </w:numPr>
              <w:spacing w:before="20" w:after="20"/>
              <w:jc w:val="center"/>
              <w:outlineLvl w:val="0"/>
              <w:rPr>
                <w:b/>
                <w:bCs/>
                <w:iCs/>
                <w:color w:val="000000" w:themeColor="text1"/>
                <w:sz w:val="18"/>
                <w:szCs w:val="18"/>
                <w:lang w:val="en-US"/>
              </w:rPr>
            </w:pPr>
            <w:r w:rsidRPr="007F738B">
              <w:rPr>
                <w:iCs/>
                <w:color w:val="000000" w:themeColor="text1"/>
                <w:sz w:val="18"/>
                <w:szCs w:val="18"/>
                <w:lang w:val="en-US"/>
              </w:rPr>
              <w:t>1.75</w:t>
            </w:r>
            <w:r w:rsidRPr="007F738B">
              <w:rPr>
                <w:iCs/>
                <w:color w:val="000000" w:themeColor="text1"/>
                <w:kern w:val="24"/>
                <w:sz w:val="18"/>
                <w:szCs w:val="18"/>
                <w:lang w:val="en-US"/>
              </w:rPr>
              <w:t>∙10</w:t>
            </w:r>
            <w:r w:rsidRPr="007F738B">
              <w:rPr>
                <w:iCs/>
                <w:color w:val="000000" w:themeColor="text1"/>
                <w:kern w:val="24"/>
                <w:sz w:val="18"/>
                <w:szCs w:val="18"/>
                <w:vertAlign w:val="superscript"/>
                <w:lang w:val="en-US"/>
              </w:rPr>
              <w:t>4</w:t>
            </w:r>
          </w:p>
        </w:tc>
      </w:tr>
      <w:tr w:rsidR="007F6206" w:rsidRPr="007F738B" w14:paraId="1D70689A" w14:textId="77777777" w:rsidTr="000E0B7D">
        <w:trPr>
          <w:trHeight w:val="253"/>
        </w:trPr>
        <w:tc>
          <w:tcPr>
            <w:tcW w:w="709" w:type="dxa"/>
            <w:vAlign w:val="center"/>
          </w:tcPr>
          <w:p w14:paraId="7F79DD14" w14:textId="77777777" w:rsidR="007F6206" w:rsidRPr="007F738B" w:rsidRDefault="007F6206" w:rsidP="00FD5664">
            <w:pPr>
              <w:pStyle w:val="Heading1"/>
              <w:numPr>
                <w:ilvl w:val="0"/>
                <w:numId w:val="0"/>
              </w:numPr>
              <w:spacing w:before="20" w:after="20"/>
              <w:jc w:val="center"/>
              <w:outlineLvl w:val="0"/>
              <w:rPr>
                <w:b/>
                <w:bCs/>
                <w:iCs/>
                <w:color w:val="000000" w:themeColor="text1"/>
                <w:kern w:val="24"/>
                <w:sz w:val="18"/>
                <w:szCs w:val="18"/>
                <w:lang w:val="en-US"/>
              </w:rPr>
            </w:pPr>
            <w:r w:rsidRPr="007F738B">
              <w:rPr>
                <w:iCs/>
                <w:color w:val="000000" w:themeColor="text1"/>
                <w:kern w:val="24"/>
                <w:sz w:val="18"/>
                <w:szCs w:val="18"/>
                <w:lang w:val="en-US"/>
              </w:rPr>
              <w:t>H-6R</w:t>
            </w:r>
          </w:p>
        </w:tc>
        <w:tc>
          <w:tcPr>
            <w:tcW w:w="709" w:type="dxa"/>
            <w:vAlign w:val="center"/>
          </w:tcPr>
          <w:p w14:paraId="0123470C" w14:textId="77777777" w:rsidR="007F6206" w:rsidRPr="007F738B" w:rsidRDefault="007F6206" w:rsidP="00FD5664">
            <w:pPr>
              <w:pStyle w:val="Heading1"/>
              <w:numPr>
                <w:ilvl w:val="0"/>
                <w:numId w:val="0"/>
              </w:numPr>
              <w:spacing w:before="20" w:after="20"/>
              <w:jc w:val="center"/>
              <w:outlineLvl w:val="0"/>
              <w:rPr>
                <w:b/>
                <w:bCs/>
                <w:iCs/>
                <w:color w:val="000000" w:themeColor="text1"/>
                <w:kern w:val="24"/>
                <w:sz w:val="18"/>
                <w:szCs w:val="18"/>
                <w:lang w:val="en-US"/>
              </w:rPr>
            </w:pPr>
            <w:r w:rsidRPr="007F738B">
              <w:rPr>
                <w:iCs/>
                <w:color w:val="000000" w:themeColor="text1"/>
                <w:kern w:val="24"/>
                <w:sz w:val="18"/>
                <w:szCs w:val="18"/>
                <w:lang w:val="en-US"/>
              </w:rPr>
              <w:t>0°</w:t>
            </w:r>
          </w:p>
        </w:tc>
        <w:tc>
          <w:tcPr>
            <w:tcW w:w="992" w:type="dxa"/>
            <w:vAlign w:val="center"/>
          </w:tcPr>
          <w:p w14:paraId="416957B9" w14:textId="77777777" w:rsidR="007F6206" w:rsidRPr="007F738B" w:rsidRDefault="007F6206" w:rsidP="00FD5664">
            <w:pPr>
              <w:pStyle w:val="Heading1"/>
              <w:numPr>
                <w:ilvl w:val="0"/>
                <w:numId w:val="0"/>
              </w:numPr>
              <w:spacing w:before="20" w:after="20"/>
              <w:jc w:val="center"/>
              <w:outlineLvl w:val="0"/>
              <w:rPr>
                <w:b/>
                <w:bCs/>
                <w:iCs/>
                <w:color w:val="000000" w:themeColor="text1"/>
                <w:kern w:val="24"/>
                <w:sz w:val="18"/>
                <w:szCs w:val="18"/>
                <w:lang w:val="en-US"/>
              </w:rPr>
            </w:pPr>
            <w:r w:rsidRPr="007F738B">
              <w:rPr>
                <w:iCs/>
                <w:color w:val="000000" w:themeColor="text1"/>
                <w:kern w:val="24"/>
                <w:sz w:val="18"/>
                <w:szCs w:val="18"/>
                <w:lang w:val="en-US"/>
              </w:rPr>
              <w:t>6°R</w:t>
            </w:r>
          </w:p>
        </w:tc>
        <w:tc>
          <w:tcPr>
            <w:tcW w:w="850" w:type="dxa"/>
            <w:vAlign w:val="center"/>
          </w:tcPr>
          <w:p w14:paraId="01572F2D" w14:textId="77777777" w:rsidR="007F6206" w:rsidRPr="003B7557" w:rsidRDefault="007F6206" w:rsidP="00FD5664">
            <w:pPr>
              <w:pStyle w:val="Heading1"/>
              <w:numPr>
                <w:ilvl w:val="0"/>
                <w:numId w:val="0"/>
              </w:numPr>
              <w:spacing w:before="20" w:after="20"/>
              <w:jc w:val="center"/>
              <w:outlineLvl w:val="0"/>
              <w:rPr>
                <w:bCs/>
                <w:iCs/>
                <w:color w:val="000000" w:themeColor="text1"/>
                <w:kern w:val="24"/>
                <w:sz w:val="18"/>
                <w:szCs w:val="18"/>
                <w:highlight w:val="yellow"/>
                <w:lang w:val="en-US"/>
              </w:rPr>
            </w:pPr>
            <w:r w:rsidRPr="003B7557">
              <w:rPr>
                <w:iCs/>
                <w:color w:val="000000" w:themeColor="text1"/>
                <w:kern w:val="24"/>
                <w:sz w:val="18"/>
                <w:szCs w:val="18"/>
                <w:highlight w:val="yellow"/>
                <w:lang w:val="en-US"/>
              </w:rPr>
              <w:t>3.40∙10</w:t>
            </w:r>
            <w:r w:rsidRPr="003B7557">
              <w:rPr>
                <w:iCs/>
                <w:color w:val="000000" w:themeColor="text1"/>
                <w:kern w:val="24"/>
                <w:sz w:val="18"/>
                <w:szCs w:val="18"/>
                <w:highlight w:val="yellow"/>
                <w:vertAlign w:val="superscript"/>
                <w:lang w:val="en-US"/>
              </w:rPr>
              <w:t>3</w:t>
            </w:r>
          </w:p>
        </w:tc>
        <w:tc>
          <w:tcPr>
            <w:tcW w:w="851" w:type="dxa"/>
            <w:vAlign w:val="center"/>
          </w:tcPr>
          <w:p w14:paraId="08B97D8F" w14:textId="77777777" w:rsidR="007F6206" w:rsidRPr="007F738B" w:rsidRDefault="007F6206" w:rsidP="00FD5664">
            <w:pPr>
              <w:pStyle w:val="Heading1"/>
              <w:numPr>
                <w:ilvl w:val="0"/>
                <w:numId w:val="0"/>
              </w:numPr>
              <w:spacing w:before="20" w:after="20"/>
              <w:jc w:val="center"/>
              <w:outlineLvl w:val="0"/>
              <w:rPr>
                <w:b/>
                <w:bCs/>
                <w:iCs/>
                <w:color w:val="000000" w:themeColor="text1"/>
                <w:kern w:val="24"/>
                <w:sz w:val="18"/>
                <w:szCs w:val="18"/>
                <w:lang w:val="en-US"/>
              </w:rPr>
            </w:pPr>
            <w:r w:rsidRPr="007F738B">
              <w:rPr>
                <w:iCs/>
                <w:color w:val="000000" w:themeColor="text1"/>
                <w:kern w:val="24"/>
                <w:sz w:val="18"/>
                <w:szCs w:val="18"/>
                <w:lang w:val="en-US"/>
              </w:rPr>
              <w:t>5.00∙10</w:t>
            </w:r>
            <w:r w:rsidRPr="007F738B">
              <w:rPr>
                <w:iCs/>
                <w:color w:val="000000" w:themeColor="text1"/>
                <w:kern w:val="24"/>
                <w:sz w:val="18"/>
                <w:szCs w:val="18"/>
                <w:vertAlign w:val="superscript"/>
                <w:lang w:val="en-US"/>
              </w:rPr>
              <w:t>3</w:t>
            </w:r>
          </w:p>
        </w:tc>
        <w:tc>
          <w:tcPr>
            <w:tcW w:w="850" w:type="dxa"/>
            <w:vAlign w:val="center"/>
          </w:tcPr>
          <w:p w14:paraId="4F1290DF" w14:textId="77777777" w:rsidR="007F6206" w:rsidRPr="007F738B" w:rsidRDefault="007F6206" w:rsidP="00FD5664">
            <w:pPr>
              <w:pStyle w:val="Heading1"/>
              <w:numPr>
                <w:ilvl w:val="0"/>
                <w:numId w:val="0"/>
              </w:numPr>
              <w:spacing w:before="20" w:after="20"/>
              <w:jc w:val="center"/>
              <w:outlineLvl w:val="0"/>
              <w:rPr>
                <w:b/>
                <w:bCs/>
                <w:iCs/>
                <w:color w:val="000000" w:themeColor="text1"/>
                <w:sz w:val="18"/>
                <w:szCs w:val="18"/>
                <w:lang w:val="en-US"/>
              </w:rPr>
            </w:pPr>
            <w:r w:rsidRPr="007F738B">
              <w:rPr>
                <w:iCs/>
                <w:color w:val="000000" w:themeColor="text1"/>
                <w:sz w:val="18"/>
                <w:szCs w:val="18"/>
                <w:lang w:val="en-US"/>
              </w:rPr>
              <w:t>-</w:t>
            </w:r>
          </w:p>
        </w:tc>
        <w:tc>
          <w:tcPr>
            <w:tcW w:w="794" w:type="dxa"/>
            <w:vAlign w:val="center"/>
          </w:tcPr>
          <w:p w14:paraId="164C89A7" w14:textId="77777777" w:rsidR="007F6206" w:rsidRPr="000E060F" w:rsidRDefault="007F6206" w:rsidP="00FD5664">
            <w:pPr>
              <w:pStyle w:val="Heading1"/>
              <w:numPr>
                <w:ilvl w:val="0"/>
                <w:numId w:val="0"/>
              </w:numPr>
              <w:spacing w:before="20" w:after="20"/>
              <w:jc w:val="center"/>
              <w:outlineLvl w:val="0"/>
              <w:rPr>
                <w:bCs/>
                <w:iCs/>
                <w:color w:val="000000" w:themeColor="text1"/>
                <w:sz w:val="18"/>
                <w:szCs w:val="18"/>
                <w:highlight w:val="yellow"/>
                <w:lang w:val="en-US"/>
              </w:rPr>
            </w:pPr>
            <w:r w:rsidRPr="000E060F">
              <w:rPr>
                <w:iCs/>
                <w:color w:val="000000" w:themeColor="text1"/>
                <w:sz w:val="18"/>
                <w:szCs w:val="18"/>
                <w:highlight w:val="yellow"/>
                <w:lang w:val="en-US"/>
              </w:rPr>
              <w:t>2.50</w:t>
            </w:r>
            <w:r w:rsidRPr="000E060F">
              <w:rPr>
                <w:iCs/>
                <w:color w:val="000000" w:themeColor="text1"/>
                <w:kern w:val="24"/>
                <w:sz w:val="18"/>
                <w:szCs w:val="18"/>
                <w:highlight w:val="yellow"/>
                <w:lang w:val="en-US"/>
              </w:rPr>
              <w:t>∙10</w:t>
            </w:r>
            <w:r w:rsidRPr="000E060F">
              <w:rPr>
                <w:iCs/>
                <w:color w:val="000000" w:themeColor="text1"/>
                <w:kern w:val="24"/>
                <w:sz w:val="18"/>
                <w:szCs w:val="18"/>
                <w:highlight w:val="yellow"/>
                <w:vertAlign w:val="superscript"/>
                <w:lang w:val="en-US"/>
              </w:rPr>
              <w:t>3</w:t>
            </w:r>
          </w:p>
        </w:tc>
        <w:tc>
          <w:tcPr>
            <w:tcW w:w="1009" w:type="dxa"/>
            <w:vAlign w:val="center"/>
          </w:tcPr>
          <w:p w14:paraId="1149842B" w14:textId="77777777" w:rsidR="007F6206" w:rsidRPr="007F738B" w:rsidRDefault="007F6206" w:rsidP="00FD5664">
            <w:pPr>
              <w:pStyle w:val="Heading1"/>
              <w:numPr>
                <w:ilvl w:val="0"/>
                <w:numId w:val="0"/>
              </w:numPr>
              <w:spacing w:before="20" w:after="20"/>
              <w:jc w:val="center"/>
              <w:outlineLvl w:val="0"/>
              <w:rPr>
                <w:b/>
                <w:bCs/>
                <w:iCs/>
                <w:color w:val="000000" w:themeColor="text1"/>
                <w:sz w:val="18"/>
                <w:szCs w:val="18"/>
                <w:lang w:val="en-US"/>
              </w:rPr>
            </w:pPr>
            <w:r w:rsidRPr="007F738B">
              <w:rPr>
                <w:iCs/>
                <w:color w:val="000000" w:themeColor="text1"/>
                <w:sz w:val="18"/>
                <w:szCs w:val="18"/>
                <w:lang w:val="en-US"/>
              </w:rPr>
              <w:t>3.40</w:t>
            </w:r>
            <w:r w:rsidRPr="007F738B">
              <w:rPr>
                <w:iCs/>
                <w:color w:val="000000" w:themeColor="text1"/>
                <w:kern w:val="24"/>
                <w:sz w:val="18"/>
                <w:szCs w:val="18"/>
                <w:lang w:val="en-US"/>
              </w:rPr>
              <w:t>∙10</w:t>
            </w:r>
            <w:r w:rsidRPr="007F738B">
              <w:rPr>
                <w:iCs/>
                <w:color w:val="000000" w:themeColor="text1"/>
                <w:kern w:val="24"/>
                <w:sz w:val="18"/>
                <w:szCs w:val="18"/>
                <w:vertAlign w:val="superscript"/>
                <w:lang w:val="en-US"/>
              </w:rPr>
              <w:t>3</w:t>
            </w:r>
          </w:p>
        </w:tc>
        <w:tc>
          <w:tcPr>
            <w:tcW w:w="1027" w:type="dxa"/>
            <w:vAlign w:val="center"/>
          </w:tcPr>
          <w:p w14:paraId="4C601773" w14:textId="77777777" w:rsidR="007F6206" w:rsidRPr="007F738B" w:rsidRDefault="007F6206" w:rsidP="00FD5664">
            <w:pPr>
              <w:pStyle w:val="Heading1"/>
              <w:numPr>
                <w:ilvl w:val="0"/>
                <w:numId w:val="0"/>
              </w:numPr>
              <w:spacing w:before="20" w:after="20"/>
              <w:jc w:val="center"/>
              <w:outlineLvl w:val="0"/>
              <w:rPr>
                <w:b/>
                <w:bCs/>
                <w:iCs/>
                <w:color w:val="000000" w:themeColor="text1"/>
                <w:sz w:val="18"/>
                <w:szCs w:val="18"/>
                <w:lang w:val="en-US"/>
              </w:rPr>
            </w:pPr>
            <w:r w:rsidRPr="007F738B">
              <w:rPr>
                <w:iCs/>
                <w:color w:val="000000" w:themeColor="text1"/>
                <w:sz w:val="18"/>
                <w:szCs w:val="18"/>
                <w:lang w:val="en-US"/>
              </w:rPr>
              <w:t>5.00</w:t>
            </w:r>
            <w:r w:rsidRPr="007F738B">
              <w:rPr>
                <w:iCs/>
                <w:color w:val="000000" w:themeColor="text1"/>
                <w:kern w:val="24"/>
                <w:sz w:val="18"/>
                <w:szCs w:val="18"/>
                <w:lang w:val="en-US"/>
              </w:rPr>
              <w:t>∙10</w:t>
            </w:r>
            <w:r w:rsidRPr="007F738B">
              <w:rPr>
                <w:iCs/>
                <w:color w:val="000000" w:themeColor="text1"/>
                <w:kern w:val="24"/>
                <w:sz w:val="18"/>
                <w:szCs w:val="18"/>
                <w:vertAlign w:val="superscript"/>
                <w:lang w:val="en-US"/>
              </w:rPr>
              <w:t>3</w:t>
            </w:r>
          </w:p>
        </w:tc>
      </w:tr>
      <w:tr w:rsidR="007F6206" w:rsidRPr="007F738B" w14:paraId="2C81AC31" w14:textId="77777777" w:rsidTr="000E0B7D">
        <w:trPr>
          <w:trHeight w:val="253"/>
        </w:trPr>
        <w:tc>
          <w:tcPr>
            <w:tcW w:w="709" w:type="dxa"/>
            <w:vAlign w:val="center"/>
          </w:tcPr>
          <w:p w14:paraId="7C699CE8" w14:textId="77777777" w:rsidR="007F6206" w:rsidRPr="007F738B" w:rsidRDefault="007F6206" w:rsidP="00FD5664">
            <w:pPr>
              <w:pStyle w:val="Heading1"/>
              <w:numPr>
                <w:ilvl w:val="0"/>
                <w:numId w:val="0"/>
              </w:numPr>
              <w:spacing w:before="20" w:after="20"/>
              <w:jc w:val="center"/>
              <w:outlineLvl w:val="0"/>
              <w:rPr>
                <w:b/>
                <w:bCs/>
                <w:iCs/>
                <w:color w:val="000000" w:themeColor="text1"/>
                <w:kern w:val="24"/>
                <w:sz w:val="18"/>
                <w:szCs w:val="18"/>
                <w:lang w:val="en-US"/>
              </w:rPr>
            </w:pPr>
            <w:r w:rsidRPr="007F738B">
              <w:rPr>
                <w:iCs/>
                <w:color w:val="000000" w:themeColor="text1"/>
                <w:kern w:val="24"/>
                <w:sz w:val="18"/>
                <w:szCs w:val="18"/>
                <w:lang w:val="en-US"/>
              </w:rPr>
              <w:t>H-9R</w:t>
            </w:r>
          </w:p>
        </w:tc>
        <w:tc>
          <w:tcPr>
            <w:tcW w:w="709" w:type="dxa"/>
            <w:vAlign w:val="center"/>
          </w:tcPr>
          <w:p w14:paraId="7AB55CA0" w14:textId="77777777" w:rsidR="007F6206" w:rsidRPr="007F738B" w:rsidRDefault="007F6206" w:rsidP="00FD5664">
            <w:pPr>
              <w:pStyle w:val="Heading1"/>
              <w:numPr>
                <w:ilvl w:val="0"/>
                <w:numId w:val="0"/>
              </w:numPr>
              <w:spacing w:before="20" w:after="20"/>
              <w:jc w:val="center"/>
              <w:outlineLvl w:val="0"/>
              <w:rPr>
                <w:b/>
                <w:bCs/>
                <w:iCs/>
                <w:color w:val="000000" w:themeColor="text1"/>
                <w:kern w:val="24"/>
                <w:sz w:val="18"/>
                <w:szCs w:val="18"/>
                <w:lang w:val="en-US"/>
              </w:rPr>
            </w:pPr>
            <w:r w:rsidRPr="007F738B">
              <w:rPr>
                <w:iCs/>
                <w:color w:val="000000" w:themeColor="text1"/>
                <w:kern w:val="24"/>
                <w:sz w:val="18"/>
                <w:szCs w:val="18"/>
                <w:lang w:val="en-US"/>
              </w:rPr>
              <w:t>0°</w:t>
            </w:r>
          </w:p>
        </w:tc>
        <w:tc>
          <w:tcPr>
            <w:tcW w:w="992" w:type="dxa"/>
            <w:vAlign w:val="center"/>
          </w:tcPr>
          <w:p w14:paraId="1AAF5924" w14:textId="77777777" w:rsidR="007F6206" w:rsidRPr="007F738B" w:rsidRDefault="007F6206" w:rsidP="00FD5664">
            <w:pPr>
              <w:pStyle w:val="Heading1"/>
              <w:numPr>
                <w:ilvl w:val="0"/>
                <w:numId w:val="0"/>
              </w:numPr>
              <w:spacing w:before="20" w:after="20"/>
              <w:jc w:val="center"/>
              <w:outlineLvl w:val="0"/>
              <w:rPr>
                <w:b/>
                <w:bCs/>
                <w:iCs/>
                <w:color w:val="000000" w:themeColor="text1"/>
                <w:kern w:val="24"/>
                <w:sz w:val="18"/>
                <w:szCs w:val="18"/>
                <w:lang w:val="en-US"/>
              </w:rPr>
            </w:pPr>
            <w:r w:rsidRPr="007F738B">
              <w:rPr>
                <w:iCs/>
                <w:color w:val="000000" w:themeColor="text1"/>
                <w:kern w:val="24"/>
                <w:sz w:val="18"/>
                <w:szCs w:val="18"/>
                <w:lang w:val="en-US"/>
              </w:rPr>
              <w:t>9°R</w:t>
            </w:r>
          </w:p>
        </w:tc>
        <w:tc>
          <w:tcPr>
            <w:tcW w:w="850" w:type="dxa"/>
            <w:vAlign w:val="center"/>
          </w:tcPr>
          <w:p w14:paraId="53FB8D06" w14:textId="77777777" w:rsidR="007F6206" w:rsidRPr="003B7557" w:rsidRDefault="007F6206" w:rsidP="00FD5664">
            <w:pPr>
              <w:pStyle w:val="Heading1"/>
              <w:numPr>
                <w:ilvl w:val="0"/>
                <w:numId w:val="0"/>
              </w:numPr>
              <w:spacing w:before="20" w:after="20"/>
              <w:jc w:val="center"/>
              <w:outlineLvl w:val="0"/>
              <w:rPr>
                <w:bCs/>
                <w:iCs/>
                <w:color w:val="000000" w:themeColor="text1"/>
                <w:kern w:val="24"/>
                <w:sz w:val="18"/>
                <w:szCs w:val="18"/>
                <w:highlight w:val="yellow"/>
                <w:lang w:val="en-US"/>
              </w:rPr>
            </w:pPr>
            <w:r w:rsidRPr="003B7557">
              <w:rPr>
                <w:iCs/>
                <w:color w:val="000000" w:themeColor="text1"/>
                <w:kern w:val="24"/>
                <w:sz w:val="18"/>
                <w:szCs w:val="18"/>
                <w:highlight w:val="yellow"/>
                <w:lang w:val="en-US"/>
              </w:rPr>
              <w:t>2.00∙10</w:t>
            </w:r>
            <w:r w:rsidRPr="003B7557">
              <w:rPr>
                <w:iCs/>
                <w:color w:val="000000" w:themeColor="text1"/>
                <w:kern w:val="24"/>
                <w:sz w:val="18"/>
                <w:szCs w:val="18"/>
                <w:highlight w:val="yellow"/>
                <w:vertAlign w:val="superscript"/>
                <w:lang w:val="en-US"/>
              </w:rPr>
              <w:t>3</w:t>
            </w:r>
          </w:p>
        </w:tc>
        <w:tc>
          <w:tcPr>
            <w:tcW w:w="851" w:type="dxa"/>
            <w:vAlign w:val="center"/>
          </w:tcPr>
          <w:p w14:paraId="745DFBF0" w14:textId="77777777" w:rsidR="007F6206" w:rsidRPr="007F738B" w:rsidRDefault="007F6206" w:rsidP="00FD5664">
            <w:pPr>
              <w:pStyle w:val="Heading1"/>
              <w:numPr>
                <w:ilvl w:val="0"/>
                <w:numId w:val="0"/>
              </w:numPr>
              <w:spacing w:before="20" w:after="20"/>
              <w:jc w:val="center"/>
              <w:outlineLvl w:val="0"/>
              <w:rPr>
                <w:b/>
                <w:bCs/>
                <w:iCs/>
                <w:color w:val="000000" w:themeColor="text1"/>
                <w:kern w:val="24"/>
                <w:sz w:val="18"/>
                <w:szCs w:val="18"/>
                <w:lang w:val="en-US"/>
              </w:rPr>
            </w:pPr>
            <w:r w:rsidRPr="007F738B">
              <w:rPr>
                <w:iCs/>
                <w:color w:val="000000" w:themeColor="text1"/>
                <w:kern w:val="24"/>
                <w:sz w:val="18"/>
                <w:szCs w:val="18"/>
                <w:lang w:val="en-US"/>
              </w:rPr>
              <w:t>3.40∙10</w:t>
            </w:r>
            <w:r w:rsidRPr="007F738B">
              <w:rPr>
                <w:iCs/>
                <w:color w:val="000000" w:themeColor="text1"/>
                <w:kern w:val="24"/>
                <w:sz w:val="18"/>
                <w:szCs w:val="18"/>
                <w:vertAlign w:val="superscript"/>
                <w:lang w:val="en-US"/>
              </w:rPr>
              <w:t>3</w:t>
            </w:r>
          </w:p>
        </w:tc>
        <w:tc>
          <w:tcPr>
            <w:tcW w:w="850" w:type="dxa"/>
            <w:vAlign w:val="center"/>
          </w:tcPr>
          <w:p w14:paraId="54972172" w14:textId="77777777" w:rsidR="007F6206" w:rsidRPr="007F738B" w:rsidRDefault="007F6206" w:rsidP="00FD5664">
            <w:pPr>
              <w:pStyle w:val="Heading1"/>
              <w:numPr>
                <w:ilvl w:val="0"/>
                <w:numId w:val="0"/>
              </w:numPr>
              <w:spacing w:before="20" w:after="20"/>
              <w:jc w:val="center"/>
              <w:outlineLvl w:val="0"/>
              <w:rPr>
                <w:b/>
                <w:bCs/>
                <w:iCs/>
                <w:color w:val="000000" w:themeColor="text1"/>
                <w:sz w:val="18"/>
                <w:szCs w:val="18"/>
                <w:lang w:val="en-US"/>
              </w:rPr>
            </w:pPr>
            <w:r w:rsidRPr="007F738B">
              <w:rPr>
                <w:iCs/>
                <w:color w:val="000000" w:themeColor="text1"/>
                <w:sz w:val="18"/>
                <w:szCs w:val="18"/>
                <w:lang w:val="en-US"/>
              </w:rPr>
              <w:t>-</w:t>
            </w:r>
          </w:p>
        </w:tc>
        <w:tc>
          <w:tcPr>
            <w:tcW w:w="794" w:type="dxa"/>
            <w:vAlign w:val="center"/>
          </w:tcPr>
          <w:p w14:paraId="44EAE49C" w14:textId="77777777" w:rsidR="007F6206" w:rsidRPr="000E060F" w:rsidRDefault="007F6206" w:rsidP="00FD5664">
            <w:pPr>
              <w:pStyle w:val="Heading1"/>
              <w:numPr>
                <w:ilvl w:val="0"/>
                <w:numId w:val="0"/>
              </w:numPr>
              <w:spacing w:before="20" w:after="20"/>
              <w:jc w:val="center"/>
              <w:outlineLvl w:val="0"/>
              <w:rPr>
                <w:bCs/>
                <w:iCs/>
                <w:color w:val="000000" w:themeColor="text1"/>
                <w:sz w:val="18"/>
                <w:szCs w:val="18"/>
                <w:highlight w:val="yellow"/>
                <w:lang w:val="en-US"/>
              </w:rPr>
            </w:pPr>
            <w:r w:rsidRPr="000E060F">
              <w:rPr>
                <w:iCs/>
                <w:color w:val="000000" w:themeColor="text1"/>
                <w:sz w:val="18"/>
                <w:szCs w:val="18"/>
                <w:highlight w:val="yellow"/>
                <w:lang w:val="en-US"/>
              </w:rPr>
              <w:t>-</w:t>
            </w:r>
          </w:p>
        </w:tc>
        <w:tc>
          <w:tcPr>
            <w:tcW w:w="1009" w:type="dxa"/>
            <w:vAlign w:val="center"/>
          </w:tcPr>
          <w:p w14:paraId="0251187B" w14:textId="77777777" w:rsidR="007F6206" w:rsidRPr="007F738B" w:rsidRDefault="007F6206" w:rsidP="00FD5664">
            <w:pPr>
              <w:pStyle w:val="Heading1"/>
              <w:numPr>
                <w:ilvl w:val="0"/>
                <w:numId w:val="0"/>
              </w:numPr>
              <w:spacing w:before="20" w:after="20"/>
              <w:jc w:val="center"/>
              <w:outlineLvl w:val="0"/>
              <w:rPr>
                <w:b/>
                <w:bCs/>
                <w:iCs/>
                <w:color w:val="000000" w:themeColor="text1"/>
                <w:sz w:val="18"/>
                <w:szCs w:val="18"/>
                <w:lang w:val="en-US"/>
              </w:rPr>
            </w:pPr>
            <w:r w:rsidRPr="007F738B">
              <w:rPr>
                <w:iCs/>
                <w:color w:val="000000" w:themeColor="text1"/>
                <w:sz w:val="18"/>
                <w:szCs w:val="18"/>
                <w:lang w:val="en-US"/>
              </w:rPr>
              <w:t>-</w:t>
            </w:r>
          </w:p>
        </w:tc>
        <w:tc>
          <w:tcPr>
            <w:tcW w:w="1027" w:type="dxa"/>
            <w:vAlign w:val="center"/>
          </w:tcPr>
          <w:p w14:paraId="7C24D80F" w14:textId="77777777" w:rsidR="007F6206" w:rsidRPr="007F738B" w:rsidRDefault="007F6206" w:rsidP="00FD5664">
            <w:pPr>
              <w:pStyle w:val="Heading1"/>
              <w:numPr>
                <w:ilvl w:val="0"/>
                <w:numId w:val="0"/>
              </w:numPr>
              <w:spacing w:before="20" w:after="20"/>
              <w:jc w:val="center"/>
              <w:outlineLvl w:val="0"/>
              <w:rPr>
                <w:b/>
                <w:bCs/>
                <w:iCs/>
                <w:color w:val="000000" w:themeColor="text1"/>
                <w:sz w:val="18"/>
                <w:szCs w:val="18"/>
                <w:lang w:val="en-US"/>
              </w:rPr>
            </w:pPr>
            <w:r w:rsidRPr="007F738B">
              <w:rPr>
                <w:iCs/>
                <w:color w:val="000000" w:themeColor="text1"/>
                <w:sz w:val="18"/>
                <w:szCs w:val="18"/>
                <w:lang w:val="en-US"/>
              </w:rPr>
              <w:t>-</w:t>
            </w:r>
          </w:p>
        </w:tc>
      </w:tr>
      <w:tr w:rsidR="007F6206" w:rsidRPr="007F738B" w14:paraId="258FF6E2" w14:textId="77777777" w:rsidTr="000E0B7D">
        <w:trPr>
          <w:trHeight w:val="253"/>
        </w:trPr>
        <w:tc>
          <w:tcPr>
            <w:tcW w:w="709" w:type="dxa"/>
            <w:vAlign w:val="center"/>
          </w:tcPr>
          <w:p w14:paraId="05B79E35" w14:textId="77777777" w:rsidR="007F6206" w:rsidRPr="007F738B" w:rsidRDefault="007F6206" w:rsidP="00FD5664">
            <w:pPr>
              <w:pStyle w:val="Heading1"/>
              <w:numPr>
                <w:ilvl w:val="0"/>
                <w:numId w:val="0"/>
              </w:numPr>
              <w:spacing w:before="20" w:after="20"/>
              <w:jc w:val="center"/>
              <w:outlineLvl w:val="0"/>
              <w:rPr>
                <w:b/>
                <w:bCs/>
                <w:iCs/>
                <w:color w:val="000000" w:themeColor="text1"/>
                <w:kern w:val="24"/>
                <w:sz w:val="18"/>
                <w:szCs w:val="18"/>
                <w:lang w:val="en-US"/>
              </w:rPr>
            </w:pPr>
            <w:r w:rsidRPr="007F738B">
              <w:rPr>
                <w:iCs/>
                <w:color w:val="000000" w:themeColor="text1"/>
                <w:kern w:val="24"/>
                <w:sz w:val="18"/>
                <w:szCs w:val="18"/>
                <w:lang w:val="en-US"/>
              </w:rPr>
              <w:t>H-12R</w:t>
            </w:r>
          </w:p>
        </w:tc>
        <w:tc>
          <w:tcPr>
            <w:tcW w:w="709" w:type="dxa"/>
            <w:vAlign w:val="center"/>
          </w:tcPr>
          <w:p w14:paraId="703D18E3" w14:textId="77777777" w:rsidR="007F6206" w:rsidRPr="007F738B" w:rsidRDefault="007F6206" w:rsidP="00FD5664">
            <w:pPr>
              <w:pStyle w:val="Heading1"/>
              <w:numPr>
                <w:ilvl w:val="0"/>
                <w:numId w:val="0"/>
              </w:numPr>
              <w:spacing w:before="20" w:after="20"/>
              <w:jc w:val="center"/>
              <w:outlineLvl w:val="0"/>
              <w:rPr>
                <w:b/>
                <w:bCs/>
                <w:iCs/>
                <w:color w:val="000000" w:themeColor="text1"/>
                <w:kern w:val="24"/>
                <w:sz w:val="18"/>
                <w:szCs w:val="18"/>
                <w:lang w:val="en-US"/>
              </w:rPr>
            </w:pPr>
            <w:r w:rsidRPr="007F738B">
              <w:rPr>
                <w:iCs/>
                <w:color w:val="000000" w:themeColor="text1"/>
                <w:kern w:val="24"/>
                <w:sz w:val="18"/>
                <w:szCs w:val="18"/>
                <w:lang w:val="en-US"/>
              </w:rPr>
              <w:t>0°</w:t>
            </w:r>
          </w:p>
        </w:tc>
        <w:tc>
          <w:tcPr>
            <w:tcW w:w="992" w:type="dxa"/>
            <w:vAlign w:val="center"/>
          </w:tcPr>
          <w:p w14:paraId="72F0C129" w14:textId="77777777" w:rsidR="007F6206" w:rsidRPr="007F738B" w:rsidRDefault="007F6206" w:rsidP="00FD5664">
            <w:pPr>
              <w:pStyle w:val="Heading1"/>
              <w:numPr>
                <w:ilvl w:val="0"/>
                <w:numId w:val="0"/>
              </w:numPr>
              <w:spacing w:before="20" w:after="20"/>
              <w:jc w:val="center"/>
              <w:outlineLvl w:val="0"/>
              <w:rPr>
                <w:b/>
                <w:bCs/>
                <w:iCs/>
                <w:color w:val="000000" w:themeColor="text1"/>
                <w:kern w:val="24"/>
                <w:sz w:val="18"/>
                <w:szCs w:val="18"/>
                <w:lang w:val="en-US"/>
              </w:rPr>
            </w:pPr>
            <w:r w:rsidRPr="007F738B">
              <w:rPr>
                <w:iCs/>
                <w:color w:val="000000" w:themeColor="text1"/>
                <w:kern w:val="24"/>
                <w:sz w:val="18"/>
                <w:szCs w:val="18"/>
                <w:lang w:val="en-US"/>
              </w:rPr>
              <w:t>12°R</w:t>
            </w:r>
          </w:p>
        </w:tc>
        <w:tc>
          <w:tcPr>
            <w:tcW w:w="850" w:type="dxa"/>
            <w:vAlign w:val="center"/>
          </w:tcPr>
          <w:p w14:paraId="192F361C" w14:textId="77777777" w:rsidR="007F6206" w:rsidRPr="003B7557" w:rsidRDefault="007F6206" w:rsidP="00FD5664">
            <w:pPr>
              <w:pStyle w:val="Heading1"/>
              <w:numPr>
                <w:ilvl w:val="0"/>
                <w:numId w:val="0"/>
              </w:numPr>
              <w:spacing w:before="20" w:after="20"/>
              <w:jc w:val="center"/>
              <w:outlineLvl w:val="0"/>
              <w:rPr>
                <w:bCs/>
                <w:iCs/>
                <w:color w:val="000000" w:themeColor="text1"/>
                <w:kern w:val="24"/>
                <w:sz w:val="18"/>
                <w:szCs w:val="18"/>
                <w:highlight w:val="yellow"/>
                <w:lang w:val="en-US"/>
              </w:rPr>
            </w:pPr>
            <w:r w:rsidRPr="003B7557">
              <w:rPr>
                <w:iCs/>
                <w:color w:val="000000" w:themeColor="text1"/>
                <w:kern w:val="24"/>
                <w:sz w:val="18"/>
                <w:szCs w:val="18"/>
                <w:highlight w:val="yellow"/>
                <w:lang w:val="en-US"/>
              </w:rPr>
              <w:t>6.00∙10</w:t>
            </w:r>
            <w:r w:rsidRPr="003B7557">
              <w:rPr>
                <w:iCs/>
                <w:color w:val="000000" w:themeColor="text1"/>
                <w:kern w:val="24"/>
                <w:sz w:val="18"/>
                <w:szCs w:val="18"/>
                <w:highlight w:val="yellow"/>
                <w:vertAlign w:val="superscript"/>
                <w:lang w:val="en-US"/>
              </w:rPr>
              <w:t>2</w:t>
            </w:r>
          </w:p>
        </w:tc>
        <w:tc>
          <w:tcPr>
            <w:tcW w:w="851" w:type="dxa"/>
            <w:vAlign w:val="center"/>
          </w:tcPr>
          <w:p w14:paraId="433B9F85" w14:textId="77777777" w:rsidR="007F6206" w:rsidRPr="007F738B" w:rsidRDefault="007F6206" w:rsidP="00FD5664">
            <w:pPr>
              <w:pStyle w:val="Heading1"/>
              <w:numPr>
                <w:ilvl w:val="0"/>
                <w:numId w:val="0"/>
              </w:numPr>
              <w:spacing w:before="20" w:after="20"/>
              <w:jc w:val="center"/>
              <w:outlineLvl w:val="0"/>
              <w:rPr>
                <w:b/>
                <w:bCs/>
                <w:iCs/>
                <w:color w:val="000000" w:themeColor="text1"/>
                <w:kern w:val="24"/>
                <w:sz w:val="18"/>
                <w:szCs w:val="18"/>
                <w:lang w:val="en-US"/>
              </w:rPr>
            </w:pPr>
            <w:r w:rsidRPr="007F738B">
              <w:rPr>
                <w:iCs/>
                <w:color w:val="000000" w:themeColor="text1"/>
                <w:kern w:val="24"/>
                <w:sz w:val="18"/>
                <w:szCs w:val="18"/>
                <w:lang w:val="en-US"/>
              </w:rPr>
              <w:t>1.50∙10</w:t>
            </w:r>
            <w:r w:rsidRPr="007F738B">
              <w:rPr>
                <w:iCs/>
                <w:color w:val="000000" w:themeColor="text1"/>
                <w:kern w:val="24"/>
                <w:sz w:val="18"/>
                <w:szCs w:val="18"/>
                <w:vertAlign w:val="superscript"/>
                <w:lang w:val="en-US"/>
              </w:rPr>
              <w:t>3</w:t>
            </w:r>
          </w:p>
        </w:tc>
        <w:tc>
          <w:tcPr>
            <w:tcW w:w="850" w:type="dxa"/>
            <w:vAlign w:val="center"/>
          </w:tcPr>
          <w:p w14:paraId="616398DE" w14:textId="77777777" w:rsidR="007F6206" w:rsidRPr="007F738B" w:rsidRDefault="007F6206" w:rsidP="00FD5664">
            <w:pPr>
              <w:pStyle w:val="Heading1"/>
              <w:numPr>
                <w:ilvl w:val="0"/>
                <w:numId w:val="0"/>
              </w:numPr>
              <w:spacing w:before="20" w:after="20"/>
              <w:jc w:val="center"/>
              <w:outlineLvl w:val="0"/>
              <w:rPr>
                <w:b/>
                <w:bCs/>
                <w:iCs/>
                <w:color w:val="000000" w:themeColor="text1"/>
                <w:sz w:val="18"/>
                <w:szCs w:val="18"/>
                <w:lang w:val="en-US"/>
              </w:rPr>
            </w:pPr>
            <w:r w:rsidRPr="007F738B">
              <w:rPr>
                <w:iCs/>
                <w:color w:val="000000" w:themeColor="text1"/>
                <w:sz w:val="18"/>
                <w:szCs w:val="18"/>
                <w:lang w:val="en-US"/>
              </w:rPr>
              <w:t>-</w:t>
            </w:r>
          </w:p>
        </w:tc>
        <w:tc>
          <w:tcPr>
            <w:tcW w:w="794" w:type="dxa"/>
            <w:vAlign w:val="center"/>
          </w:tcPr>
          <w:p w14:paraId="44EC5789" w14:textId="77777777" w:rsidR="007F6206" w:rsidRPr="000E060F" w:rsidRDefault="007F6206" w:rsidP="00FD5664">
            <w:pPr>
              <w:pStyle w:val="Heading1"/>
              <w:numPr>
                <w:ilvl w:val="0"/>
                <w:numId w:val="0"/>
              </w:numPr>
              <w:spacing w:before="20" w:after="20"/>
              <w:jc w:val="center"/>
              <w:outlineLvl w:val="0"/>
              <w:rPr>
                <w:bCs/>
                <w:iCs/>
                <w:color w:val="000000" w:themeColor="text1"/>
                <w:sz w:val="18"/>
                <w:szCs w:val="18"/>
                <w:highlight w:val="yellow"/>
                <w:lang w:val="en-US"/>
              </w:rPr>
            </w:pPr>
            <w:r w:rsidRPr="000E060F">
              <w:rPr>
                <w:iCs/>
                <w:color w:val="000000" w:themeColor="text1"/>
                <w:sz w:val="18"/>
                <w:szCs w:val="18"/>
                <w:highlight w:val="yellow"/>
                <w:lang w:val="en-US"/>
              </w:rPr>
              <w:t>-</w:t>
            </w:r>
          </w:p>
        </w:tc>
        <w:tc>
          <w:tcPr>
            <w:tcW w:w="1009" w:type="dxa"/>
            <w:vAlign w:val="center"/>
          </w:tcPr>
          <w:p w14:paraId="39E70946" w14:textId="77777777" w:rsidR="007F6206" w:rsidRPr="007F738B" w:rsidRDefault="007F6206" w:rsidP="00FD5664">
            <w:pPr>
              <w:pStyle w:val="Heading1"/>
              <w:numPr>
                <w:ilvl w:val="0"/>
                <w:numId w:val="0"/>
              </w:numPr>
              <w:spacing w:before="20" w:after="20"/>
              <w:jc w:val="center"/>
              <w:outlineLvl w:val="0"/>
              <w:rPr>
                <w:b/>
                <w:bCs/>
                <w:iCs/>
                <w:color w:val="000000" w:themeColor="text1"/>
                <w:sz w:val="18"/>
                <w:szCs w:val="18"/>
                <w:lang w:val="en-US"/>
              </w:rPr>
            </w:pPr>
            <w:r w:rsidRPr="007F738B">
              <w:rPr>
                <w:iCs/>
                <w:color w:val="000000" w:themeColor="text1"/>
                <w:sz w:val="18"/>
                <w:szCs w:val="18"/>
                <w:lang w:val="en-US"/>
              </w:rPr>
              <w:t>-</w:t>
            </w:r>
          </w:p>
        </w:tc>
        <w:tc>
          <w:tcPr>
            <w:tcW w:w="1027" w:type="dxa"/>
            <w:vAlign w:val="center"/>
          </w:tcPr>
          <w:p w14:paraId="6F5B887C" w14:textId="77777777" w:rsidR="007F6206" w:rsidRPr="007F738B" w:rsidRDefault="007F6206" w:rsidP="00FD5664">
            <w:pPr>
              <w:pStyle w:val="Heading1"/>
              <w:numPr>
                <w:ilvl w:val="0"/>
                <w:numId w:val="0"/>
              </w:numPr>
              <w:spacing w:before="20" w:after="20"/>
              <w:jc w:val="center"/>
              <w:outlineLvl w:val="0"/>
              <w:rPr>
                <w:b/>
                <w:bCs/>
                <w:iCs/>
                <w:color w:val="000000" w:themeColor="text1"/>
                <w:sz w:val="18"/>
                <w:szCs w:val="18"/>
                <w:lang w:val="en-US"/>
              </w:rPr>
            </w:pPr>
            <w:r w:rsidRPr="007F738B">
              <w:rPr>
                <w:iCs/>
                <w:color w:val="000000" w:themeColor="text1"/>
                <w:sz w:val="18"/>
                <w:szCs w:val="18"/>
                <w:lang w:val="en-US"/>
              </w:rPr>
              <w:t>-</w:t>
            </w:r>
          </w:p>
        </w:tc>
      </w:tr>
      <w:tr w:rsidR="007F6206" w:rsidRPr="007F738B" w14:paraId="53C0F584" w14:textId="77777777" w:rsidTr="000E0B7D">
        <w:trPr>
          <w:trHeight w:val="253"/>
        </w:trPr>
        <w:tc>
          <w:tcPr>
            <w:tcW w:w="709" w:type="dxa"/>
            <w:vAlign w:val="center"/>
          </w:tcPr>
          <w:p w14:paraId="1EFEFD11" w14:textId="77777777" w:rsidR="007F6206" w:rsidRPr="007F738B" w:rsidRDefault="007F6206" w:rsidP="00FD5664">
            <w:pPr>
              <w:pStyle w:val="Heading1"/>
              <w:numPr>
                <w:ilvl w:val="0"/>
                <w:numId w:val="0"/>
              </w:numPr>
              <w:spacing w:before="20" w:after="20"/>
              <w:jc w:val="center"/>
              <w:outlineLvl w:val="0"/>
              <w:rPr>
                <w:b/>
                <w:bCs/>
                <w:iCs/>
                <w:color w:val="000000" w:themeColor="text1"/>
                <w:sz w:val="18"/>
                <w:szCs w:val="18"/>
                <w:lang w:val="en-US"/>
              </w:rPr>
            </w:pPr>
            <w:r w:rsidRPr="007F738B">
              <w:rPr>
                <w:iCs/>
                <w:color w:val="000000" w:themeColor="text1"/>
                <w:sz w:val="18"/>
                <w:szCs w:val="18"/>
                <w:lang w:val="en-US"/>
              </w:rPr>
              <w:t>I</w:t>
            </w:r>
            <w:r w:rsidRPr="007F738B">
              <w:rPr>
                <w:iCs/>
                <w:color w:val="000000" w:themeColor="text1"/>
                <w:sz w:val="18"/>
                <w:szCs w:val="18"/>
                <w:vertAlign w:val="subscript"/>
                <w:lang w:val="en-US"/>
              </w:rPr>
              <w:t>max</w:t>
            </w:r>
          </w:p>
        </w:tc>
        <w:tc>
          <w:tcPr>
            <w:tcW w:w="709" w:type="dxa"/>
            <w:vAlign w:val="center"/>
          </w:tcPr>
          <w:p w14:paraId="373F3B29" w14:textId="77777777" w:rsidR="007F6206" w:rsidRPr="007F738B" w:rsidRDefault="007F6206" w:rsidP="00FD5664">
            <w:pPr>
              <w:pStyle w:val="Heading1"/>
              <w:numPr>
                <w:ilvl w:val="0"/>
                <w:numId w:val="0"/>
              </w:numPr>
              <w:spacing w:before="20" w:after="20"/>
              <w:jc w:val="center"/>
              <w:outlineLvl w:val="0"/>
              <w:rPr>
                <w:b/>
                <w:bCs/>
                <w:iCs/>
                <w:color w:val="000000" w:themeColor="text1"/>
                <w:sz w:val="18"/>
                <w:szCs w:val="18"/>
                <w:lang w:val="en-US"/>
              </w:rPr>
            </w:pPr>
            <w:r w:rsidRPr="007F738B">
              <w:rPr>
                <w:iCs/>
                <w:color w:val="000000" w:themeColor="text1"/>
                <w:sz w:val="18"/>
                <w:szCs w:val="18"/>
                <w:lang w:val="en-US"/>
              </w:rPr>
              <w:t>-</w:t>
            </w:r>
          </w:p>
        </w:tc>
        <w:tc>
          <w:tcPr>
            <w:tcW w:w="992" w:type="dxa"/>
            <w:vAlign w:val="center"/>
          </w:tcPr>
          <w:p w14:paraId="0FCD6066" w14:textId="77777777" w:rsidR="007F6206" w:rsidRPr="007F738B" w:rsidRDefault="007F6206" w:rsidP="00FD5664">
            <w:pPr>
              <w:pStyle w:val="Heading1"/>
              <w:numPr>
                <w:ilvl w:val="0"/>
                <w:numId w:val="0"/>
              </w:numPr>
              <w:spacing w:before="20" w:after="20"/>
              <w:jc w:val="center"/>
              <w:outlineLvl w:val="0"/>
              <w:rPr>
                <w:b/>
                <w:bCs/>
                <w:iCs/>
                <w:color w:val="000000" w:themeColor="text1"/>
                <w:sz w:val="18"/>
                <w:szCs w:val="18"/>
                <w:lang w:val="en-US"/>
              </w:rPr>
            </w:pPr>
            <w:r w:rsidRPr="007F738B">
              <w:rPr>
                <w:iCs/>
                <w:color w:val="000000" w:themeColor="text1"/>
                <w:sz w:val="18"/>
                <w:szCs w:val="18"/>
                <w:lang w:val="en-US"/>
              </w:rPr>
              <w:t>-</w:t>
            </w:r>
          </w:p>
        </w:tc>
        <w:tc>
          <w:tcPr>
            <w:tcW w:w="850" w:type="dxa"/>
            <w:vAlign w:val="center"/>
          </w:tcPr>
          <w:p w14:paraId="54F7EDFD" w14:textId="77777777" w:rsidR="007F6206" w:rsidRPr="003B7557" w:rsidRDefault="007F6206" w:rsidP="00FD5664">
            <w:pPr>
              <w:pStyle w:val="Heading1"/>
              <w:numPr>
                <w:ilvl w:val="0"/>
                <w:numId w:val="0"/>
              </w:numPr>
              <w:spacing w:before="20" w:after="20"/>
              <w:jc w:val="center"/>
              <w:outlineLvl w:val="0"/>
              <w:rPr>
                <w:bCs/>
                <w:iCs/>
                <w:color w:val="000000" w:themeColor="text1"/>
                <w:sz w:val="18"/>
                <w:szCs w:val="18"/>
                <w:highlight w:val="yellow"/>
                <w:lang w:val="en-US"/>
              </w:rPr>
            </w:pPr>
            <w:r w:rsidRPr="003B7557">
              <w:rPr>
                <w:iCs/>
                <w:color w:val="000000" w:themeColor="text1"/>
                <w:kern w:val="24"/>
                <w:sz w:val="18"/>
                <w:szCs w:val="18"/>
                <w:highlight w:val="yellow"/>
                <w:lang w:val="en-US"/>
              </w:rPr>
              <w:t>2.70∙10</w:t>
            </w:r>
            <w:r w:rsidRPr="003B7557">
              <w:rPr>
                <w:iCs/>
                <w:color w:val="000000" w:themeColor="text1"/>
                <w:kern w:val="24"/>
                <w:sz w:val="18"/>
                <w:szCs w:val="18"/>
                <w:highlight w:val="yellow"/>
                <w:vertAlign w:val="superscript"/>
                <w:lang w:val="en-US"/>
              </w:rPr>
              <w:t>4</w:t>
            </w:r>
          </w:p>
        </w:tc>
        <w:tc>
          <w:tcPr>
            <w:tcW w:w="851" w:type="dxa"/>
            <w:vAlign w:val="center"/>
          </w:tcPr>
          <w:p w14:paraId="4671E0F2" w14:textId="77777777" w:rsidR="007F6206" w:rsidRPr="007F738B" w:rsidRDefault="007F6206" w:rsidP="00FD5664">
            <w:pPr>
              <w:pStyle w:val="Heading1"/>
              <w:numPr>
                <w:ilvl w:val="0"/>
                <w:numId w:val="0"/>
              </w:numPr>
              <w:spacing w:before="20" w:after="20"/>
              <w:jc w:val="center"/>
              <w:outlineLvl w:val="0"/>
              <w:rPr>
                <w:b/>
                <w:bCs/>
                <w:iCs/>
                <w:color w:val="000000" w:themeColor="text1"/>
                <w:sz w:val="18"/>
                <w:szCs w:val="18"/>
                <w:lang w:val="en-US"/>
              </w:rPr>
            </w:pPr>
            <w:r w:rsidRPr="007F738B">
              <w:rPr>
                <w:iCs/>
                <w:color w:val="000000" w:themeColor="text1"/>
                <w:kern w:val="24"/>
                <w:sz w:val="18"/>
                <w:szCs w:val="18"/>
                <w:lang w:val="en-US"/>
              </w:rPr>
              <w:t>4.00∙10</w:t>
            </w:r>
            <w:r w:rsidRPr="007F738B">
              <w:rPr>
                <w:iCs/>
                <w:color w:val="000000" w:themeColor="text1"/>
                <w:kern w:val="24"/>
                <w:sz w:val="18"/>
                <w:szCs w:val="18"/>
                <w:vertAlign w:val="superscript"/>
                <w:lang w:val="en-US"/>
              </w:rPr>
              <w:t>4</w:t>
            </w:r>
          </w:p>
        </w:tc>
        <w:tc>
          <w:tcPr>
            <w:tcW w:w="850" w:type="dxa"/>
            <w:vAlign w:val="center"/>
          </w:tcPr>
          <w:p w14:paraId="19CF7C2F" w14:textId="77777777" w:rsidR="007F6206" w:rsidRPr="007F738B" w:rsidRDefault="007F6206" w:rsidP="00FD5664">
            <w:pPr>
              <w:pStyle w:val="Heading1"/>
              <w:numPr>
                <w:ilvl w:val="0"/>
                <w:numId w:val="0"/>
              </w:numPr>
              <w:spacing w:before="20" w:after="20"/>
              <w:jc w:val="center"/>
              <w:outlineLvl w:val="0"/>
              <w:rPr>
                <w:b/>
                <w:bCs/>
                <w:iCs/>
                <w:color w:val="000000" w:themeColor="text1"/>
                <w:sz w:val="18"/>
                <w:szCs w:val="18"/>
                <w:lang w:val="en-US"/>
              </w:rPr>
            </w:pPr>
            <w:r w:rsidRPr="007F738B">
              <w:rPr>
                <w:iCs/>
                <w:color w:val="000000" w:themeColor="text1"/>
                <w:kern w:val="24"/>
                <w:sz w:val="18"/>
                <w:szCs w:val="18"/>
                <w:lang w:val="en-US"/>
              </w:rPr>
              <w:t>1.00∙10</w:t>
            </w:r>
            <w:r w:rsidRPr="007F738B">
              <w:rPr>
                <w:iCs/>
                <w:color w:val="000000" w:themeColor="text1"/>
                <w:kern w:val="24"/>
                <w:sz w:val="18"/>
                <w:szCs w:val="18"/>
                <w:vertAlign w:val="superscript"/>
                <w:lang w:val="en-US"/>
              </w:rPr>
              <w:t>4</w:t>
            </w:r>
          </w:p>
        </w:tc>
        <w:tc>
          <w:tcPr>
            <w:tcW w:w="794" w:type="dxa"/>
            <w:vAlign w:val="center"/>
          </w:tcPr>
          <w:p w14:paraId="47DBC980" w14:textId="77777777" w:rsidR="007F6206" w:rsidRPr="000E060F" w:rsidRDefault="007F6206" w:rsidP="00FD5664">
            <w:pPr>
              <w:pStyle w:val="Heading1"/>
              <w:numPr>
                <w:ilvl w:val="0"/>
                <w:numId w:val="0"/>
              </w:numPr>
              <w:spacing w:before="20" w:after="20"/>
              <w:jc w:val="center"/>
              <w:outlineLvl w:val="0"/>
              <w:rPr>
                <w:bCs/>
                <w:iCs/>
                <w:color w:val="000000" w:themeColor="text1"/>
                <w:sz w:val="18"/>
                <w:szCs w:val="18"/>
                <w:highlight w:val="yellow"/>
                <w:lang w:val="en-US"/>
              </w:rPr>
            </w:pPr>
            <w:r w:rsidRPr="000E060F">
              <w:rPr>
                <w:iCs/>
                <w:color w:val="000000" w:themeColor="text1"/>
                <w:kern w:val="24"/>
                <w:sz w:val="18"/>
                <w:szCs w:val="18"/>
                <w:highlight w:val="yellow"/>
                <w:lang w:val="en-US"/>
              </w:rPr>
              <w:t>2.00∙10</w:t>
            </w:r>
            <w:r w:rsidRPr="000E060F">
              <w:rPr>
                <w:iCs/>
                <w:color w:val="000000" w:themeColor="text1"/>
                <w:kern w:val="24"/>
                <w:sz w:val="18"/>
                <w:szCs w:val="18"/>
                <w:highlight w:val="yellow"/>
                <w:vertAlign w:val="superscript"/>
                <w:lang w:val="en-US"/>
              </w:rPr>
              <w:t>4</w:t>
            </w:r>
          </w:p>
        </w:tc>
        <w:tc>
          <w:tcPr>
            <w:tcW w:w="1009" w:type="dxa"/>
            <w:vAlign w:val="center"/>
          </w:tcPr>
          <w:p w14:paraId="55CE16B4" w14:textId="77777777" w:rsidR="007F6206" w:rsidRPr="007F738B" w:rsidRDefault="007F6206" w:rsidP="00FD5664">
            <w:pPr>
              <w:pStyle w:val="Heading1"/>
              <w:numPr>
                <w:ilvl w:val="0"/>
                <w:numId w:val="0"/>
              </w:numPr>
              <w:spacing w:before="20" w:after="20"/>
              <w:jc w:val="center"/>
              <w:outlineLvl w:val="0"/>
              <w:rPr>
                <w:b/>
                <w:bCs/>
                <w:iCs/>
                <w:color w:val="000000" w:themeColor="text1"/>
                <w:sz w:val="18"/>
                <w:szCs w:val="18"/>
                <w:lang w:val="en-US"/>
              </w:rPr>
            </w:pPr>
            <w:r w:rsidRPr="007F738B">
              <w:rPr>
                <w:iCs/>
                <w:color w:val="000000" w:themeColor="text1"/>
                <w:kern w:val="24"/>
                <w:sz w:val="18"/>
                <w:szCs w:val="18"/>
                <w:lang w:val="en-US"/>
              </w:rPr>
              <w:t>2.70∙10</w:t>
            </w:r>
            <w:r w:rsidRPr="007F738B">
              <w:rPr>
                <w:iCs/>
                <w:color w:val="000000" w:themeColor="text1"/>
                <w:kern w:val="24"/>
                <w:sz w:val="18"/>
                <w:szCs w:val="18"/>
                <w:vertAlign w:val="superscript"/>
                <w:lang w:val="en-US"/>
              </w:rPr>
              <w:t>4</w:t>
            </w:r>
          </w:p>
        </w:tc>
        <w:tc>
          <w:tcPr>
            <w:tcW w:w="1027" w:type="dxa"/>
            <w:vAlign w:val="center"/>
          </w:tcPr>
          <w:p w14:paraId="5E49E41C" w14:textId="77777777" w:rsidR="007F6206" w:rsidRPr="007F738B" w:rsidRDefault="007F6206" w:rsidP="00FD5664">
            <w:pPr>
              <w:pStyle w:val="Heading1"/>
              <w:numPr>
                <w:ilvl w:val="0"/>
                <w:numId w:val="0"/>
              </w:numPr>
              <w:spacing w:before="20" w:after="20"/>
              <w:jc w:val="center"/>
              <w:outlineLvl w:val="0"/>
              <w:rPr>
                <w:b/>
                <w:bCs/>
                <w:iCs/>
                <w:color w:val="000000" w:themeColor="text1"/>
                <w:sz w:val="18"/>
                <w:szCs w:val="18"/>
                <w:lang w:val="en-US"/>
              </w:rPr>
            </w:pPr>
            <w:r w:rsidRPr="007F738B">
              <w:rPr>
                <w:iCs/>
                <w:color w:val="000000" w:themeColor="text1"/>
                <w:kern w:val="24"/>
                <w:sz w:val="18"/>
                <w:szCs w:val="18"/>
                <w:lang w:val="en-US"/>
              </w:rPr>
              <w:t>4.00∙10</w:t>
            </w:r>
            <w:r w:rsidRPr="007F738B">
              <w:rPr>
                <w:iCs/>
                <w:color w:val="000000" w:themeColor="text1"/>
                <w:kern w:val="24"/>
                <w:sz w:val="18"/>
                <w:szCs w:val="18"/>
                <w:vertAlign w:val="superscript"/>
                <w:lang w:val="en-US"/>
              </w:rPr>
              <w:t>4</w:t>
            </w:r>
          </w:p>
        </w:tc>
      </w:tr>
    </w:tbl>
    <w:p w14:paraId="2C979FA6" w14:textId="77777777" w:rsidR="007F6206" w:rsidRPr="0028457F" w:rsidRDefault="007F6206" w:rsidP="007F6206">
      <w:pPr>
        <w:suppressAutoHyphens w:val="0"/>
        <w:autoSpaceDE w:val="0"/>
        <w:autoSpaceDN w:val="0"/>
        <w:adjustRightInd w:val="0"/>
        <w:spacing w:before="120" w:line="240" w:lineRule="auto"/>
        <w:ind w:left="1418" w:right="709" w:hanging="284"/>
        <w:rPr>
          <w:rFonts w:eastAsiaTheme="minorHAnsi"/>
          <w:sz w:val="18"/>
          <w:szCs w:val="18"/>
          <w:lang w:val="en-US"/>
        </w:rPr>
      </w:pPr>
      <w:r w:rsidRPr="0028457F">
        <w:rPr>
          <w:rFonts w:eastAsiaTheme="minorHAnsi"/>
          <w:i/>
          <w:iCs/>
          <w:sz w:val="18"/>
          <w:szCs w:val="18"/>
          <w:lang w:val="en-US"/>
        </w:rPr>
        <w:t xml:space="preserve">Notes: </w:t>
      </w:r>
      <w:r w:rsidRPr="0028457F">
        <w:rPr>
          <w:rFonts w:eastAsiaTheme="minorHAnsi"/>
          <w:sz w:val="18"/>
          <w:szCs w:val="18"/>
          <w:lang w:val="en-US"/>
        </w:rPr>
        <w:t>In the Table 5</w:t>
      </w:r>
    </w:p>
    <w:p w14:paraId="4FD45CD9" w14:textId="7CB3CAF4" w:rsidR="007F6206" w:rsidRPr="0028457F" w:rsidRDefault="007F6206" w:rsidP="007F6206">
      <w:pPr>
        <w:spacing w:after="120"/>
        <w:ind w:left="1559" w:right="709" w:hanging="425"/>
        <w:rPr>
          <w:sz w:val="18"/>
          <w:szCs w:val="18"/>
          <w:lang w:val="en-US"/>
        </w:rPr>
      </w:pPr>
      <w:r w:rsidRPr="0028457F">
        <w:rPr>
          <w:rFonts w:eastAsiaTheme="minorHAnsi"/>
          <w:sz w:val="18"/>
          <w:szCs w:val="18"/>
          <w:vertAlign w:val="superscript"/>
          <w:lang w:val="en-US"/>
        </w:rPr>
        <w:t>a</w:t>
      </w:r>
      <w:r w:rsidRPr="0028457F">
        <w:rPr>
          <w:rFonts w:eastAsiaTheme="minorHAnsi"/>
          <w:sz w:val="18"/>
          <w:szCs w:val="18"/>
          <w:vertAlign w:val="superscript"/>
          <w:lang w:val="en-US"/>
        </w:rPr>
        <w:tab/>
      </w:r>
      <w:r w:rsidRPr="0028457F">
        <w:rPr>
          <w:bCs/>
          <w:sz w:val="18"/>
          <w:szCs w:val="18"/>
          <w:lang w:val="en-US"/>
        </w:rPr>
        <w:t>In</w:t>
      </w:r>
      <w:r w:rsidRPr="0028457F">
        <w:rPr>
          <w:rFonts w:eastAsiaTheme="minorHAnsi"/>
          <w:sz w:val="18"/>
          <w:szCs w:val="18"/>
          <w:lang w:val="en-US"/>
        </w:rPr>
        <w:t xml:space="preserve"> </w:t>
      </w:r>
      <w:r w:rsidRPr="0028457F">
        <w:rPr>
          <w:color w:val="000000" w:themeColor="text1"/>
          <w:spacing w:val="-2"/>
          <w:sz w:val="18"/>
          <w:szCs w:val="18"/>
          <w:lang w:val="en-US"/>
        </w:rPr>
        <w:t>case of a matched pair, the contribution of each lamp on H-V point shall not be less than 40 per cent of the relevant beam class minimum I</w:t>
      </w:r>
      <w:r w:rsidRPr="0028457F">
        <w:rPr>
          <w:color w:val="000000" w:themeColor="text1"/>
          <w:spacing w:val="-2"/>
          <w:sz w:val="18"/>
          <w:szCs w:val="18"/>
          <w:vertAlign w:val="subscript"/>
          <w:lang w:val="en-US"/>
        </w:rPr>
        <w:t>max</w:t>
      </w:r>
      <w:r w:rsidRPr="0028457F">
        <w:rPr>
          <w:color w:val="000000" w:themeColor="text1"/>
          <w:spacing w:val="-2"/>
          <w:sz w:val="18"/>
          <w:szCs w:val="18"/>
          <w:lang w:val="en-US"/>
        </w:rPr>
        <w:t xml:space="preserve"> required.</w:t>
      </w:r>
      <w:r w:rsidR="00673E78">
        <w:rPr>
          <w:color w:val="000000" w:themeColor="text1"/>
          <w:spacing w:val="-2"/>
          <w:sz w:val="18"/>
          <w:szCs w:val="18"/>
          <w:lang w:val="en-US"/>
        </w:rPr>
        <w:t>"</w:t>
      </w:r>
    </w:p>
    <w:p w14:paraId="76165E54" w14:textId="75A75986" w:rsidR="00E933B8" w:rsidRDefault="00E933B8" w:rsidP="0077409C">
      <w:pPr>
        <w:pStyle w:val="endnotetable"/>
        <w:spacing w:before="240" w:line="240" w:lineRule="atLeast"/>
        <w:ind w:firstLine="0"/>
        <w:jc w:val="center"/>
        <w:rPr>
          <w:b/>
          <w:lang w:eastAsia="it-IT"/>
        </w:rPr>
      </w:pPr>
      <w:r w:rsidRPr="00525E6C">
        <w:rPr>
          <w:u w:val="single"/>
        </w:rPr>
        <w:tab/>
      </w:r>
      <w:r w:rsidRPr="00525E6C">
        <w:rPr>
          <w:u w:val="single"/>
        </w:rPr>
        <w:tab/>
      </w:r>
      <w:r w:rsidR="001F2B17">
        <w:rPr>
          <w:u w:val="single"/>
        </w:rPr>
        <w:tab/>
      </w:r>
      <w:r w:rsidR="00F7672D">
        <w:rPr>
          <w:u w:val="single"/>
        </w:rPr>
        <w:tab/>
      </w:r>
    </w:p>
    <w:sectPr w:rsidR="00E933B8" w:rsidSect="00CB57C1">
      <w:headerReference w:type="even" r:id="rId15"/>
      <w:headerReference w:type="default" r:id="rId16"/>
      <w:footerReference w:type="default" r:id="rId17"/>
      <w:headerReference w:type="first" r:id="rId18"/>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EB60B" w14:textId="77777777" w:rsidR="002A651F" w:rsidRDefault="002A651F"/>
  </w:endnote>
  <w:endnote w:type="continuationSeparator" w:id="0">
    <w:p w14:paraId="215B80F2" w14:textId="77777777" w:rsidR="002A651F" w:rsidRDefault="002A651F"/>
  </w:endnote>
  <w:endnote w:type="continuationNotice" w:id="1">
    <w:p w14:paraId="0200654F" w14:textId="77777777" w:rsidR="002A651F" w:rsidRDefault="002A65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 w:name="HGSGothicM">
    <w:altName w:val="Yu Gothic"/>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C0FB3" w14:textId="06F2B77B" w:rsidR="00C740F6" w:rsidRDefault="00C740F6">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sidR="006D245F">
      <w:rPr>
        <w:b/>
        <w:noProof/>
        <w:sz w:val="18"/>
      </w:rPr>
      <w:t>4</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C3A56" w14:textId="0D1D0911" w:rsidR="006D0CC6" w:rsidRPr="006D0CC6" w:rsidRDefault="006D0CC6" w:rsidP="006D0CC6">
    <w:pPr>
      <w:pStyle w:val="Footer"/>
      <w:rPr>
        <w:sz w:val="20"/>
      </w:rPr>
    </w:pPr>
    <w:r w:rsidRPr="0027112F">
      <w:rPr>
        <w:noProof/>
        <w:lang w:val="en-US"/>
      </w:rPr>
      <w:drawing>
        <wp:anchor distT="0" distB="0" distL="114300" distR="114300" simplePos="0" relativeHeight="251659264" behindDoc="0" locked="1" layoutInCell="1" allowOverlap="1" wp14:anchorId="139DEBC1" wp14:editId="2C6A11D9">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GE.22-01301(E)</w:t>
    </w:r>
    <w:r>
      <w:rPr>
        <w:noProof/>
        <w:sz w:val="20"/>
      </w:rPr>
      <w:drawing>
        <wp:anchor distT="0" distB="0" distL="114300" distR="114300" simplePos="0" relativeHeight="251660288" behindDoc="0" locked="0" layoutInCell="1" allowOverlap="1" wp14:anchorId="0B555538" wp14:editId="185ACD43">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E6EB3" w14:textId="77777777" w:rsidR="00C740F6" w:rsidRPr="00003B38" w:rsidRDefault="00C740F6" w:rsidP="00732AD2">
    <w:pPr>
      <w:rPr>
        <w:rFonts w:ascii="Arial" w:hAnsi="Arial" w:cs="Arial"/>
        <w:sz w:val="16"/>
        <w:szCs w:val="16"/>
      </w:rPr>
    </w:pPr>
  </w:p>
  <w:tbl>
    <w:tblPr>
      <w:tblW w:w="0" w:type="auto"/>
      <w:tblLook w:val="04A0" w:firstRow="1" w:lastRow="0" w:firstColumn="1" w:lastColumn="0" w:noHBand="0" w:noVBand="1"/>
    </w:tblPr>
    <w:tblGrid>
      <w:gridCol w:w="3271"/>
      <w:gridCol w:w="3171"/>
      <w:gridCol w:w="3197"/>
    </w:tblGrid>
    <w:tr w:rsidR="00C740F6" w:rsidRPr="002C0FEE" w14:paraId="0B566D4B" w14:textId="77777777" w:rsidTr="00732AD2">
      <w:tc>
        <w:tcPr>
          <w:tcW w:w="3346" w:type="dxa"/>
        </w:tcPr>
        <w:p w14:paraId="14B9868C" w14:textId="77777777" w:rsidR="00C740F6" w:rsidRPr="00503D4F" w:rsidRDefault="00C740F6" w:rsidP="00732AD2">
          <w:pPr>
            <w:pStyle w:val="Footer"/>
          </w:pPr>
          <w:r>
            <w:rPr>
              <w:noProof/>
              <w:lang w:val="en-US"/>
            </w:rPr>
            <w:drawing>
              <wp:inline distT="0" distB="0" distL="0" distR="0" wp14:anchorId="2333811F" wp14:editId="09ED4673">
                <wp:extent cx="1267460" cy="498475"/>
                <wp:effectExtent l="0" t="0" r="8890" b="0"/>
                <wp:docPr id="15" name="Picture 15" descr="GTB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GTB 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498475"/>
                        </a:xfrm>
                        <a:prstGeom prst="rect">
                          <a:avLst/>
                        </a:prstGeom>
                        <a:noFill/>
                        <a:ln>
                          <a:noFill/>
                        </a:ln>
                      </pic:spPr>
                    </pic:pic>
                  </a:graphicData>
                </a:graphic>
              </wp:inline>
            </w:drawing>
          </w:r>
        </w:p>
      </w:tc>
      <w:tc>
        <w:tcPr>
          <w:tcW w:w="3347" w:type="dxa"/>
          <w:vAlign w:val="center"/>
        </w:tcPr>
        <w:p w14:paraId="2C6B6135" w14:textId="77777777" w:rsidR="00C740F6" w:rsidRPr="00503D4F" w:rsidRDefault="00C740F6" w:rsidP="00732AD2">
          <w:pPr>
            <w:pStyle w:val="Footer"/>
            <w:rPr>
              <w:rFonts w:ascii="Arial" w:hAnsi="Arial" w:cs="Arial"/>
              <w:sz w:val="20"/>
            </w:rPr>
          </w:pPr>
          <w:r w:rsidRPr="00BA0A3E">
            <w:rPr>
              <w:rFonts w:ascii="Arial" w:hAnsi="Arial" w:cs="Arial"/>
              <w:sz w:val="20"/>
            </w:rPr>
            <w:t xml:space="preserve">Date: </w:t>
          </w:r>
          <w:r>
            <w:rPr>
              <w:rFonts w:ascii="Arial" w:hAnsi="Arial" w:cs="Arial"/>
              <w:sz w:val="20"/>
            </w:rPr>
            <w:t>2014-xx-xx</w:t>
          </w:r>
        </w:p>
      </w:tc>
      <w:tc>
        <w:tcPr>
          <w:tcW w:w="3347" w:type="dxa"/>
          <w:vAlign w:val="center"/>
        </w:tcPr>
        <w:p w14:paraId="2E7CF882" w14:textId="77777777" w:rsidR="00C740F6" w:rsidRPr="004E78A5" w:rsidRDefault="00C740F6" w:rsidP="00732AD2">
          <w:pPr>
            <w:pStyle w:val="Footer"/>
          </w:pPr>
          <w:r w:rsidRPr="004E78A5">
            <w:rPr>
              <w:rFonts w:ascii="Arial" w:hAnsi="Arial" w:cs="Arial"/>
              <w:sz w:val="20"/>
            </w:rPr>
            <w:t xml:space="preserve">Submitted by: </w:t>
          </w:r>
          <w:r>
            <w:rPr>
              <w:rFonts w:ascii="Arial" w:hAnsi="Arial" w:cs="Arial"/>
              <w:sz w:val="20"/>
            </w:rPr>
            <w:t>Ad de Visser</w:t>
          </w:r>
        </w:p>
      </w:tc>
    </w:tr>
  </w:tbl>
  <w:p w14:paraId="0DAB9677" w14:textId="77777777" w:rsidR="00C740F6" w:rsidRDefault="00C740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14571" w14:textId="44B8ECF2" w:rsidR="00C740F6" w:rsidRPr="00A330CE" w:rsidRDefault="00C740F6"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6D245F">
      <w:rPr>
        <w:b/>
        <w:noProof/>
        <w:sz w:val="18"/>
      </w:rPr>
      <w:t>5</w:t>
    </w:r>
    <w:r w:rsidRPr="00A330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7C480" w14:textId="77777777" w:rsidR="002A651F" w:rsidRPr="000B175B" w:rsidRDefault="002A651F" w:rsidP="000B175B">
      <w:pPr>
        <w:tabs>
          <w:tab w:val="right" w:pos="2155"/>
        </w:tabs>
        <w:spacing w:after="80"/>
        <w:ind w:left="680"/>
        <w:rPr>
          <w:u w:val="single"/>
        </w:rPr>
      </w:pPr>
      <w:r>
        <w:rPr>
          <w:u w:val="single"/>
        </w:rPr>
        <w:tab/>
      </w:r>
    </w:p>
  </w:footnote>
  <w:footnote w:type="continuationSeparator" w:id="0">
    <w:p w14:paraId="47E38C44" w14:textId="77777777" w:rsidR="002A651F" w:rsidRPr="00FC68B7" w:rsidRDefault="002A651F" w:rsidP="00FC68B7">
      <w:pPr>
        <w:tabs>
          <w:tab w:val="left" w:pos="2155"/>
        </w:tabs>
        <w:spacing w:after="80"/>
        <w:ind w:left="680"/>
        <w:rPr>
          <w:u w:val="single"/>
        </w:rPr>
      </w:pPr>
      <w:r>
        <w:rPr>
          <w:u w:val="single"/>
        </w:rPr>
        <w:tab/>
      </w:r>
    </w:p>
  </w:footnote>
  <w:footnote w:type="continuationNotice" w:id="1">
    <w:p w14:paraId="4057C74F" w14:textId="77777777" w:rsidR="002A651F" w:rsidRDefault="002A651F"/>
  </w:footnote>
  <w:footnote w:id="2">
    <w:p w14:paraId="6EB4687D" w14:textId="4DB8D743" w:rsidR="00C740F6" w:rsidRPr="00706101" w:rsidRDefault="00C740F6" w:rsidP="00FA2F4E">
      <w:pPr>
        <w:pStyle w:val="FootnoteText"/>
      </w:pPr>
      <w:r w:rsidRPr="00A90EA8">
        <w:tab/>
      </w:r>
      <w:r w:rsidRPr="00FA2F4E">
        <w:rPr>
          <w:rStyle w:val="FootnoteReference"/>
          <w:sz w:val="20"/>
          <w:lang w:val="en-US"/>
        </w:rPr>
        <w:t>*</w:t>
      </w:r>
      <w:r w:rsidRPr="00FA2F4E">
        <w:rPr>
          <w:sz w:val="20"/>
          <w:lang w:val="en-US"/>
        </w:rPr>
        <w:tab/>
      </w:r>
      <w:r w:rsidR="000939AD">
        <w:rPr>
          <w:szCs w:val="18"/>
          <w:lang w:val="en-US"/>
        </w:rPr>
        <w:t>In accordance with the programme of work of the Inland Transport Committee for 2022 as outlined in proposed programme budget for 2022 (A/76/6 (Sect.20), para 20.76),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A958A" w14:textId="08298058" w:rsidR="00C740F6" w:rsidRPr="006C395D" w:rsidRDefault="00C740F6" w:rsidP="00F80C4F">
    <w:pPr>
      <w:pStyle w:val="Header"/>
    </w:pPr>
    <w:r w:rsidRPr="006D2FE1">
      <w:t>ECE/TRANS/WP.29/GRE/20</w:t>
    </w:r>
    <w:r w:rsidR="00653086" w:rsidRPr="006D2FE1">
      <w:t>2</w:t>
    </w:r>
    <w:r w:rsidR="006B7901">
      <w:t>2</w:t>
    </w:r>
    <w:r w:rsidRPr="006D2FE1">
      <w:t>/</w:t>
    </w:r>
    <w:r w:rsidR="00CA59BF">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83277" w14:textId="5B79FC90" w:rsidR="00C740F6" w:rsidRPr="006C395D" w:rsidRDefault="00C740F6" w:rsidP="005957A4">
    <w:pPr>
      <w:pStyle w:val="Header"/>
      <w:jc w:val="right"/>
    </w:pPr>
    <w:r w:rsidRPr="006D2FE1">
      <w:t>ECE/TRANS/WP.29/GRE/20</w:t>
    </w:r>
    <w:r w:rsidR="001A13D4" w:rsidRPr="006D2FE1">
      <w:t>2</w:t>
    </w:r>
    <w:r w:rsidR="006B7901">
      <w:t>2</w:t>
    </w:r>
    <w:r w:rsidRPr="006D2FE1">
      <w:t>/</w:t>
    </w:r>
    <w:r w:rsidR="007F6206">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E639B" w14:textId="77777777" w:rsidR="00C740F6" w:rsidRPr="007B4C72" w:rsidRDefault="00C740F6" w:rsidP="007B4C72">
    <w:pPr>
      <w:pStyle w:val="Header"/>
      <w:jc w:val="right"/>
    </w:pPr>
    <w:r>
      <w:t>E/ECE/324/Rev.1/Add.36/Rev.6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7BA0F7E"/>
    <w:multiLevelType w:val="multilevel"/>
    <w:tmpl w:val="052E3308"/>
    <w:lvl w:ilvl="0">
      <w:start w:val="1"/>
      <w:numFmt w:val="bullet"/>
      <w:lvlText w:val="-"/>
      <w:lvlJc w:val="left"/>
      <w:pPr>
        <w:ind w:left="4038" w:hanging="360"/>
      </w:pPr>
      <w:rPr>
        <w:rFonts w:ascii="Calibri" w:hAnsi="Calibri" w:cs="Calibri" w:hint="default"/>
        <w:b/>
        <w:sz w:val="20"/>
      </w:rPr>
    </w:lvl>
    <w:lvl w:ilvl="1">
      <w:start w:val="1"/>
      <w:numFmt w:val="bullet"/>
      <w:lvlText w:val="o"/>
      <w:lvlJc w:val="left"/>
      <w:pPr>
        <w:ind w:left="4758" w:hanging="360"/>
      </w:pPr>
      <w:rPr>
        <w:rFonts w:ascii="Courier New" w:hAnsi="Courier New" w:cs="Courier New" w:hint="default"/>
      </w:rPr>
    </w:lvl>
    <w:lvl w:ilvl="2">
      <w:start w:val="1"/>
      <w:numFmt w:val="bullet"/>
      <w:lvlText w:val=""/>
      <w:lvlJc w:val="left"/>
      <w:pPr>
        <w:ind w:left="5478" w:hanging="360"/>
      </w:pPr>
      <w:rPr>
        <w:rFonts w:ascii="Wingdings" w:hAnsi="Wingdings" w:cs="Wingdings" w:hint="default"/>
      </w:rPr>
    </w:lvl>
    <w:lvl w:ilvl="3">
      <w:start w:val="1"/>
      <w:numFmt w:val="bullet"/>
      <w:lvlText w:val=""/>
      <w:lvlJc w:val="left"/>
      <w:pPr>
        <w:ind w:left="6198" w:hanging="360"/>
      </w:pPr>
      <w:rPr>
        <w:rFonts w:ascii="Symbol" w:hAnsi="Symbol" w:cs="Symbol" w:hint="default"/>
      </w:rPr>
    </w:lvl>
    <w:lvl w:ilvl="4">
      <w:start w:val="1"/>
      <w:numFmt w:val="bullet"/>
      <w:lvlText w:val="o"/>
      <w:lvlJc w:val="left"/>
      <w:pPr>
        <w:ind w:left="6918" w:hanging="360"/>
      </w:pPr>
      <w:rPr>
        <w:rFonts w:ascii="Courier New" w:hAnsi="Courier New" w:cs="Courier New" w:hint="default"/>
      </w:rPr>
    </w:lvl>
    <w:lvl w:ilvl="5">
      <w:start w:val="1"/>
      <w:numFmt w:val="bullet"/>
      <w:lvlText w:val=""/>
      <w:lvlJc w:val="left"/>
      <w:pPr>
        <w:ind w:left="7638" w:hanging="360"/>
      </w:pPr>
      <w:rPr>
        <w:rFonts w:ascii="Wingdings" w:hAnsi="Wingdings" w:cs="Wingdings" w:hint="default"/>
      </w:rPr>
    </w:lvl>
    <w:lvl w:ilvl="6">
      <w:start w:val="1"/>
      <w:numFmt w:val="bullet"/>
      <w:lvlText w:val=""/>
      <w:lvlJc w:val="left"/>
      <w:pPr>
        <w:ind w:left="8358" w:hanging="360"/>
      </w:pPr>
      <w:rPr>
        <w:rFonts w:ascii="Symbol" w:hAnsi="Symbol" w:cs="Symbol" w:hint="default"/>
      </w:rPr>
    </w:lvl>
    <w:lvl w:ilvl="7">
      <w:start w:val="1"/>
      <w:numFmt w:val="bullet"/>
      <w:lvlText w:val="o"/>
      <w:lvlJc w:val="left"/>
      <w:pPr>
        <w:ind w:left="9078" w:hanging="360"/>
      </w:pPr>
      <w:rPr>
        <w:rFonts w:ascii="Courier New" w:hAnsi="Courier New" w:cs="Courier New" w:hint="default"/>
      </w:rPr>
    </w:lvl>
    <w:lvl w:ilvl="8">
      <w:start w:val="1"/>
      <w:numFmt w:val="bullet"/>
      <w:lvlText w:val=""/>
      <w:lvlJc w:val="left"/>
      <w:pPr>
        <w:ind w:left="9798" w:hanging="360"/>
      </w:pPr>
      <w:rPr>
        <w:rFonts w:ascii="Wingdings" w:hAnsi="Wingdings" w:cs="Wingdings" w:hint="default"/>
      </w:rPr>
    </w:lvl>
  </w:abstractNum>
  <w:abstractNum w:abstractNumId="3" w15:restartNumberingAfterBreak="0">
    <w:nsid w:val="080679D3"/>
    <w:multiLevelType w:val="hybridMultilevel"/>
    <w:tmpl w:val="D4C4E7E8"/>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4" w15:restartNumberingAfterBreak="0">
    <w:nsid w:val="12574FA4"/>
    <w:multiLevelType w:val="multilevel"/>
    <w:tmpl w:val="03D41A3C"/>
    <w:lvl w:ilvl="0">
      <w:start w:val="1"/>
      <w:numFmt w:val="lowerLetter"/>
      <w:lvlText w:val="(%1)"/>
      <w:lvlJc w:val="left"/>
      <w:pPr>
        <w:ind w:left="4038" w:hanging="360"/>
      </w:pPr>
      <w:rPr>
        <w:rFonts w:hint="default"/>
        <w:b/>
        <w:sz w:val="20"/>
      </w:rPr>
    </w:lvl>
    <w:lvl w:ilvl="1">
      <w:start w:val="1"/>
      <w:numFmt w:val="bullet"/>
      <w:lvlText w:val="o"/>
      <w:lvlJc w:val="left"/>
      <w:pPr>
        <w:ind w:left="4758" w:hanging="360"/>
      </w:pPr>
      <w:rPr>
        <w:rFonts w:ascii="Courier New" w:hAnsi="Courier New" w:cs="Courier New" w:hint="default"/>
      </w:rPr>
    </w:lvl>
    <w:lvl w:ilvl="2">
      <w:start w:val="1"/>
      <w:numFmt w:val="bullet"/>
      <w:lvlText w:val=""/>
      <w:lvlJc w:val="left"/>
      <w:pPr>
        <w:ind w:left="5478" w:hanging="360"/>
      </w:pPr>
      <w:rPr>
        <w:rFonts w:ascii="Wingdings" w:hAnsi="Wingdings" w:cs="Wingdings" w:hint="default"/>
      </w:rPr>
    </w:lvl>
    <w:lvl w:ilvl="3">
      <w:start w:val="1"/>
      <w:numFmt w:val="bullet"/>
      <w:lvlText w:val=""/>
      <w:lvlJc w:val="left"/>
      <w:pPr>
        <w:ind w:left="6198" w:hanging="360"/>
      </w:pPr>
      <w:rPr>
        <w:rFonts w:ascii="Symbol" w:hAnsi="Symbol" w:cs="Symbol" w:hint="default"/>
      </w:rPr>
    </w:lvl>
    <w:lvl w:ilvl="4">
      <w:start w:val="1"/>
      <w:numFmt w:val="bullet"/>
      <w:lvlText w:val="o"/>
      <w:lvlJc w:val="left"/>
      <w:pPr>
        <w:ind w:left="6918" w:hanging="360"/>
      </w:pPr>
      <w:rPr>
        <w:rFonts w:ascii="Courier New" w:hAnsi="Courier New" w:cs="Courier New" w:hint="default"/>
      </w:rPr>
    </w:lvl>
    <w:lvl w:ilvl="5">
      <w:start w:val="1"/>
      <w:numFmt w:val="bullet"/>
      <w:lvlText w:val=""/>
      <w:lvlJc w:val="left"/>
      <w:pPr>
        <w:ind w:left="7638" w:hanging="360"/>
      </w:pPr>
      <w:rPr>
        <w:rFonts w:ascii="Wingdings" w:hAnsi="Wingdings" w:cs="Wingdings" w:hint="default"/>
      </w:rPr>
    </w:lvl>
    <w:lvl w:ilvl="6">
      <w:start w:val="1"/>
      <w:numFmt w:val="bullet"/>
      <w:lvlText w:val=""/>
      <w:lvlJc w:val="left"/>
      <w:pPr>
        <w:ind w:left="8358" w:hanging="360"/>
      </w:pPr>
      <w:rPr>
        <w:rFonts w:ascii="Symbol" w:hAnsi="Symbol" w:cs="Symbol" w:hint="default"/>
      </w:rPr>
    </w:lvl>
    <w:lvl w:ilvl="7">
      <w:start w:val="1"/>
      <w:numFmt w:val="bullet"/>
      <w:lvlText w:val="o"/>
      <w:lvlJc w:val="left"/>
      <w:pPr>
        <w:ind w:left="9078" w:hanging="360"/>
      </w:pPr>
      <w:rPr>
        <w:rFonts w:ascii="Courier New" w:hAnsi="Courier New" w:cs="Courier New" w:hint="default"/>
      </w:rPr>
    </w:lvl>
    <w:lvl w:ilvl="8">
      <w:start w:val="1"/>
      <w:numFmt w:val="bullet"/>
      <w:lvlText w:val=""/>
      <w:lvlJc w:val="left"/>
      <w:pPr>
        <w:ind w:left="9798" w:hanging="360"/>
      </w:pPr>
      <w:rPr>
        <w:rFonts w:ascii="Wingdings" w:hAnsi="Wingdings" w:cs="Wingdings" w:hint="default"/>
      </w:rPr>
    </w:lvl>
  </w:abstractNum>
  <w:abstractNum w:abstractNumId="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F5400C0"/>
    <w:multiLevelType w:val="hybridMultilevel"/>
    <w:tmpl w:val="D3249222"/>
    <w:lvl w:ilvl="0" w:tplc="20D4AAB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15:restartNumberingAfterBreak="0">
    <w:nsid w:val="21736C02"/>
    <w:multiLevelType w:val="hybridMultilevel"/>
    <w:tmpl w:val="A83A458C"/>
    <w:lvl w:ilvl="0" w:tplc="F648B984">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8" w15:restartNumberingAfterBreak="0">
    <w:nsid w:val="2F477A2B"/>
    <w:multiLevelType w:val="hybridMultilevel"/>
    <w:tmpl w:val="4816CA16"/>
    <w:lvl w:ilvl="0" w:tplc="435E0196">
      <w:start w:val="1"/>
      <w:numFmt w:val="lowerLetter"/>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9" w15:restartNumberingAfterBreak="0">
    <w:nsid w:val="30F01778"/>
    <w:multiLevelType w:val="hybridMultilevel"/>
    <w:tmpl w:val="FCC264D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3E4BCE"/>
    <w:multiLevelType w:val="hybridMultilevel"/>
    <w:tmpl w:val="E42E6870"/>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 w15:restartNumberingAfterBreak="0">
    <w:nsid w:val="328D0C69"/>
    <w:multiLevelType w:val="hybridMultilevel"/>
    <w:tmpl w:val="84C84BF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FB0AF6"/>
    <w:multiLevelType w:val="hybridMultilevel"/>
    <w:tmpl w:val="810878F2"/>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3" w15:restartNumberingAfterBreak="0">
    <w:nsid w:val="3A57516F"/>
    <w:multiLevelType w:val="hybridMultilevel"/>
    <w:tmpl w:val="D2ACD12A"/>
    <w:lvl w:ilvl="0" w:tplc="C4B871DE">
      <w:start w:val="6"/>
      <w:numFmt w:val="bullet"/>
      <w:lvlText w:val="-"/>
      <w:lvlJc w:val="left"/>
      <w:pPr>
        <w:ind w:left="2628" w:hanging="360"/>
      </w:pPr>
      <w:rPr>
        <w:rFonts w:ascii="Times New Roman" w:eastAsia="MS Mincho" w:hAnsi="Times New Roman" w:cs="Times New Roman" w:hint="default"/>
      </w:rPr>
    </w:lvl>
    <w:lvl w:ilvl="1" w:tplc="04100003" w:tentative="1">
      <w:start w:val="1"/>
      <w:numFmt w:val="bullet"/>
      <w:lvlText w:val="o"/>
      <w:lvlJc w:val="left"/>
      <w:pPr>
        <w:ind w:left="3348" w:hanging="360"/>
      </w:pPr>
      <w:rPr>
        <w:rFonts w:ascii="Courier New" w:hAnsi="Courier New" w:cs="Courier New" w:hint="default"/>
      </w:rPr>
    </w:lvl>
    <w:lvl w:ilvl="2" w:tplc="04100005" w:tentative="1">
      <w:start w:val="1"/>
      <w:numFmt w:val="bullet"/>
      <w:lvlText w:val=""/>
      <w:lvlJc w:val="left"/>
      <w:pPr>
        <w:ind w:left="4068" w:hanging="360"/>
      </w:pPr>
      <w:rPr>
        <w:rFonts w:ascii="Wingdings" w:hAnsi="Wingdings" w:hint="default"/>
      </w:rPr>
    </w:lvl>
    <w:lvl w:ilvl="3" w:tplc="04100001" w:tentative="1">
      <w:start w:val="1"/>
      <w:numFmt w:val="bullet"/>
      <w:lvlText w:val=""/>
      <w:lvlJc w:val="left"/>
      <w:pPr>
        <w:ind w:left="4788" w:hanging="360"/>
      </w:pPr>
      <w:rPr>
        <w:rFonts w:ascii="Symbol" w:hAnsi="Symbol" w:hint="default"/>
      </w:rPr>
    </w:lvl>
    <w:lvl w:ilvl="4" w:tplc="04100003" w:tentative="1">
      <w:start w:val="1"/>
      <w:numFmt w:val="bullet"/>
      <w:lvlText w:val="o"/>
      <w:lvlJc w:val="left"/>
      <w:pPr>
        <w:ind w:left="5508" w:hanging="360"/>
      </w:pPr>
      <w:rPr>
        <w:rFonts w:ascii="Courier New" w:hAnsi="Courier New" w:cs="Courier New" w:hint="default"/>
      </w:rPr>
    </w:lvl>
    <w:lvl w:ilvl="5" w:tplc="04100005" w:tentative="1">
      <w:start w:val="1"/>
      <w:numFmt w:val="bullet"/>
      <w:lvlText w:val=""/>
      <w:lvlJc w:val="left"/>
      <w:pPr>
        <w:ind w:left="6228" w:hanging="360"/>
      </w:pPr>
      <w:rPr>
        <w:rFonts w:ascii="Wingdings" w:hAnsi="Wingdings" w:hint="default"/>
      </w:rPr>
    </w:lvl>
    <w:lvl w:ilvl="6" w:tplc="04100001" w:tentative="1">
      <w:start w:val="1"/>
      <w:numFmt w:val="bullet"/>
      <w:lvlText w:val=""/>
      <w:lvlJc w:val="left"/>
      <w:pPr>
        <w:ind w:left="6948" w:hanging="360"/>
      </w:pPr>
      <w:rPr>
        <w:rFonts w:ascii="Symbol" w:hAnsi="Symbol" w:hint="default"/>
      </w:rPr>
    </w:lvl>
    <w:lvl w:ilvl="7" w:tplc="04100003" w:tentative="1">
      <w:start w:val="1"/>
      <w:numFmt w:val="bullet"/>
      <w:lvlText w:val="o"/>
      <w:lvlJc w:val="left"/>
      <w:pPr>
        <w:ind w:left="7668" w:hanging="360"/>
      </w:pPr>
      <w:rPr>
        <w:rFonts w:ascii="Courier New" w:hAnsi="Courier New" w:cs="Courier New" w:hint="default"/>
      </w:rPr>
    </w:lvl>
    <w:lvl w:ilvl="8" w:tplc="04100005" w:tentative="1">
      <w:start w:val="1"/>
      <w:numFmt w:val="bullet"/>
      <w:lvlText w:val=""/>
      <w:lvlJc w:val="left"/>
      <w:pPr>
        <w:ind w:left="8388" w:hanging="360"/>
      </w:pPr>
      <w:rPr>
        <w:rFonts w:ascii="Wingdings" w:hAnsi="Wingdings" w:hint="default"/>
      </w:rPr>
    </w:lvl>
  </w:abstractNum>
  <w:abstractNum w:abstractNumId="14" w15:restartNumberingAfterBreak="0">
    <w:nsid w:val="3C1417EA"/>
    <w:multiLevelType w:val="hybridMultilevel"/>
    <w:tmpl w:val="41DE37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C676CCC"/>
    <w:multiLevelType w:val="hybridMultilevel"/>
    <w:tmpl w:val="417A6426"/>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6"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7" w15:restartNumberingAfterBreak="0">
    <w:nsid w:val="3FAB360A"/>
    <w:multiLevelType w:val="hybridMultilevel"/>
    <w:tmpl w:val="95CC330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 w15:restartNumberingAfterBreak="0">
    <w:nsid w:val="42630B72"/>
    <w:multiLevelType w:val="hybridMultilevel"/>
    <w:tmpl w:val="6978931E"/>
    <w:lvl w:ilvl="0" w:tplc="3168E2C2">
      <w:start w:val="1"/>
      <w:numFmt w:val="decimal"/>
      <w:lvlText w:val="%1."/>
      <w:lvlJc w:val="left"/>
      <w:pPr>
        <w:ind w:left="149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C076125"/>
    <w:multiLevelType w:val="hybridMultilevel"/>
    <w:tmpl w:val="2C32D15C"/>
    <w:lvl w:ilvl="0" w:tplc="595454B4">
      <w:start w:val="1"/>
      <w:numFmt w:val="bullet"/>
      <w:lvlText w:val="‒"/>
      <w:lvlJc w:val="left"/>
      <w:pPr>
        <w:ind w:left="1854" w:hanging="360"/>
      </w:pPr>
      <w:rPr>
        <w:rFonts w:ascii="Times New Roman" w:eastAsia="MS Mincho"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0" w15:restartNumberingAfterBreak="0">
    <w:nsid w:val="4FE00E3B"/>
    <w:multiLevelType w:val="hybridMultilevel"/>
    <w:tmpl w:val="395E53F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1" w15:restartNumberingAfterBreak="0">
    <w:nsid w:val="56EC696E"/>
    <w:multiLevelType w:val="hybridMultilevel"/>
    <w:tmpl w:val="268AE03A"/>
    <w:lvl w:ilvl="0" w:tplc="435E0196">
      <w:start w:val="1"/>
      <w:numFmt w:val="lowerLetter"/>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AEE240E"/>
    <w:multiLevelType w:val="hybridMultilevel"/>
    <w:tmpl w:val="B6A445AA"/>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3"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4"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2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3713D1"/>
    <w:multiLevelType w:val="hybridMultilevel"/>
    <w:tmpl w:val="903E2BD2"/>
    <w:lvl w:ilvl="0" w:tplc="ECBA29B6">
      <w:start w:val="1"/>
      <w:numFmt w:val="lowerLetter"/>
      <w:lvlText w:val="(%1)"/>
      <w:lvlJc w:val="left"/>
      <w:pPr>
        <w:ind w:left="2634" w:hanging="360"/>
      </w:pPr>
      <w:rPr>
        <w:rFonts w:hint="default"/>
      </w:rPr>
    </w:lvl>
    <w:lvl w:ilvl="1" w:tplc="04090019" w:tentative="1">
      <w:start w:val="1"/>
      <w:numFmt w:val="lowerLetter"/>
      <w:lvlText w:val="%2."/>
      <w:lvlJc w:val="left"/>
      <w:pPr>
        <w:ind w:left="3354" w:hanging="360"/>
      </w:pPr>
    </w:lvl>
    <w:lvl w:ilvl="2" w:tplc="0409001B" w:tentative="1">
      <w:start w:val="1"/>
      <w:numFmt w:val="lowerRoman"/>
      <w:lvlText w:val="%3."/>
      <w:lvlJc w:val="right"/>
      <w:pPr>
        <w:ind w:left="4074" w:hanging="180"/>
      </w:pPr>
    </w:lvl>
    <w:lvl w:ilvl="3" w:tplc="0409000F" w:tentative="1">
      <w:start w:val="1"/>
      <w:numFmt w:val="decimal"/>
      <w:lvlText w:val="%4."/>
      <w:lvlJc w:val="left"/>
      <w:pPr>
        <w:ind w:left="4794" w:hanging="360"/>
      </w:pPr>
    </w:lvl>
    <w:lvl w:ilvl="4" w:tplc="04090019" w:tentative="1">
      <w:start w:val="1"/>
      <w:numFmt w:val="lowerLetter"/>
      <w:lvlText w:val="%5."/>
      <w:lvlJc w:val="left"/>
      <w:pPr>
        <w:ind w:left="5514" w:hanging="360"/>
      </w:pPr>
    </w:lvl>
    <w:lvl w:ilvl="5" w:tplc="0409001B" w:tentative="1">
      <w:start w:val="1"/>
      <w:numFmt w:val="lowerRoman"/>
      <w:lvlText w:val="%6."/>
      <w:lvlJc w:val="right"/>
      <w:pPr>
        <w:ind w:left="6234" w:hanging="180"/>
      </w:pPr>
    </w:lvl>
    <w:lvl w:ilvl="6" w:tplc="0409000F" w:tentative="1">
      <w:start w:val="1"/>
      <w:numFmt w:val="decimal"/>
      <w:lvlText w:val="%7."/>
      <w:lvlJc w:val="left"/>
      <w:pPr>
        <w:ind w:left="6954" w:hanging="360"/>
      </w:pPr>
    </w:lvl>
    <w:lvl w:ilvl="7" w:tplc="04090019" w:tentative="1">
      <w:start w:val="1"/>
      <w:numFmt w:val="lowerLetter"/>
      <w:lvlText w:val="%8."/>
      <w:lvlJc w:val="left"/>
      <w:pPr>
        <w:ind w:left="7674" w:hanging="360"/>
      </w:pPr>
    </w:lvl>
    <w:lvl w:ilvl="8" w:tplc="0409001B" w:tentative="1">
      <w:start w:val="1"/>
      <w:numFmt w:val="lowerRoman"/>
      <w:lvlText w:val="%9."/>
      <w:lvlJc w:val="right"/>
      <w:pPr>
        <w:ind w:left="8394" w:hanging="180"/>
      </w:pPr>
    </w:lvl>
  </w:abstractNum>
  <w:abstractNum w:abstractNumId="27" w15:restartNumberingAfterBreak="0">
    <w:nsid w:val="6EAC0CA2"/>
    <w:multiLevelType w:val="hybridMultilevel"/>
    <w:tmpl w:val="CA6638AC"/>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8" w15:restartNumberingAfterBreak="0">
    <w:nsid w:val="72D11C57"/>
    <w:multiLevelType w:val="hybridMultilevel"/>
    <w:tmpl w:val="F6829192"/>
    <w:lvl w:ilvl="0" w:tplc="595454B4">
      <w:start w:val="1"/>
      <w:numFmt w:val="bullet"/>
      <w:lvlText w:val="‒"/>
      <w:lvlJc w:val="left"/>
      <w:pPr>
        <w:ind w:left="1854" w:hanging="360"/>
      </w:pPr>
      <w:rPr>
        <w:rFonts w:ascii="Times New Roman" w:eastAsia="MS Mincho"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9" w15:restartNumberingAfterBreak="0">
    <w:nsid w:val="76E8652F"/>
    <w:multiLevelType w:val="hybridMultilevel"/>
    <w:tmpl w:val="83A6DF60"/>
    <w:lvl w:ilvl="0" w:tplc="224876F2">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0"/>
  </w:num>
  <w:num w:numId="2">
    <w:abstractNumId w:val="25"/>
  </w:num>
  <w:num w:numId="3">
    <w:abstractNumId w:val="16"/>
  </w:num>
  <w:num w:numId="4">
    <w:abstractNumId w:val="23"/>
  </w:num>
  <w:num w:numId="5">
    <w:abstractNumId w:val="24"/>
  </w:num>
  <w:num w:numId="6">
    <w:abstractNumId w:val="5"/>
  </w:num>
  <w:num w:numId="7">
    <w:abstractNumId w:val="1"/>
  </w:num>
  <w:num w:numId="8">
    <w:abstractNumId w:val="21"/>
  </w:num>
  <w:num w:numId="9">
    <w:abstractNumId w:val="10"/>
  </w:num>
  <w:num w:numId="10">
    <w:abstractNumId w:val="11"/>
  </w:num>
  <w:num w:numId="11">
    <w:abstractNumId w:val="9"/>
  </w:num>
  <w:num w:numId="12">
    <w:abstractNumId w:val="22"/>
  </w:num>
  <w:num w:numId="13">
    <w:abstractNumId w:val="3"/>
  </w:num>
  <w:num w:numId="14">
    <w:abstractNumId w:val="15"/>
  </w:num>
  <w:num w:numId="15">
    <w:abstractNumId w:val="8"/>
  </w:num>
  <w:num w:numId="16">
    <w:abstractNumId w:val="27"/>
  </w:num>
  <w:num w:numId="17">
    <w:abstractNumId w:val="2"/>
  </w:num>
  <w:num w:numId="18">
    <w:abstractNumId w:val="4"/>
  </w:num>
  <w:num w:numId="19">
    <w:abstractNumId w:val="17"/>
  </w:num>
  <w:num w:numId="20">
    <w:abstractNumId w:val="7"/>
  </w:num>
  <w:num w:numId="21">
    <w:abstractNumId w:val="20"/>
  </w:num>
  <w:num w:numId="22">
    <w:abstractNumId w:val="29"/>
  </w:num>
  <w:num w:numId="23">
    <w:abstractNumId w:val="28"/>
  </w:num>
  <w:num w:numId="24">
    <w:abstractNumId w:val="19"/>
  </w:num>
  <w:num w:numId="25">
    <w:abstractNumId w:val="12"/>
  </w:num>
  <w:num w:numId="26">
    <w:abstractNumId w:val="26"/>
  </w:num>
  <w:num w:numId="27">
    <w:abstractNumId w:val="6"/>
  </w:num>
  <w:num w:numId="28">
    <w:abstractNumId w:val="13"/>
  </w:num>
  <w:num w:numId="29">
    <w:abstractNumId w:val="14"/>
  </w:num>
  <w:num w:numId="30">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0" w:nlCheck="1" w:checkStyle="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4299"/>
    <w:rsid w:val="000051ED"/>
    <w:rsid w:val="000055BF"/>
    <w:rsid w:val="000060A0"/>
    <w:rsid w:val="000067BC"/>
    <w:rsid w:val="00007723"/>
    <w:rsid w:val="00007899"/>
    <w:rsid w:val="00010344"/>
    <w:rsid w:val="0001103D"/>
    <w:rsid w:val="00011528"/>
    <w:rsid w:val="000115EB"/>
    <w:rsid w:val="000119CA"/>
    <w:rsid w:val="00013B6E"/>
    <w:rsid w:val="00014557"/>
    <w:rsid w:val="000159D5"/>
    <w:rsid w:val="00016D6D"/>
    <w:rsid w:val="00017C2C"/>
    <w:rsid w:val="00020B64"/>
    <w:rsid w:val="00020C67"/>
    <w:rsid w:val="000215B9"/>
    <w:rsid w:val="000228F3"/>
    <w:rsid w:val="00023BEE"/>
    <w:rsid w:val="00024021"/>
    <w:rsid w:val="000240E6"/>
    <w:rsid w:val="0002430A"/>
    <w:rsid w:val="00024A79"/>
    <w:rsid w:val="00025D05"/>
    <w:rsid w:val="00026D89"/>
    <w:rsid w:val="00030363"/>
    <w:rsid w:val="0003094F"/>
    <w:rsid w:val="00031437"/>
    <w:rsid w:val="000314F8"/>
    <w:rsid w:val="0003168E"/>
    <w:rsid w:val="00031FA0"/>
    <w:rsid w:val="00032216"/>
    <w:rsid w:val="000327E8"/>
    <w:rsid w:val="00032847"/>
    <w:rsid w:val="000328A4"/>
    <w:rsid w:val="00032B78"/>
    <w:rsid w:val="00032C9C"/>
    <w:rsid w:val="000337AD"/>
    <w:rsid w:val="000341F3"/>
    <w:rsid w:val="000349F4"/>
    <w:rsid w:val="00034F5E"/>
    <w:rsid w:val="00035809"/>
    <w:rsid w:val="00035A02"/>
    <w:rsid w:val="000402B0"/>
    <w:rsid w:val="00040808"/>
    <w:rsid w:val="0004080B"/>
    <w:rsid w:val="000415DD"/>
    <w:rsid w:val="00041720"/>
    <w:rsid w:val="00041C3C"/>
    <w:rsid w:val="00041EC5"/>
    <w:rsid w:val="00041FD6"/>
    <w:rsid w:val="00042473"/>
    <w:rsid w:val="00042A0F"/>
    <w:rsid w:val="000432BE"/>
    <w:rsid w:val="00043668"/>
    <w:rsid w:val="00045589"/>
    <w:rsid w:val="00047A11"/>
    <w:rsid w:val="00047C7E"/>
    <w:rsid w:val="00050D9E"/>
    <w:rsid w:val="00050F6B"/>
    <w:rsid w:val="00050FE8"/>
    <w:rsid w:val="000519A2"/>
    <w:rsid w:val="000521C3"/>
    <w:rsid w:val="000524C0"/>
    <w:rsid w:val="00052645"/>
    <w:rsid w:val="0005266A"/>
    <w:rsid w:val="000526AB"/>
    <w:rsid w:val="00052700"/>
    <w:rsid w:val="00053850"/>
    <w:rsid w:val="00053C91"/>
    <w:rsid w:val="0005447A"/>
    <w:rsid w:val="00054621"/>
    <w:rsid w:val="00054649"/>
    <w:rsid w:val="00054976"/>
    <w:rsid w:val="000554E4"/>
    <w:rsid w:val="0005586D"/>
    <w:rsid w:val="00056E63"/>
    <w:rsid w:val="000573F3"/>
    <w:rsid w:val="0005759E"/>
    <w:rsid w:val="000607E8"/>
    <w:rsid w:val="00060DE2"/>
    <w:rsid w:val="0006123D"/>
    <w:rsid w:val="00061C6C"/>
    <w:rsid w:val="000637DA"/>
    <w:rsid w:val="00065074"/>
    <w:rsid w:val="0006558E"/>
    <w:rsid w:val="00065CE7"/>
    <w:rsid w:val="00065F62"/>
    <w:rsid w:val="00067223"/>
    <w:rsid w:val="000712E1"/>
    <w:rsid w:val="000726E9"/>
    <w:rsid w:val="00072C8C"/>
    <w:rsid w:val="00073334"/>
    <w:rsid w:val="00073CB8"/>
    <w:rsid w:val="0007465C"/>
    <w:rsid w:val="00075C7D"/>
    <w:rsid w:val="00075F9B"/>
    <w:rsid w:val="000760BC"/>
    <w:rsid w:val="0007639E"/>
    <w:rsid w:val="0007677D"/>
    <w:rsid w:val="000777D4"/>
    <w:rsid w:val="000778F0"/>
    <w:rsid w:val="000779F4"/>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2467"/>
    <w:rsid w:val="00092FF9"/>
    <w:rsid w:val="000931C0"/>
    <w:rsid w:val="0009359F"/>
    <w:rsid w:val="0009389D"/>
    <w:rsid w:val="000939AD"/>
    <w:rsid w:val="00093AB3"/>
    <w:rsid w:val="00093E34"/>
    <w:rsid w:val="00093E6D"/>
    <w:rsid w:val="000941F9"/>
    <w:rsid w:val="00094228"/>
    <w:rsid w:val="00094AF7"/>
    <w:rsid w:val="00094B73"/>
    <w:rsid w:val="00095164"/>
    <w:rsid w:val="000954C6"/>
    <w:rsid w:val="000960D4"/>
    <w:rsid w:val="000977A6"/>
    <w:rsid w:val="000A1CF3"/>
    <w:rsid w:val="000A298B"/>
    <w:rsid w:val="000A418A"/>
    <w:rsid w:val="000A4325"/>
    <w:rsid w:val="000A4AF9"/>
    <w:rsid w:val="000A5209"/>
    <w:rsid w:val="000A556D"/>
    <w:rsid w:val="000A6F83"/>
    <w:rsid w:val="000A6FA7"/>
    <w:rsid w:val="000A764B"/>
    <w:rsid w:val="000A77F4"/>
    <w:rsid w:val="000B1450"/>
    <w:rsid w:val="000B1583"/>
    <w:rsid w:val="000B175B"/>
    <w:rsid w:val="000B1B2F"/>
    <w:rsid w:val="000B1D84"/>
    <w:rsid w:val="000B1F3A"/>
    <w:rsid w:val="000B26C9"/>
    <w:rsid w:val="000B333F"/>
    <w:rsid w:val="000B3706"/>
    <w:rsid w:val="000B3A0F"/>
    <w:rsid w:val="000B4CC3"/>
    <w:rsid w:val="000B5024"/>
    <w:rsid w:val="000B52E3"/>
    <w:rsid w:val="000B5E90"/>
    <w:rsid w:val="000B603E"/>
    <w:rsid w:val="000B6811"/>
    <w:rsid w:val="000B761A"/>
    <w:rsid w:val="000B7D0A"/>
    <w:rsid w:val="000B7DE3"/>
    <w:rsid w:val="000C053E"/>
    <w:rsid w:val="000C09E6"/>
    <w:rsid w:val="000C1E7E"/>
    <w:rsid w:val="000C23E7"/>
    <w:rsid w:val="000C2AA5"/>
    <w:rsid w:val="000C32C0"/>
    <w:rsid w:val="000C346A"/>
    <w:rsid w:val="000C3C4D"/>
    <w:rsid w:val="000C44C8"/>
    <w:rsid w:val="000C4BC3"/>
    <w:rsid w:val="000C5948"/>
    <w:rsid w:val="000C65B0"/>
    <w:rsid w:val="000C6AD7"/>
    <w:rsid w:val="000C6BF7"/>
    <w:rsid w:val="000C7197"/>
    <w:rsid w:val="000D0124"/>
    <w:rsid w:val="000D0D57"/>
    <w:rsid w:val="000D0F39"/>
    <w:rsid w:val="000D19C9"/>
    <w:rsid w:val="000D2557"/>
    <w:rsid w:val="000D2F6B"/>
    <w:rsid w:val="000D31AD"/>
    <w:rsid w:val="000D3B94"/>
    <w:rsid w:val="000D4C47"/>
    <w:rsid w:val="000D5451"/>
    <w:rsid w:val="000D7126"/>
    <w:rsid w:val="000D7C18"/>
    <w:rsid w:val="000D7CC0"/>
    <w:rsid w:val="000E0415"/>
    <w:rsid w:val="000E0988"/>
    <w:rsid w:val="000E1690"/>
    <w:rsid w:val="000E1891"/>
    <w:rsid w:val="000E1975"/>
    <w:rsid w:val="000E1ADE"/>
    <w:rsid w:val="000E25B5"/>
    <w:rsid w:val="000E3607"/>
    <w:rsid w:val="000E3B18"/>
    <w:rsid w:val="000E3F2F"/>
    <w:rsid w:val="000E450E"/>
    <w:rsid w:val="000E4736"/>
    <w:rsid w:val="000E4CD8"/>
    <w:rsid w:val="000E5026"/>
    <w:rsid w:val="000E59A9"/>
    <w:rsid w:val="000E6211"/>
    <w:rsid w:val="000E662C"/>
    <w:rsid w:val="000E769C"/>
    <w:rsid w:val="000F08BE"/>
    <w:rsid w:val="000F308E"/>
    <w:rsid w:val="000F3331"/>
    <w:rsid w:val="000F3D5B"/>
    <w:rsid w:val="000F3DC6"/>
    <w:rsid w:val="000F3EBD"/>
    <w:rsid w:val="000F5678"/>
    <w:rsid w:val="000F5AAC"/>
    <w:rsid w:val="000F5B32"/>
    <w:rsid w:val="000F5CAF"/>
    <w:rsid w:val="000F6EFA"/>
    <w:rsid w:val="000F748A"/>
    <w:rsid w:val="000F75CB"/>
    <w:rsid w:val="000F77D1"/>
    <w:rsid w:val="00100534"/>
    <w:rsid w:val="00100593"/>
    <w:rsid w:val="00100B11"/>
    <w:rsid w:val="00100E8C"/>
    <w:rsid w:val="001013F1"/>
    <w:rsid w:val="00101A21"/>
    <w:rsid w:val="00101D72"/>
    <w:rsid w:val="00102DAE"/>
    <w:rsid w:val="00103024"/>
    <w:rsid w:val="00104140"/>
    <w:rsid w:val="001045A4"/>
    <w:rsid w:val="00104C14"/>
    <w:rsid w:val="00104D7C"/>
    <w:rsid w:val="00104FF8"/>
    <w:rsid w:val="001053BC"/>
    <w:rsid w:val="00105554"/>
    <w:rsid w:val="0010567B"/>
    <w:rsid w:val="001064C9"/>
    <w:rsid w:val="00106610"/>
    <w:rsid w:val="001070CF"/>
    <w:rsid w:val="00107F70"/>
    <w:rsid w:val="00107FE0"/>
    <w:rsid w:val="00110185"/>
    <w:rsid w:val="00111143"/>
    <w:rsid w:val="00111F19"/>
    <w:rsid w:val="0011341A"/>
    <w:rsid w:val="00114856"/>
    <w:rsid w:val="001149F1"/>
    <w:rsid w:val="00115EEA"/>
    <w:rsid w:val="00116746"/>
    <w:rsid w:val="00116F76"/>
    <w:rsid w:val="00117117"/>
    <w:rsid w:val="0011717C"/>
    <w:rsid w:val="00117C9A"/>
    <w:rsid w:val="00120AAB"/>
    <w:rsid w:val="00121333"/>
    <w:rsid w:val="001216D7"/>
    <w:rsid w:val="00121FBD"/>
    <w:rsid w:val="001220B8"/>
    <w:rsid w:val="00123AE3"/>
    <w:rsid w:val="00123CAF"/>
    <w:rsid w:val="0012494D"/>
    <w:rsid w:val="00125F47"/>
    <w:rsid w:val="00127252"/>
    <w:rsid w:val="001313A7"/>
    <w:rsid w:val="00131A95"/>
    <w:rsid w:val="00131BA5"/>
    <w:rsid w:val="0013209B"/>
    <w:rsid w:val="001323A0"/>
    <w:rsid w:val="00132480"/>
    <w:rsid w:val="00132564"/>
    <w:rsid w:val="0013325C"/>
    <w:rsid w:val="001339E1"/>
    <w:rsid w:val="00133D49"/>
    <w:rsid w:val="00133D6D"/>
    <w:rsid w:val="00134F58"/>
    <w:rsid w:val="00136134"/>
    <w:rsid w:val="00136B25"/>
    <w:rsid w:val="0013745B"/>
    <w:rsid w:val="001403B9"/>
    <w:rsid w:val="0014063D"/>
    <w:rsid w:val="0014258C"/>
    <w:rsid w:val="00143ACB"/>
    <w:rsid w:val="00143CEA"/>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090"/>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A98"/>
    <w:rsid w:val="00160E67"/>
    <w:rsid w:val="00161331"/>
    <w:rsid w:val="001615D9"/>
    <w:rsid w:val="00161A6D"/>
    <w:rsid w:val="00163EFA"/>
    <w:rsid w:val="00164327"/>
    <w:rsid w:val="00165286"/>
    <w:rsid w:val="00165F38"/>
    <w:rsid w:val="00166371"/>
    <w:rsid w:val="001673FC"/>
    <w:rsid w:val="00167C0B"/>
    <w:rsid w:val="00167E19"/>
    <w:rsid w:val="00170493"/>
    <w:rsid w:val="00170804"/>
    <w:rsid w:val="00170BD7"/>
    <w:rsid w:val="001710E4"/>
    <w:rsid w:val="001712BE"/>
    <w:rsid w:val="0017285F"/>
    <w:rsid w:val="00172F43"/>
    <w:rsid w:val="00173292"/>
    <w:rsid w:val="00173D7A"/>
    <w:rsid w:val="00173DFF"/>
    <w:rsid w:val="00174164"/>
    <w:rsid w:val="0017505B"/>
    <w:rsid w:val="001753CE"/>
    <w:rsid w:val="00175900"/>
    <w:rsid w:val="00176232"/>
    <w:rsid w:val="001765FC"/>
    <w:rsid w:val="00176C70"/>
    <w:rsid w:val="00176D0B"/>
    <w:rsid w:val="00176EFB"/>
    <w:rsid w:val="00177573"/>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715"/>
    <w:rsid w:val="0019175F"/>
    <w:rsid w:val="00192C2E"/>
    <w:rsid w:val="00192CF9"/>
    <w:rsid w:val="001932CF"/>
    <w:rsid w:val="0019340B"/>
    <w:rsid w:val="00193780"/>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13D4"/>
    <w:rsid w:val="001A1568"/>
    <w:rsid w:val="001A2058"/>
    <w:rsid w:val="001A2084"/>
    <w:rsid w:val="001A2FE5"/>
    <w:rsid w:val="001A3310"/>
    <w:rsid w:val="001A3F39"/>
    <w:rsid w:val="001A3FAC"/>
    <w:rsid w:val="001A4DBF"/>
    <w:rsid w:val="001A6300"/>
    <w:rsid w:val="001A66F9"/>
    <w:rsid w:val="001A6EF7"/>
    <w:rsid w:val="001A7286"/>
    <w:rsid w:val="001A7C15"/>
    <w:rsid w:val="001B0078"/>
    <w:rsid w:val="001B1CA1"/>
    <w:rsid w:val="001B1E7D"/>
    <w:rsid w:val="001B1EB3"/>
    <w:rsid w:val="001B22C7"/>
    <w:rsid w:val="001B239A"/>
    <w:rsid w:val="001B30BF"/>
    <w:rsid w:val="001B31F4"/>
    <w:rsid w:val="001B38AD"/>
    <w:rsid w:val="001B41D0"/>
    <w:rsid w:val="001B42D0"/>
    <w:rsid w:val="001B478D"/>
    <w:rsid w:val="001B4B04"/>
    <w:rsid w:val="001B4E31"/>
    <w:rsid w:val="001B4FD5"/>
    <w:rsid w:val="001B5788"/>
    <w:rsid w:val="001B5C39"/>
    <w:rsid w:val="001B63FB"/>
    <w:rsid w:val="001B7B17"/>
    <w:rsid w:val="001C011B"/>
    <w:rsid w:val="001C0715"/>
    <w:rsid w:val="001C2B1D"/>
    <w:rsid w:val="001C2E3D"/>
    <w:rsid w:val="001C3025"/>
    <w:rsid w:val="001C31A9"/>
    <w:rsid w:val="001C33CD"/>
    <w:rsid w:val="001C3738"/>
    <w:rsid w:val="001C37A0"/>
    <w:rsid w:val="001C3C11"/>
    <w:rsid w:val="001C46C0"/>
    <w:rsid w:val="001C4F03"/>
    <w:rsid w:val="001C54AD"/>
    <w:rsid w:val="001C5C35"/>
    <w:rsid w:val="001C65BE"/>
    <w:rsid w:val="001C6663"/>
    <w:rsid w:val="001C7168"/>
    <w:rsid w:val="001C7307"/>
    <w:rsid w:val="001C7895"/>
    <w:rsid w:val="001C7D2D"/>
    <w:rsid w:val="001D1424"/>
    <w:rsid w:val="001D18E6"/>
    <w:rsid w:val="001D1E2D"/>
    <w:rsid w:val="001D26DF"/>
    <w:rsid w:val="001D374A"/>
    <w:rsid w:val="001D3F85"/>
    <w:rsid w:val="001D4641"/>
    <w:rsid w:val="001D4692"/>
    <w:rsid w:val="001D4841"/>
    <w:rsid w:val="001D532E"/>
    <w:rsid w:val="001D608D"/>
    <w:rsid w:val="001D6545"/>
    <w:rsid w:val="001D76F6"/>
    <w:rsid w:val="001D784F"/>
    <w:rsid w:val="001D7D5E"/>
    <w:rsid w:val="001D7D6A"/>
    <w:rsid w:val="001E17F1"/>
    <w:rsid w:val="001E1A6C"/>
    <w:rsid w:val="001E1A91"/>
    <w:rsid w:val="001E2152"/>
    <w:rsid w:val="001E4F38"/>
    <w:rsid w:val="001E5381"/>
    <w:rsid w:val="001E5B15"/>
    <w:rsid w:val="001E5EBF"/>
    <w:rsid w:val="001E5FF2"/>
    <w:rsid w:val="001E6A29"/>
    <w:rsid w:val="001E6BD6"/>
    <w:rsid w:val="001E6CF2"/>
    <w:rsid w:val="001E71CC"/>
    <w:rsid w:val="001F05DD"/>
    <w:rsid w:val="001F13D6"/>
    <w:rsid w:val="001F154E"/>
    <w:rsid w:val="001F2B17"/>
    <w:rsid w:val="001F3B63"/>
    <w:rsid w:val="001F4438"/>
    <w:rsid w:val="001F58D3"/>
    <w:rsid w:val="001F71E6"/>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152"/>
    <w:rsid w:val="002078AC"/>
    <w:rsid w:val="002078D4"/>
    <w:rsid w:val="00210B0F"/>
    <w:rsid w:val="002111D1"/>
    <w:rsid w:val="0021175B"/>
    <w:rsid w:val="00211E0B"/>
    <w:rsid w:val="00211F54"/>
    <w:rsid w:val="00212BC2"/>
    <w:rsid w:val="00213005"/>
    <w:rsid w:val="002138D4"/>
    <w:rsid w:val="00213E95"/>
    <w:rsid w:val="00214059"/>
    <w:rsid w:val="00214189"/>
    <w:rsid w:val="0021473E"/>
    <w:rsid w:val="00214746"/>
    <w:rsid w:val="00214A23"/>
    <w:rsid w:val="00214B55"/>
    <w:rsid w:val="002151AA"/>
    <w:rsid w:val="00215573"/>
    <w:rsid w:val="002175B5"/>
    <w:rsid w:val="002213C1"/>
    <w:rsid w:val="0022190B"/>
    <w:rsid w:val="00221B6B"/>
    <w:rsid w:val="00221D57"/>
    <w:rsid w:val="00222772"/>
    <w:rsid w:val="00222D4D"/>
    <w:rsid w:val="002230A1"/>
    <w:rsid w:val="0022356E"/>
    <w:rsid w:val="00223D61"/>
    <w:rsid w:val="00224C65"/>
    <w:rsid w:val="0022516A"/>
    <w:rsid w:val="00225963"/>
    <w:rsid w:val="00225C76"/>
    <w:rsid w:val="002267AA"/>
    <w:rsid w:val="002279E1"/>
    <w:rsid w:val="00227A64"/>
    <w:rsid w:val="00230BB6"/>
    <w:rsid w:val="002311E3"/>
    <w:rsid w:val="002312B3"/>
    <w:rsid w:val="00231FC0"/>
    <w:rsid w:val="00232960"/>
    <w:rsid w:val="00232D8D"/>
    <w:rsid w:val="00233280"/>
    <w:rsid w:val="002332F8"/>
    <w:rsid w:val="00233835"/>
    <w:rsid w:val="00235F09"/>
    <w:rsid w:val="00235F6C"/>
    <w:rsid w:val="00236050"/>
    <w:rsid w:val="00237324"/>
    <w:rsid w:val="002373B1"/>
    <w:rsid w:val="002405A7"/>
    <w:rsid w:val="00240747"/>
    <w:rsid w:val="00240A4C"/>
    <w:rsid w:val="00240CD5"/>
    <w:rsid w:val="002411AB"/>
    <w:rsid w:val="002427B3"/>
    <w:rsid w:val="00243406"/>
    <w:rsid w:val="00243E9C"/>
    <w:rsid w:val="00243EE4"/>
    <w:rsid w:val="0024478F"/>
    <w:rsid w:val="00245869"/>
    <w:rsid w:val="002458C2"/>
    <w:rsid w:val="00245900"/>
    <w:rsid w:val="00245DFC"/>
    <w:rsid w:val="00246AF6"/>
    <w:rsid w:val="00250970"/>
    <w:rsid w:val="00251539"/>
    <w:rsid w:val="00251E7E"/>
    <w:rsid w:val="00252983"/>
    <w:rsid w:val="00252AB6"/>
    <w:rsid w:val="00252BCB"/>
    <w:rsid w:val="002538E1"/>
    <w:rsid w:val="00253C91"/>
    <w:rsid w:val="00254C7E"/>
    <w:rsid w:val="00255289"/>
    <w:rsid w:val="00256067"/>
    <w:rsid w:val="0025722A"/>
    <w:rsid w:val="002576BB"/>
    <w:rsid w:val="00260F9D"/>
    <w:rsid w:val="002616D5"/>
    <w:rsid w:val="002620C5"/>
    <w:rsid w:val="002621C1"/>
    <w:rsid w:val="00263139"/>
    <w:rsid w:val="00263319"/>
    <w:rsid w:val="0026353E"/>
    <w:rsid w:val="00263E17"/>
    <w:rsid w:val="0026467A"/>
    <w:rsid w:val="00264E35"/>
    <w:rsid w:val="00266BE5"/>
    <w:rsid w:val="002674E1"/>
    <w:rsid w:val="0026772B"/>
    <w:rsid w:val="00267D6A"/>
    <w:rsid w:val="00267EE0"/>
    <w:rsid w:val="002720BA"/>
    <w:rsid w:val="00272836"/>
    <w:rsid w:val="002738B6"/>
    <w:rsid w:val="00274428"/>
    <w:rsid w:val="00274A65"/>
    <w:rsid w:val="00274AC6"/>
    <w:rsid w:val="00274D01"/>
    <w:rsid w:val="00274FDE"/>
    <w:rsid w:val="002754BD"/>
    <w:rsid w:val="00275E6E"/>
    <w:rsid w:val="00275F0D"/>
    <w:rsid w:val="0027607D"/>
    <w:rsid w:val="00276E70"/>
    <w:rsid w:val="00277138"/>
    <w:rsid w:val="002775EE"/>
    <w:rsid w:val="00277D81"/>
    <w:rsid w:val="00277F3A"/>
    <w:rsid w:val="002800E1"/>
    <w:rsid w:val="00280433"/>
    <w:rsid w:val="00280D2F"/>
    <w:rsid w:val="002810BF"/>
    <w:rsid w:val="002813E0"/>
    <w:rsid w:val="002825D3"/>
    <w:rsid w:val="00282842"/>
    <w:rsid w:val="00282ABB"/>
    <w:rsid w:val="002832D7"/>
    <w:rsid w:val="00283796"/>
    <w:rsid w:val="00283A0C"/>
    <w:rsid w:val="00284380"/>
    <w:rsid w:val="00285303"/>
    <w:rsid w:val="00285BFA"/>
    <w:rsid w:val="00285C0C"/>
    <w:rsid w:val="00286840"/>
    <w:rsid w:val="002876F7"/>
    <w:rsid w:val="00287B1A"/>
    <w:rsid w:val="002904B8"/>
    <w:rsid w:val="00290E19"/>
    <w:rsid w:val="00290F1F"/>
    <w:rsid w:val="00291F98"/>
    <w:rsid w:val="002923AE"/>
    <w:rsid w:val="00292F2A"/>
    <w:rsid w:val="0029442D"/>
    <w:rsid w:val="00294B41"/>
    <w:rsid w:val="00294E33"/>
    <w:rsid w:val="002954E1"/>
    <w:rsid w:val="00295F2E"/>
    <w:rsid w:val="00296B9D"/>
    <w:rsid w:val="00297687"/>
    <w:rsid w:val="00297A0F"/>
    <w:rsid w:val="002A0E47"/>
    <w:rsid w:val="002A102F"/>
    <w:rsid w:val="002A1093"/>
    <w:rsid w:val="002A1682"/>
    <w:rsid w:val="002A1CDD"/>
    <w:rsid w:val="002A35C6"/>
    <w:rsid w:val="002A3860"/>
    <w:rsid w:val="002A4F05"/>
    <w:rsid w:val="002A539F"/>
    <w:rsid w:val="002A55B7"/>
    <w:rsid w:val="002A5AB7"/>
    <w:rsid w:val="002A60BD"/>
    <w:rsid w:val="002A651F"/>
    <w:rsid w:val="002A73ED"/>
    <w:rsid w:val="002A7C41"/>
    <w:rsid w:val="002A7C6B"/>
    <w:rsid w:val="002B0D13"/>
    <w:rsid w:val="002B1289"/>
    <w:rsid w:val="002B236D"/>
    <w:rsid w:val="002B29F2"/>
    <w:rsid w:val="002B2C9E"/>
    <w:rsid w:val="002B2FAD"/>
    <w:rsid w:val="002B3557"/>
    <w:rsid w:val="002B3A16"/>
    <w:rsid w:val="002B4869"/>
    <w:rsid w:val="002B4AE8"/>
    <w:rsid w:val="002B4BC8"/>
    <w:rsid w:val="002B5960"/>
    <w:rsid w:val="002B5F54"/>
    <w:rsid w:val="002B6AD3"/>
    <w:rsid w:val="002B71CE"/>
    <w:rsid w:val="002B72B0"/>
    <w:rsid w:val="002B784A"/>
    <w:rsid w:val="002B79AE"/>
    <w:rsid w:val="002C04AD"/>
    <w:rsid w:val="002C068F"/>
    <w:rsid w:val="002C0B7A"/>
    <w:rsid w:val="002C0C52"/>
    <w:rsid w:val="002C11AB"/>
    <w:rsid w:val="002C148E"/>
    <w:rsid w:val="002C27BB"/>
    <w:rsid w:val="002C2C34"/>
    <w:rsid w:val="002C4714"/>
    <w:rsid w:val="002C4A7C"/>
    <w:rsid w:val="002C4CCA"/>
    <w:rsid w:val="002C4DE6"/>
    <w:rsid w:val="002C5735"/>
    <w:rsid w:val="002C5A7A"/>
    <w:rsid w:val="002C5E6D"/>
    <w:rsid w:val="002C6485"/>
    <w:rsid w:val="002C6E1C"/>
    <w:rsid w:val="002C701E"/>
    <w:rsid w:val="002C7DF7"/>
    <w:rsid w:val="002D0C35"/>
    <w:rsid w:val="002D1A7A"/>
    <w:rsid w:val="002D1D21"/>
    <w:rsid w:val="002D1FA8"/>
    <w:rsid w:val="002D2F1B"/>
    <w:rsid w:val="002D3223"/>
    <w:rsid w:val="002D329C"/>
    <w:rsid w:val="002D47B4"/>
    <w:rsid w:val="002D4AC5"/>
    <w:rsid w:val="002D5C40"/>
    <w:rsid w:val="002D5FEB"/>
    <w:rsid w:val="002D6390"/>
    <w:rsid w:val="002D6711"/>
    <w:rsid w:val="002D72E7"/>
    <w:rsid w:val="002D7A39"/>
    <w:rsid w:val="002E0ECA"/>
    <w:rsid w:val="002E0F54"/>
    <w:rsid w:val="002E1F6F"/>
    <w:rsid w:val="002E1FFD"/>
    <w:rsid w:val="002E28C3"/>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3270"/>
    <w:rsid w:val="002F4907"/>
    <w:rsid w:val="002F4E9C"/>
    <w:rsid w:val="002F53F1"/>
    <w:rsid w:val="002F5B02"/>
    <w:rsid w:val="002F6CC1"/>
    <w:rsid w:val="002F6D4B"/>
    <w:rsid w:val="002F6D91"/>
    <w:rsid w:val="002F6E64"/>
    <w:rsid w:val="002F7E48"/>
    <w:rsid w:val="0030014B"/>
    <w:rsid w:val="0030060D"/>
    <w:rsid w:val="00300844"/>
    <w:rsid w:val="00300B29"/>
    <w:rsid w:val="00302537"/>
    <w:rsid w:val="00302C32"/>
    <w:rsid w:val="0030391A"/>
    <w:rsid w:val="00304195"/>
    <w:rsid w:val="003047D2"/>
    <w:rsid w:val="00304B97"/>
    <w:rsid w:val="00304DFF"/>
    <w:rsid w:val="003051B0"/>
    <w:rsid w:val="00306566"/>
    <w:rsid w:val="003070DF"/>
    <w:rsid w:val="00307ED1"/>
    <w:rsid w:val="003102EB"/>
    <w:rsid w:val="003107FA"/>
    <w:rsid w:val="003108B9"/>
    <w:rsid w:val="00310958"/>
    <w:rsid w:val="00310D41"/>
    <w:rsid w:val="00310EA5"/>
    <w:rsid w:val="00310F5E"/>
    <w:rsid w:val="0031127E"/>
    <w:rsid w:val="0031167D"/>
    <w:rsid w:val="00311BF5"/>
    <w:rsid w:val="00312053"/>
    <w:rsid w:val="00314198"/>
    <w:rsid w:val="003144B4"/>
    <w:rsid w:val="003149F5"/>
    <w:rsid w:val="00314FF7"/>
    <w:rsid w:val="00315249"/>
    <w:rsid w:val="0031557B"/>
    <w:rsid w:val="003158A2"/>
    <w:rsid w:val="003161FA"/>
    <w:rsid w:val="00316251"/>
    <w:rsid w:val="003164D9"/>
    <w:rsid w:val="0031655D"/>
    <w:rsid w:val="003177C5"/>
    <w:rsid w:val="0032104C"/>
    <w:rsid w:val="00321A70"/>
    <w:rsid w:val="003229D8"/>
    <w:rsid w:val="0032319B"/>
    <w:rsid w:val="00323377"/>
    <w:rsid w:val="0032447E"/>
    <w:rsid w:val="003245FB"/>
    <w:rsid w:val="003249DE"/>
    <w:rsid w:val="0032529E"/>
    <w:rsid w:val="00325C30"/>
    <w:rsid w:val="003260D7"/>
    <w:rsid w:val="003260E4"/>
    <w:rsid w:val="00327545"/>
    <w:rsid w:val="003277B0"/>
    <w:rsid w:val="0033184D"/>
    <w:rsid w:val="0033203B"/>
    <w:rsid w:val="00333363"/>
    <w:rsid w:val="0033433C"/>
    <w:rsid w:val="00335E51"/>
    <w:rsid w:val="00336B93"/>
    <w:rsid w:val="00336C90"/>
    <w:rsid w:val="00336D73"/>
    <w:rsid w:val="00336D9A"/>
    <w:rsid w:val="0033713D"/>
    <w:rsid w:val="0033745A"/>
    <w:rsid w:val="0033787A"/>
    <w:rsid w:val="00340052"/>
    <w:rsid w:val="00340CCD"/>
    <w:rsid w:val="00341E13"/>
    <w:rsid w:val="0034206B"/>
    <w:rsid w:val="00342D3C"/>
    <w:rsid w:val="00343B8A"/>
    <w:rsid w:val="0034544A"/>
    <w:rsid w:val="00345A98"/>
    <w:rsid w:val="00346885"/>
    <w:rsid w:val="00346E08"/>
    <w:rsid w:val="00347100"/>
    <w:rsid w:val="0035085A"/>
    <w:rsid w:val="00350F87"/>
    <w:rsid w:val="003524E1"/>
    <w:rsid w:val="0035448A"/>
    <w:rsid w:val="0035455C"/>
    <w:rsid w:val="00354A29"/>
    <w:rsid w:val="00354B00"/>
    <w:rsid w:val="0035743B"/>
    <w:rsid w:val="00360359"/>
    <w:rsid w:val="00360EDD"/>
    <w:rsid w:val="0036187E"/>
    <w:rsid w:val="0036339F"/>
    <w:rsid w:val="00363C80"/>
    <w:rsid w:val="0036737E"/>
    <w:rsid w:val="003674C4"/>
    <w:rsid w:val="00367889"/>
    <w:rsid w:val="003678CF"/>
    <w:rsid w:val="00367E1C"/>
    <w:rsid w:val="0037071B"/>
    <w:rsid w:val="0037129A"/>
    <w:rsid w:val="003715A2"/>
    <w:rsid w:val="00373117"/>
    <w:rsid w:val="00374186"/>
    <w:rsid w:val="003744EA"/>
    <w:rsid w:val="00374E29"/>
    <w:rsid w:val="00375DF9"/>
    <w:rsid w:val="00375F2D"/>
    <w:rsid w:val="00375FAF"/>
    <w:rsid w:val="003762C9"/>
    <w:rsid w:val="00376D59"/>
    <w:rsid w:val="00376F99"/>
    <w:rsid w:val="003770E3"/>
    <w:rsid w:val="00377D3C"/>
    <w:rsid w:val="00380BCC"/>
    <w:rsid w:val="00380DA9"/>
    <w:rsid w:val="00381420"/>
    <w:rsid w:val="00381CCA"/>
    <w:rsid w:val="003820CC"/>
    <w:rsid w:val="00382480"/>
    <w:rsid w:val="00382714"/>
    <w:rsid w:val="003830E9"/>
    <w:rsid w:val="00383E8C"/>
    <w:rsid w:val="00383FA8"/>
    <w:rsid w:val="00385291"/>
    <w:rsid w:val="003866E5"/>
    <w:rsid w:val="003869F3"/>
    <w:rsid w:val="00386F07"/>
    <w:rsid w:val="00386FF6"/>
    <w:rsid w:val="003904B1"/>
    <w:rsid w:val="0039139C"/>
    <w:rsid w:val="00392621"/>
    <w:rsid w:val="0039277A"/>
    <w:rsid w:val="0039287F"/>
    <w:rsid w:val="00393D72"/>
    <w:rsid w:val="00394564"/>
    <w:rsid w:val="00394B0F"/>
    <w:rsid w:val="0039511C"/>
    <w:rsid w:val="00396F88"/>
    <w:rsid w:val="00397205"/>
    <w:rsid w:val="003972E0"/>
    <w:rsid w:val="00397B5A"/>
    <w:rsid w:val="003A0226"/>
    <w:rsid w:val="003A0634"/>
    <w:rsid w:val="003A08A1"/>
    <w:rsid w:val="003A0FB6"/>
    <w:rsid w:val="003A1693"/>
    <w:rsid w:val="003A1CD1"/>
    <w:rsid w:val="003A3B77"/>
    <w:rsid w:val="003A4231"/>
    <w:rsid w:val="003A42E5"/>
    <w:rsid w:val="003A472E"/>
    <w:rsid w:val="003A4927"/>
    <w:rsid w:val="003A4F9F"/>
    <w:rsid w:val="003A51C5"/>
    <w:rsid w:val="003A5E14"/>
    <w:rsid w:val="003A61F4"/>
    <w:rsid w:val="003A79D6"/>
    <w:rsid w:val="003A7B18"/>
    <w:rsid w:val="003B01EA"/>
    <w:rsid w:val="003B0FB3"/>
    <w:rsid w:val="003B2AB5"/>
    <w:rsid w:val="003B4326"/>
    <w:rsid w:val="003B4880"/>
    <w:rsid w:val="003B528A"/>
    <w:rsid w:val="003B532D"/>
    <w:rsid w:val="003B5417"/>
    <w:rsid w:val="003B58BE"/>
    <w:rsid w:val="003B7476"/>
    <w:rsid w:val="003C14C9"/>
    <w:rsid w:val="003C21AD"/>
    <w:rsid w:val="003C2202"/>
    <w:rsid w:val="003C2CC4"/>
    <w:rsid w:val="003C2E72"/>
    <w:rsid w:val="003C3132"/>
    <w:rsid w:val="003C3560"/>
    <w:rsid w:val="003C38D0"/>
    <w:rsid w:val="003C3936"/>
    <w:rsid w:val="003C5A29"/>
    <w:rsid w:val="003C5BEE"/>
    <w:rsid w:val="003C7781"/>
    <w:rsid w:val="003C7CD7"/>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D7B3A"/>
    <w:rsid w:val="003D7E9C"/>
    <w:rsid w:val="003E1040"/>
    <w:rsid w:val="003E1349"/>
    <w:rsid w:val="003E1C5B"/>
    <w:rsid w:val="003E23B7"/>
    <w:rsid w:val="003E2B15"/>
    <w:rsid w:val="003E2B30"/>
    <w:rsid w:val="003E36C4"/>
    <w:rsid w:val="003E3710"/>
    <w:rsid w:val="003E563D"/>
    <w:rsid w:val="003E642C"/>
    <w:rsid w:val="003E6782"/>
    <w:rsid w:val="003E6BCD"/>
    <w:rsid w:val="003E6CB7"/>
    <w:rsid w:val="003E7523"/>
    <w:rsid w:val="003E79A1"/>
    <w:rsid w:val="003E7E3D"/>
    <w:rsid w:val="003E7F49"/>
    <w:rsid w:val="003F0B66"/>
    <w:rsid w:val="003F1933"/>
    <w:rsid w:val="003F1ED3"/>
    <w:rsid w:val="003F2153"/>
    <w:rsid w:val="003F22B4"/>
    <w:rsid w:val="003F27DD"/>
    <w:rsid w:val="003F4949"/>
    <w:rsid w:val="003F4BF5"/>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5494"/>
    <w:rsid w:val="00405606"/>
    <w:rsid w:val="0040576B"/>
    <w:rsid w:val="00405941"/>
    <w:rsid w:val="00406906"/>
    <w:rsid w:val="00407784"/>
    <w:rsid w:val="004114E7"/>
    <w:rsid w:val="004118D2"/>
    <w:rsid w:val="00411F1B"/>
    <w:rsid w:val="00412D3F"/>
    <w:rsid w:val="00412DA5"/>
    <w:rsid w:val="00413AAC"/>
    <w:rsid w:val="00413C48"/>
    <w:rsid w:val="00415DAC"/>
    <w:rsid w:val="00416054"/>
    <w:rsid w:val="00416911"/>
    <w:rsid w:val="0041729A"/>
    <w:rsid w:val="004172CF"/>
    <w:rsid w:val="00417C97"/>
    <w:rsid w:val="004206F1"/>
    <w:rsid w:val="00420CD7"/>
    <w:rsid w:val="0042145C"/>
    <w:rsid w:val="00421EA7"/>
    <w:rsid w:val="00422DF8"/>
    <w:rsid w:val="00424A75"/>
    <w:rsid w:val="00426355"/>
    <w:rsid w:val="004268FC"/>
    <w:rsid w:val="00431094"/>
    <w:rsid w:val="00431DFF"/>
    <w:rsid w:val="004325CB"/>
    <w:rsid w:val="004326F5"/>
    <w:rsid w:val="0043282F"/>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533"/>
    <w:rsid w:val="00445D59"/>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553E"/>
    <w:rsid w:val="00475E24"/>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3909"/>
    <w:rsid w:val="00485227"/>
    <w:rsid w:val="0048560F"/>
    <w:rsid w:val="00485638"/>
    <w:rsid w:val="0048637F"/>
    <w:rsid w:val="0048638C"/>
    <w:rsid w:val="00486A6B"/>
    <w:rsid w:val="00490CE1"/>
    <w:rsid w:val="00491139"/>
    <w:rsid w:val="00492857"/>
    <w:rsid w:val="00493027"/>
    <w:rsid w:val="00493509"/>
    <w:rsid w:val="004935AD"/>
    <w:rsid w:val="00494601"/>
    <w:rsid w:val="00494CA7"/>
    <w:rsid w:val="00494CF4"/>
    <w:rsid w:val="00494FDB"/>
    <w:rsid w:val="00495554"/>
    <w:rsid w:val="00495C25"/>
    <w:rsid w:val="0049628D"/>
    <w:rsid w:val="004962FC"/>
    <w:rsid w:val="00496670"/>
    <w:rsid w:val="0049688B"/>
    <w:rsid w:val="00496E16"/>
    <w:rsid w:val="00497763"/>
    <w:rsid w:val="00497FCF"/>
    <w:rsid w:val="004A0CAB"/>
    <w:rsid w:val="004A0E38"/>
    <w:rsid w:val="004A13CA"/>
    <w:rsid w:val="004A1C0A"/>
    <w:rsid w:val="004A1DE5"/>
    <w:rsid w:val="004A2653"/>
    <w:rsid w:val="004A276D"/>
    <w:rsid w:val="004A357C"/>
    <w:rsid w:val="004A366C"/>
    <w:rsid w:val="004A41CA"/>
    <w:rsid w:val="004A4200"/>
    <w:rsid w:val="004A4FFB"/>
    <w:rsid w:val="004A5734"/>
    <w:rsid w:val="004A58F0"/>
    <w:rsid w:val="004A5A08"/>
    <w:rsid w:val="004A6494"/>
    <w:rsid w:val="004A68E9"/>
    <w:rsid w:val="004A6DAE"/>
    <w:rsid w:val="004A763C"/>
    <w:rsid w:val="004B0074"/>
    <w:rsid w:val="004B019C"/>
    <w:rsid w:val="004B0BE3"/>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4AB"/>
    <w:rsid w:val="004C0640"/>
    <w:rsid w:val="004C104B"/>
    <w:rsid w:val="004C10AA"/>
    <w:rsid w:val="004C18AC"/>
    <w:rsid w:val="004C3556"/>
    <w:rsid w:val="004C4163"/>
    <w:rsid w:val="004C551C"/>
    <w:rsid w:val="004C5639"/>
    <w:rsid w:val="004C5693"/>
    <w:rsid w:val="004C6513"/>
    <w:rsid w:val="004C6F51"/>
    <w:rsid w:val="004D01C7"/>
    <w:rsid w:val="004D04A6"/>
    <w:rsid w:val="004D0B3E"/>
    <w:rsid w:val="004D0CC4"/>
    <w:rsid w:val="004D0DA2"/>
    <w:rsid w:val="004D1558"/>
    <w:rsid w:val="004D294B"/>
    <w:rsid w:val="004D3766"/>
    <w:rsid w:val="004D4092"/>
    <w:rsid w:val="004D4E9D"/>
    <w:rsid w:val="004D5BB3"/>
    <w:rsid w:val="004D5ECA"/>
    <w:rsid w:val="004D63AC"/>
    <w:rsid w:val="004D643E"/>
    <w:rsid w:val="004D70D6"/>
    <w:rsid w:val="004D7181"/>
    <w:rsid w:val="004D74C6"/>
    <w:rsid w:val="004E00A7"/>
    <w:rsid w:val="004E13AE"/>
    <w:rsid w:val="004E1609"/>
    <w:rsid w:val="004E1A82"/>
    <w:rsid w:val="004E1C39"/>
    <w:rsid w:val="004E2BAE"/>
    <w:rsid w:val="004E2DA8"/>
    <w:rsid w:val="004E3262"/>
    <w:rsid w:val="004E36D1"/>
    <w:rsid w:val="004E36E8"/>
    <w:rsid w:val="004E373B"/>
    <w:rsid w:val="004E4B6B"/>
    <w:rsid w:val="004E52E5"/>
    <w:rsid w:val="004E59B9"/>
    <w:rsid w:val="004E6BF6"/>
    <w:rsid w:val="004E6EA1"/>
    <w:rsid w:val="004E75E5"/>
    <w:rsid w:val="004E7753"/>
    <w:rsid w:val="004E7F66"/>
    <w:rsid w:val="004F0B1B"/>
    <w:rsid w:val="004F0BBB"/>
    <w:rsid w:val="004F10A2"/>
    <w:rsid w:val="004F133F"/>
    <w:rsid w:val="004F20D2"/>
    <w:rsid w:val="004F2416"/>
    <w:rsid w:val="004F2EC3"/>
    <w:rsid w:val="004F3439"/>
    <w:rsid w:val="004F467E"/>
    <w:rsid w:val="004F7133"/>
    <w:rsid w:val="004F77FD"/>
    <w:rsid w:val="004F7E27"/>
    <w:rsid w:val="00501826"/>
    <w:rsid w:val="00503228"/>
    <w:rsid w:val="00503501"/>
    <w:rsid w:val="0050427B"/>
    <w:rsid w:val="005044A9"/>
    <w:rsid w:val="00504CB6"/>
    <w:rsid w:val="00505384"/>
    <w:rsid w:val="0050633E"/>
    <w:rsid w:val="005065AF"/>
    <w:rsid w:val="005067BB"/>
    <w:rsid w:val="00506A25"/>
    <w:rsid w:val="00506F56"/>
    <w:rsid w:val="0050702C"/>
    <w:rsid w:val="00507D7A"/>
    <w:rsid w:val="00510ED7"/>
    <w:rsid w:val="00511475"/>
    <w:rsid w:val="00512D17"/>
    <w:rsid w:val="005137EC"/>
    <w:rsid w:val="005141C8"/>
    <w:rsid w:val="00515925"/>
    <w:rsid w:val="00515AAA"/>
    <w:rsid w:val="0051677E"/>
    <w:rsid w:val="00516F99"/>
    <w:rsid w:val="005178DF"/>
    <w:rsid w:val="00517EC9"/>
    <w:rsid w:val="005200DA"/>
    <w:rsid w:val="00520392"/>
    <w:rsid w:val="005207C6"/>
    <w:rsid w:val="00521B2A"/>
    <w:rsid w:val="00521BFD"/>
    <w:rsid w:val="00521ECC"/>
    <w:rsid w:val="005222AB"/>
    <w:rsid w:val="005222EE"/>
    <w:rsid w:val="005226F2"/>
    <w:rsid w:val="00522BBF"/>
    <w:rsid w:val="00523F21"/>
    <w:rsid w:val="005244F5"/>
    <w:rsid w:val="005247C2"/>
    <w:rsid w:val="00524CD7"/>
    <w:rsid w:val="00525353"/>
    <w:rsid w:val="005256F2"/>
    <w:rsid w:val="00525E6C"/>
    <w:rsid w:val="00525E86"/>
    <w:rsid w:val="00526614"/>
    <w:rsid w:val="00527213"/>
    <w:rsid w:val="0053078B"/>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3728A"/>
    <w:rsid w:val="0053753F"/>
    <w:rsid w:val="0054131F"/>
    <w:rsid w:val="005414A2"/>
    <w:rsid w:val="0054165C"/>
    <w:rsid w:val="00541922"/>
    <w:rsid w:val="00541C0D"/>
    <w:rsid w:val="005420F2"/>
    <w:rsid w:val="00544AE6"/>
    <w:rsid w:val="0054520B"/>
    <w:rsid w:val="005462D5"/>
    <w:rsid w:val="005466D3"/>
    <w:rsid w:val="00546B3A"/>
    <w:rsid w:val="00546D15"/>
    <w:rsid w:val="005474F2"/>
    <w:rsid w:val="00547558"/>
    <w:rsid w:val="0054792E"/>
    <w:rsid w:val="00547AAB"/>
    <w:rsid w:val="00547C96"/>
    <w:rsid w:val="00550634"/>
    <w:rsid w:val="00550938"/>
    <w:rsid w:val="00551959"/>
    <w:rsid w:val="00552C2C"/>
    <w:rsid w:val="00553784"/>
    <w:rsid w:val="00553C53"/>
    <w:rsid w:val="00553F44"/>
    <w:rsid w:val="005546D8"/>
    <w:rsid w:val="00554746"/>
    <w:rsid w:val="00555A73"/>
    <w:rsid w:val="00555C40"/>
    <w:rsid w:val="00556409"/>
    <w:rsid w:val="0055676F"/>
    <w:rsid w:val="00556D61"/>
    <w:rsid w:val="00556E26"/>
    <w:rsid w:val="00557109"/>
    <w:rsid w:val="0055719B"/>
    <w:rsid w:val="00557364"/>
    <w:rsid w:val="00557E1A"/>
    <w:rsid w:val="00560225"/>
    <w:rsid w:val="00562142"/>
    <w:rsid w:val="005623D2"/>
    <w:rsid w:val="00562EF1"/>
    <w:rsid w:val="0056305D"/>
    <w:rsid w:val="0056325D"/>
    <w:rsid w:val="00563A61"/>
    <w:rsid w:val="00564378"/>
    <w:rsid w:val="0056461D"/>
    <w:rsid w:val="00564711"/>
    <w:rsid w:val="0056522F"/>
    <w:rsid w:val="00566F70"/>
    <w:rsid w:val="005674CA"/>
    <w:rsid w:val="00567552"/>
    <w:rsid w:val="005721F9"/>
    <w:rsid w:val="005724FB"/>
    <w:rsid w:val="005726B5"/>
    <w:rsid w:val="00572E6F"/>
    <w:rsid w:val="005731CB"/>
    <w:rsid w:val="00573470"/>
    <w:rsid w:val="005744EC"/>
    <w:rsid w:val="00575544"/>
    <w:rsid w:val="00575D2C"/>
    <w:rsid w:val="00576F06"/>
    <w:rsid w:val="005774D2"/>
    <w:rsid w:val="00577F5F"/>
    <w:rsid w:val="00577F69"/>
    <w:rsid w:val="00580186"/>
    <w:rsid w:val="00580A39"/>
    <w:rsid w:val="00582003"/>
    <w:rsid w:val="00582BD5"/>
    <w:rsid w:val="0058386B"/>
    <w:rsid w:val="00583C1C"/>
    <w:rsid w:val="00584547"/>
    <w:rsid w:val="00584747"/>
    <w:rsid w:val="005849FC"/>
    <w:rsid w:val="00584C85"/>
    <w:rsid w:val="005850CE"/>
    <w:rsid w:val="00585A8B"/>
    <w:rsid w:val="00585AE6"/>
    <w:rsid w:val="005863D3"/>
    <w:rsid w:val="00586551"/>
    <w:rsid w:val="00587EC3"/>
    <w:rsid w:val="00590935"/>
    <w:rsid w:val="0059173D"/>
    <w:rsid w:val="0059196B"/>
    <w:rsid w:val="005919D9"/>
    <w:rsid w:val="00592CDB"/>
    <w:rsid w:val="0059357C"/>
    <w:rsid w:val="00593796"/>
    <w:rsid w:val="00593898"/>
    <w:rsid w:val="005942D8"/>
    <w:rsid w:val="00594780"/>
    <w:rsid w:val="005957A4"/>
    <w:rsid w:val="00596263"/>
    <w:rsid w:val="005963C4"/>
    <w:rsid w:val="00597514"/>
    <w:rsid w:val="005A1160"/>
    <w:rsid w:val="005A1952"/>
    <w:rsid w:val="005A19E7"/>
    <w:rsid w:val="005A1AAF"/>
    <w:rsid w:val="005A272A"/>
    <w:rsid w:val="005A2F19"/>
    <w:rsid w:val="005A2F36"/>
    <w:rsid w:val="005A3229"/>
    <w:rsid w:val="005A3C05"/>
    <w:rsid w:val="005A3FDB"/>
    <w:rsid w:val="005A4048"/>
    <w:rsid w:val="005A4BDB"/>
    <w:rsid w:val="005A4E91"/>
    <w:rsid w:val="005A501A"/>
    <w:rsid w:val="005A5503"/>
    <w:rsid w:val="005A5859"/>
    <w:rsid w:val="005A5DFB"/>
    <w:rsid w:val="005A73DF"/>
    <w:rsid w:val="005A77A2"/>
    <w:rsid w:val="005B13E1"/>
    <w:rsid w:val="005B2FE4"/>
    <w:rsid w:val="005B3DB3"/>
    <w:rsid w:val="005B431E"/>
    <w:rsid w:val="005B46B5"/>
    <w:rsid w:val="005B51AE"/>
    <w:rsid w:val="005B5698"/>
    <w:rsid w:val="005B648D"/>
    <w:rsid w:val="005B70D5"/>
    <w:rsid w:val="005B7300"/>
    <w:rsid w:val="005B7A5B"/>
    <w:rsid w:val="005C00D2"/>
    <w:rsid w:val="005C01AB"/>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C6FA6"/>
    <w:rsid w:val="005D04F8"/>
    <w:rsid w:val="005D060B"/>
    <w:rsid w:val="005D0BE4"/>
    <w:rsid w:val="005D1EC5"/>
    <w:rsid w:val="005D1FFC"/>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5D18"/>
    <w:rsid w:val="005E607A"/>
    <w:rsid w:val="005E6EB6"/>
    <w:rsid w:val="005F0558"/>
    <w:rsid w:val="005F1BC6"/>
    <w:rsid w:val="005F1BD1"/>
    <w:rsid w:val="005F2CAF"/>
    <w:rsid w:val="005F46D0"/>
    <w:rsid w:val="005F4813"/>
    <w:rsid w:val="005F48DA"/>
    <w:rsid w:val="005F4F7A"/>
    <w:rsid w:val="005F587C"/>
    <w:rsid w:val="005F61E8"/>
    <w:rsid w:val="00600AD3"/>
    <w:rsid w:val="006010C1"/>
    <w:rsid w:val="006010C9"/>
    <w:rsid w:val="0060121A"/>
    <w:rsid w:val="00601760"/>
    <w:rsid w:val="00601CAE"/>
    <w:rsid w:val="00601E3C"/>
    <w:rsid w:val="00601F63"/>
    <w:rsid w:val="0060263C"/>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49D9"/>
    <w:rsid w:val="00615517"/>
    <w:rsid w:val="0061584B"/>
    <w:rsid w:val="00615A68"/>
    <w:rsid w:val="00615B09"/>
    <w:rsid w:val="00615CC2"/>
    <w:rsid w:val="00615DBD"/>
    <w:rsid w:val="00615E0D"/>
    <w:rsid w:val="0061713D"/>
    <w:rsid w:val="006173FA"/>
    <w:rsid w:val="006176FB"/>
    <w:rsid w:val="00617826"/>
    <w:rsid w:val="00617A4C"/>
    <w:rsid w:val="00617ADE"/>
    <w:rsid w:val="006215C6"/>
    <w:rsid w:val="006221F3"/>
    <w:rsid w:val="006229A1"/>
    <w:rsid w:val="00623259"/>
    <w:rsid w:val="00623478"/>
    <w:rsid w:val="00624CEA"/>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5FAA"/>
    <w:rsid w:val="00636108"/>
    <w:rsid w:val="006363B0"/>
    <w:rsid w:val="0063767D"/>
    <w:rsid w:val="006378F4"/>
    <w:rsid w:val="00637927"/>
    <w:rsid w:val="00640B26"/>
    <w:rsid w:val="00640DA3"/>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2A9B"/>
    <w:rsid w:val="00653086"/>
    <w:rsid w:val="0065343B"/>
    <w:rsid w:val="00653F63"/>
    <w:rsid w:val="006550BD"/>
    <w:rsid w:val="0065545C"/>
    <w:rsid w:val="00655780"/>
    <w:rsid w:val="0065603A"/>
    <w:rsid w:val="00661E6F"/>
    <w:rsid w:val="006624FC"/>
    <w:rsid w:val="0066260B"/>
    <w:rsid w:val="0066271F"/>
    <w:rsid w:val="006629BD"/>
    <w:rsid w:val="0066452E"/>
    <w:rsid w:val="00664860"/>
    <w:rsid w:val="00664CBD"/>
    <w:rsid w:val="00664D80"/>
    <w:rsid w:val="00665579"/>
    <w:rsid w:val="00665595"/>
    <w:rsid w:val="0066689D"/>
    <w:rsid w:val="00666CBE"/>
    <w:rsid w:val="006670A1"/>
    <w:rsid w:val="006672AB"/>
    <w:rsid w:val="0067061D"/>
    <w:rsid w:val="00670A2B"/>
    <w:rsid w:val="00671DC5"/>
    <w:rsid w:val="00671EBF"/>
    <w:rsid w:val="0067202C"/>
    <w:rsid w:val="00673E78"/>
    <w:rsid w:val="006743E6"/>
    <w:rsid w:val="006748E5"/>
    <w:rsid w:val="006748FD"/>
    <w:rsid w:val="0067544C"/>
    <w:rsid w:val="006756A6"/>
    <w:rsid w:val="00675A14"/>
    <w:rsid w:val="00675DBE"/>
    <w:rsid w:val="006767BF"/>
    <w:rsid w:val="00676F89"/>
    <w:rsid w:val="006773FC"/>
    <w:rsid w:val="00677B53"/>
    <w:rsid w:val="006809E9"/>
    <w:rsid w:val="006815C1"/>
    <w:rsid w:val="00681C44"/>
    <w:rsid w:val="00682395"/>
    <w:rsid w:val="00682662"/>
    <w:rsid w:val="00683364"/>
    <w:rsid w:val="0068337B"/>
    <w:rsid w:val="00683383"/>
    <w:rsid w:val="00683445"/>
    <w:rsid w:val="00684C34"/>
    <w:rsid w:val="006850FC"/>
    <w:rsid w:val="0068532E"/>
    <w:rsid w:val="00685508"/>
    <w:rsid w:val="00685C6E"/>
    <w:rsid w:val="00687099"/>
    <w:rsid w:val="00687893"/>
    <w:rsid w:val="00690AB2"/>
    <w:rsid w:val="00690C05"/>
    <w:rsid w:val="006926E8"/>
    <w:rsid w:val="00692DE9"/>
    <w:rsid w:val="006936D4"/>
    <w:rsid w:val="00693EC9"/>
    <w:rsid w:val="00694005"/>
    <w:rsid w:val="0069539D"/>
    <w:rsid w:val="006954F3"/>
    <w:rsid w:val="006959AD"/>
    <w:rsid w:val="00695E90"/>
    <w:rsid w:val="0069602D"/>
    <w:rsid w:val="00696776"/>
    <w:rsid w:val="00697388"/>
    <w:rsid w:val="006976D4"/>
    <w:rsid w:val="006976E5"/>
    <w:rsid w:val="006A0231"/>
    <w:rsid w:val="006A07BA"/>
    <w:rsid w:val="006A0904"/>
    <w:rsid w:val="006A1F15"/>
    <w:rsid w:val="006A2E7D"/>
    <w:rsid w:val="006A30C5"/>
    <w:rsid w:val="006A35C1"/>
    <w:rsid w:val="006A41B0"/>
    <w:rsid w:val="006A4A29"/>
    <w:rsid w:val="006A4E4D"/>
    <w:rsid w:val="006A516A"/>
    <w:rsid w:val="006A5979"/>
    <w:rsid w:val="006A657E"/>
    <w:rsid w:val="006A6ACF"/>
    <w:rsid w:val="006A7392"/>
    <w:rsid w:val="006B03EA"/>
    <w:rsid w:val="006B075E"/>
    <w:rsid w:val="006B09EE"/>
    <w:rsid w:val="006B1DC1"/>
    <w:rsid w:val="006B295C"/>
    <w:rsid w:val="006B3BAA"/>
    <w:rsid w:val="006B3BC0"/>
    <w:rsid w:val="006B3E82"/>
    <w:rsid w:val="006B426F"/>
    <w:rsid w:val="006B5A40"/>
    <w:rsid w:val="006B5EB9"/>
    <w:rsid w:val="006B5F39"/>
    <w:rsid w:val="006B6BB2"/>
    <w:rsid w:val="006B6D99"/>
    <w:rsid w:val="006B7036"/>
    <w:rsid w:val="006B7901"/>
    <w:rsid w:val="006B7A22"/>
    <w:rsid w:val="006B7BA0"/>
    <w:rsid w:val="006C0979"/>
    <w:rsid w:val="006C09C2"/>
    <w:rsid w:val="006C17D5"/>
    <w:rsid w:val="006C1800"/>
    <w:rsid w:val="006C2466"/>
    <w:rsid w:val="006C2666"/>
    <w:rsid w:val="006C2BCF"/>
    <w:rsid w:val="006C3668"/>
    <w:rsid w:val="006C395D"/>
    <w:rsid w:val="006C3F2A"/>
    <w:rsid w:val="006C507B"/>
    <w:rsid w:val="006C5266"/>
    <w:rsid w:val="006C5E27"/>
    <w:rsid w:val="006C63D0"/>
    <w:rsid w:val="006C6B53"/>
    <w:rsid w:val="006C6EC4"/>
    <w:rsid w:val="006C77F5"/>
    <w:rsid w:val="006D0CC6"/>
    <w:rsid w:val="006D245F"/>
    <w:rsid w:val="006D24AD"/>
    <w:rsid w:val="006D2875"/>
    <w:rsid w:val="006D28EE"/>
    <w:rsid w:val="006D2D5B"/>
    <w:rsid w:val="006D2FE1"/>
    <w:rsid w:val="006D332E"/>
    <w:rsid w:val="006D4452"/>
    <w:rsid w:val="006D548F"/>
    <w:rsid w:val="006D55B1"/>
    <w:rsid w:val="006D5C31"/>
    <w:rsid w:val="006D6712"/>
    <w:rsid w:val="006D6F6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396"/>
    <w:rsid w:val="006E6A13"/>
    <w:rsid w:val="006E6C0D"/>
    <w:rsid w:val="006E6D3C"/>
    <w:rsid w:val="006E6DE8"/>
    <w:rsid w:val="006E7551"/>
    <w:rsid w:val="006F18E9"/>
    <w:rsid w:val="006F40C3"/>
    <w:rsid w:val="006F4B0C"/>
    <w:rsid w:val="006F4E0B"/>
    <w:rsid w:val="006F4F6B"/>
    <w:rsid w:val="006F51FB"/>
    <w:rsid w:val="006F522D"/>
    <w:rsid w:val="006F5269"/>
    <w:rsid w:val="006F57CD"/>
    <w:rsid w:val="006F5CC9"/>
    <w:rsid w:val="006F664B"/>
    <w:rsid w:val="006F6CE9"/>
    <w:rsid w:val="006F7B93"/>
    <w:rsid w:val="006F7C51"/>
    <w:rsid w:val="00700845"/>
    <w:rsid w:val="00700C03"/>
    <w:rsid w:val="00701152"/>
    <w:rsid w:val="00701C3E"/>
    <w:rsid w:val="0070272D"/>
    <w:rsid w:val="007035A8"/>
    <w:rsid w:val="00703DE2"/>
    <w:rsid w:val="0070413F"/>
    <w:rsid w:val="00704341"/>
    <w:rsid w:val="00704497"/>
    <w:rsid w:val="00705AC8"/>
    <w:rsid w:val="00707424"/>
    <w:rsid w:val="007078E9"/>
    <w:rsid w:val="00707AF1"/>
    <w:rsid w:val="00707C07"/>
    <w:rsid w:val="00707CB7"/>
    <w:rsid w:val="007100E8"/>
    <w:rsid w:val="0071166F"/>
    <w:rsid w:val="00711E19"/>
    <w:rsid w:val="00711ECB"/>
    <w:rsid w:val="00712F7D"/>
    <w:rsid w:val="00714A93"/>
    <w:rsid w:val="00714AF6"/>
    <w:rsid w:val="00715486"/>
    <w:rsid w:val="007156D5"/>
    <w:rsid w:val="007159C3"/>
    <w:rsid w:val="0071676A"/>
    <w:rsid w:val="00717A72"/>
    <w:rsid w:val="00720779"/>
    <w:rsid w:val="0072117C"/>
    <w:rsid w:val="00721521"/>
    <w:rsid w:val="00721608"/>
    <w:rsid w:val="0072178A"/>
    <w:rsid w:val="00721BA4"/>
    <w:rsid w:val="00721C14"/>
    <w:rsid w:val="00721E0A"/>
    <w:rsid w:val="007228B9"/>
    <w:rsid w:val="00722CB8"/>
    <w:rsid w:val="00723FC0"/>
    <w:rsid w:val="0072410C"/>
    <w:rsid w:val="00724232"/>
    <w:rsid w:val="00724D6C"/>
    <w:rsid w:val="0072632A"/>
    <w:rsid w:val="00726B76"/>
    <w:rsid w:val="00726C1A"/>
    <w:rsid w:val="00726D1B"/>
    <w:rsid w:val="00727DBD"/>
    <w:rsid w:val="0073018D"/>
    <w:rsid w:val="00730E74"/>
    <w:rsid w:val="00731BA4"/>
    <w:rsid w:val="00731C05"/>
    <w:rsid w:val="007324BE"/>
    <w:rsid w:val="00732AD2"/>
    <w:rsid w:val="00732C05"/>
    <w:rsid w:val="00732E09"/>
    <w:rsid w:val="007338FF"/>
    <w:rsid w:val="00734E39"/>
    <w:rsid w:val="0073539E"/>
    <w:rsid w:val="0073549C"/>
    <w:rsid w:val="007363F6"/>
    <w:rsid w:val="0073646C"/>
    <w:rsid w:val="007366D4"/>
    <w:rsid w:val="00736DDF"/>
    <w:rsid w:val="0073764C"/>
    <w:rsid w:val="00737915"/>
    <w:rsid w:val="00737960"/>
    <w:rsid w:val="00740D54"/>
    <w:rsid w:val="0074186C"/>
    <w:rsid w:val="00741F79"/>
    <w:rsid w:val="00742788"/>
    <w:rsid w:val="00743E6D"/>
    <w:rsid w:val="0074459E"/>
    <w:rsid w:val="00744DDC"/>
    <w:rsid w:val="00745285"/>
    <w:rsid w:val="00745AD0"/>
    <w:rsid w:val="007463B3"/>
    <w:rsid w:val="00746B17"/>
    <w:rsid w:val="00747E61"/>
    <w:rsid w:val="00747EC5"/>
    <w:rsid w:val="007509E7"/>
    <w:rsid w:val="00751797"/>
    <w:rsid w:val="00751F2A"/>
    <w:rsid w:val="00754529"/>
    <w:rsid w:val="00754996"/>
    <w:rsid w:val="0075573A"/>
    <w:rsid w:val="00757D16"/>
    <w:rsid w:val="00757D96"/>
    <w:rsid w:val="00757DB2"/>
    <w:rsid w:val="00760633"/>
    <w:rsid w:val="0076158B"/>
    <w:rsid w:val="00761EBB"/>
    <w:rsid w:val="007624CB"/>
    <w:rsid w:val="007628AB"/>
    <w:rsid w:val="00763359"/>
    <w:rsid w:val="007638C6"/>
    <w:rsid w:val="007641B8"/>
    <w:rsid w:val="007641F2"/>
    <w:rsid w:val="00764A26"/>
    <w:rsid w:val="007654CA"/>
    <w:rsid w:val="007656C6"/>
    <w:rsid w:val="00765D95"/>
    <w:rsid w:val="00766D0C"/>
    <w:rsid w:val="0077045C"/>
    <w:rsid w:val="0077070E"/>
    <w:rsid w:val="00770FB1"/>
    <w:rsid w:val="007714EA"/>
    <w:rsid w:val="00772451"/>
    <w:rsid w:val="00772821"/>
    <w:rsid w:val="0077290F"/>
    <w:rsid w:val="00772A4F"/>
    <w:rsid w:val="00772D55"/>
    <w:rsid w:val="00773503"/>
    <w:rsid w:val="0077409C"/>
    <w:rsid w:val="007741F7"/>
    <w:rsid w:val="00775151"/>
    <w:rsid w:val="00775795"/>
    <w:rsid w:val="0077651B"/>
    <w:rsid w:val="00776A70"/>
    <w:rsid w:val="00777712"/>
    <w:rsid w:val="00777AC1"/>
    <w:rsid w:val="00777C57"/>
    <w:rsid w:val="00777E41"/>
    <w:rsid w:val="007813D1"/>
    <w:rsid w:val="00781609"/>
    <w:rsid w:val="00781705"/>
    <w:rsid w:val="007817C5"/>
    <w:rsid w:val="00781840"/>
    <w:rsid w:val="00782423"/>
    <w:rsid w:val="007833A5"/>
    <w:rsid w:val="00784016"/>
    <w:rsid w:val="0078528F"/>
    <w:rsid w:val="00787279"/>
    <w:rsid w:val="007874E7"/>
    <w:rsid w:val="00787B5A"/>
    <w:rsid w:val="00790A65"/>
    <w:rsid w:val="00790C91"/>
    <w:rsid w:val="00790D7D"/>
    <w:rsid w:val="00790D9A"/>
    <w:rsid w:val="007920C2"/>
    <w:rsid w:val="007927C0"/>
    <w:rsid w:val="00793F89"/>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20E9"/>
    <w:rsid w:val="007A2556"/>
    <w:rsid w:val="007A26C0"/>
    <w:rsid w:val="007A2D84"/>
    <w:rsid w:val="007A31CE"/>
    <w:rsid w:val="007A3CB8"/>
    <w:rsid w:val="007A3D41"/>
    <w:rsid w:val="007A3F98"/>
    <w:rsid w:val="007A43A1"/>
    <w:rsid w:val="007A496C"/>
    <w:rsid w:val="007A5641"/>
    <w:rsid w:val="007A5835"/>
    <w:rsid w:val="007A5DB4"/>
    <w:rsid w:val="007A63DF"/>
    <w:rsid w:val="007A6775"/>
    <w:rsid w:val="007A6D49"/>
    <w:rsid w:val="007A6FCA"/>
    <w:rsid w:val="007B01AA"/>
    <w:rsid w:val="007B15F6"/>
    <w:rsid w:val="007B166F"/>
    <w:rsid w:val="007B1B2F"/>
    <w:rsid w:val="007B3582"/>
    <w:rsid w:val="007B3BA2"/>
    <w:rsid w:val="007B3C2C"/>
    <w:rsid w:val="007B4B02"/>
    <w:rsid w:val="007B4C72"/>
    <w:rsid w:val="007B57EE"/>
    <w:rsid w:val="007B5898"/>
    <w:rsid w:val="007B5960"/>
    <w:rsid w:val="007B6325"/>
    <w:rsid w:val="007B6800"/>
    <w:rsid w:val="007B6BA5"/>
    <w:rsid w:val="007C0267"/>
    <w:rsid w:val="007C05A9"/>
    <w:rsid w:val="007C0F80"/>
    <w:rsid w:val="007C1028"/>
    <w:rsid w:val="007C327E"/>
    <w:rsid w:val="007C3390"/>
    <w:rsid w:val="007C41B1"/>
    <w:rsid w:val="007C41E4"/>
    <w:rsid w:val="007C420C"/>
    <w:rsid w:val="007C4C6B"/>
    <w:rsid w:val="007C4F4B"/>
    <w:rsid w:val="007D0179"/>
    <w:rsid w:val="007D0825"/>
    <w:rsid w:val="007D0A5D"/>
    <w:rsid w:val="007D0D24"/>
    <w:rsid w:val="007D0D98"/>
    <w:rsid w:val="007D1FEA"/>
    <w:rsid w:val="007D25CC"/>
    <w:rsid w:val="007D2FE3"/>
    <w:rsid w:val="007D3078"/>
    <w:rsid w:val="007D3508"/>
    <w:rsid w:val="007D352E"/>
    <w:rsid w:val="007D3EFF"/>
    <w:rsid w:val="007D435D"/>
    <w:rsid w:val="007D44A9"/>
    <w:rsid w:val="007D4E44"/>
    <w:rsid w:val="007D4E68"/>
    <w:rsid w:val="007D54DA"/>
    <w:rsid w:val="007D633B"/>
    <w:rsid w:val="007D66C6"/>
    <w:rsid w:val="007D747C"/>
    <w:rsid w:val="007E0651"/>
    <w:rsid w:val="007E1056"/>
    <w:rsid w:val="007E1267"/>
    <w:rsid w:val="007E13DF"/>
    <w:rsid w:val="007E1680"/>
    <w:rsid w:val="007E1844"/>
    <w:rsid w:val="007E2169"/>
    <w:rsid w:val="007E23C0"/>
    <w:rsid w:val="007E24EC"/>
    <w:rsid w:val="007E277C"/>
    <w:rsid w:val="007E2FA5"/>
    <w:rsid w:val="007E3436"/>
    <w:rsid w:val="007E3469"/>
    <w:rsid w:val="007E3CAA"/>
    <w:rsid w:val="007E494E"/>
    <w:rsid w:val="007E6088"/>
    <w:rsid w:val="007E6898"/>
    <w:rsid w:val="007E6AD3"/>
    <w:rsid w:val="007E70FC"/>
    <w:rsid w:val="007E73AE"/>
    <w:rsid w:val="007E7CAC"/>
    <w:rsid w:val="007F0B83"/>
    <w:rsid w:val="007F0D33"/>
    <w:rsid w:val="007F1716"/>
    <w:rsid w:val="007F1CDA"/>
    <w:rsid w:val="007F281E"/>
    <w:rsid w:val="007F3BA5"/>
    <w:rsid w:val="007F41F7"/>
    <w:rsid w:val="007F561B"/>
    <w:rsid w:val="007F601B"/>
    <w:rsid w:val="007F6206"/>
    <w:rsid w:val="007F6611"/>
    <w:rsid w:val="007F6AF0"/>
    <w:rsid w:val="00800E01"/>
    <w:rsid w:val="00800FFD"/>
    <w:rsid w:val="008017DB"/>
    <w:rsid w:val="00802147"/>
    <w:rsid w:val="00802BAA"/>
    <w:rsid w:val="00803CBD"/>
    <w:rsid w:val="00803CFE"/>
    <w:rsid w:val="008042C3"/>
    <w:rsid w:val="00806003"/>
    <w:rsid w:val="008062A4"/>
    <w:rsid w:val="00806CCF"/>
    <w:rsid w:val="00806F08"/>
    <w:rsid w:val="008072B2"/>
    <w:rsid w:val="00807304"/>
    <w:rsid w:val="00807519"/>
    <w:rsid w:val="00807960"/>
    <w:rsid w:val="00807C1F"/>
    <w:rsid w:val="00810FF9"/>
    <w:rsid w:val="00811583"/>
    <w:rsid w:val="0081185B"/>
    <w:rsid w:val="008118DC"/>
    <w:rsid w:val="008118FA"/>
    <w:rsid w:val="00811921"/>
    <w:rsid w:val="00811F53"/>
    <w:rsid w:val="00813540"/>
    <w:rsid w:val="008137DF"/>
    <w:rsid w:val="00813E02"/>
    <w:rsid w:val="00814D5A"/>
    <w:rsid w:val="00815CBB"/>
    <w:rsid w:val="008161CE"/>
    <w:rsid w:val="00816B39"/>
    <w:rsid w:val="00816E68"/>
    <w:rsid w:val="00817019"/>
    <w:rsid w:val="008175E9"/>
    <w:rsid w:val="0081765E"/>
    <w:rsid w:val="00817879"/>
    <w:rsid w:val="008202FA"/>
    <w:rsid w:val="00820F00"/>
    <w:rsid w:val="00820FF1"/>
    <w:rsid w:val="008218E4"/>
    <w:rsid w:val="00822087"/>
    <w:rsid w:val="00822231"/>
    <w:rsid w:val="00822F65"/>
    <w:rsid w:val="00823F20"/>
    <w:rsid w:val="008240A3"/>
    <w:rsid w:val="008242D7"/>
    <w:rsid w:val="008244E6"/>
    <w:rsid w:val="00824B59"/>
    <w:rsid w:val="008254B2"/>
    <w:rsid w:val="00825947"/>
    <w:rsid w:val="008259BE"/>
    <w:rsid w:val="00825D0F"/>
    <w:rsid w:val="00825F1A"/>
    <w:rsid w:val="0082604F"/>
    <w:rsid w:val="00826267"/>
    <w:rsid w:val="00826E2B"/>
    <w:rsid w:val="008276C7"/>
    <w:rsid w:val="0082793C"/>
    <w:rsid w:val="00827E05"/>
    <w:rsid w:val="00830782"/>
    <w:rsid w:val="00830E2A"/>
    <w:rsid w:val="008311A3"/>
    <w:rsid w:val="00831D2E"/>
    <w:rsid w:val="0083489A"/>
    <w:rsid w:val="00834AFA"/>
    <w:rsid w:val="008350CD"/>
    <w:rsid w:val="0083588D"/>
    <w:rsid w:val="008359CC"/>
    <w:rsid w:val="00836322"/>
    <w:rsid w:val="00836411"/>
    <w:rsid w:val="00836B2B"/>
    <w:rsid w:val="00836D36"/>
    <w:rsid w:val="0083738E"/>
    <w:rsid w:val="008375D1"/>
    <w:rsid w:val="00837F07"/>
    <w:rsid w:val="00840C0E"/>
    <w:rsid w:val="008421E2"/>
    <w:rsid w:val="0084359E"/>
    <w:rsid w:val="008436D7"/>
    <w:rsid w:val="00843978"/>
    <w:rsid w:val="00843BF5"/>
    <w:rsid w:val="00843C1D"/>
    <w:rsid w:val="00844042"/>
    <w:rsid w:val="008441FB"/>
    <w:rsid w:val="00844654"/>
    <w:rsid w:val="008458D3"/>
    <w:rsid w:val="00846E5D"/>
    <w:rsid w:val="00847E86"/>
    <w:rsid w:val="00850E0C"/>
    <w:rsid w:val="00851335"/>
    <w:rsid w:val="00851F8E"/>
    <w:rsid w:val="008521E4"/>
    <w:rsid w:val="008523C4"/>
    <w:rsid w:val="008528E0"/>
    <w:rsid w:val="00853BFE"/>
    <w:rsid w:val="008541AC"/>
    <w:rsid w:val="00854C89"/>
    <w:rsid w:val="00855010"/>
    <w:rsid w:val="00855817"/>
    <w:rsid w:val="00856875"/>
    <w:rsid w:val="00856C69"/>
    <w:rsid w:val="00860140"/>
    <w:rsid w:val="00861E14"/>
    <w:rsid w:val="00862648"/>
    <w:rsid w:val="0086291E"/>
    <w:rsid w:val="00862A5C"/>
    <w:rsid w:val="00862B11"/>
    <w:rsid w:val="00862C74"/>
    <w:rsid w:val="0086391D"/>
    <w:rsid w:val="0086481F"/>
    <w:rsid w:val="00865599"/>
    <w:rsid w:val="008677B3"/>
    <w:rsid w:val="008704E9"/>
    <w:rsid w:val="00870AC1"/>
    <w:rsid w:val="0087169F"/>
    <w:rsid w:val="00871D87"/>
    <w:rsid w:val="00871EF0"/>
    <w:rsid w:val="00871FD5"/>
    <w:rsid w:val="00872568"/>
    <w:rsid w:val="00872F52"/>
    <w:rsid w:val="00873420"/>
    <w:rsid w:val="00873B13"/>
    <w:rsid w:val="008743EF"/>
    <w:rsid w:val="00874AB6"/>
    <w:rsid w:val="008752BB"/>
    <w:rsid w:val="00875785"/>
    <w:rsid w:val="00875F20"/>
    <w:rsid w:val="00877D20"/>
    <w:rsid w:val="00877D4C"/>
    <w:rsid w:val="00877F11"/>
    <w:rsid w:val="00877F47"/>
    <w:rsid w:val="00880286"/>
    <w:rsid w:val="008807A4"/>
    <w:rsid w:val="00881411"/>
    <w:rsid w:val="0088150E"/>
    <w:rsid w:val="00881992"/>
    <w:rsid w:val="008821D9"/>
    <w:rsid w:val="008824EB"/>
    <w:rsid w:val="00882D53"/>
    <w:rsid w:val="0088324F"/>
    <w:rsid w:val="008847F1"/>
    <w:rsid w:val="0088481C"/>
    <w:rsid w:val="00885908"/>
    <w:rsid w:val="00887D6F"/>
    <w:rsid w:val="00887D97"/>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A7DE5"/>
    <w:rsid w:val="008B0E3B"/>
    <w:rsid w:val="008B1344"/>
    <w:rsid w:val="008B2454"/>
    <w:rsid w:val="008B2727"/>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997"/>
    <w:rsid w:val="008C4149"/>
    <w:rsid w:val="008C63BA"/>
    <w:rsid w:val="008C74A6"/>
    <w:rsid w:val="008C76EE"/>
    <w:rsid w:val="008C7FDF"/>
    <w:rsid w:val="008D010E"/>
    <w:rsid w:val="008D02BB"/>
    <w:rsid w:val="008D0443"/>
    <w:rsid w:val="008D0C85"/>
    <w:rsid w:val="008D176A"/>
    <w:rsid w:val="008D1954"/>
    <w:rsid w:val="008D1A60"/>
    <w:rsid w:val="008D3187"/>
    <w:rsid w:val="008D3EEC"/>
    <w:rsid w:val="008D55E0"/>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FE2"/>
    <w:rsid w:val="008E6248"/>
    <w:rsid w:val="008E669C"/>
    <w:rsid w:val="008E70BD"/>
    <w:rsid w:val="008E768A"/>
    <w:rsid w:val="008F02F2"/>
    <w:rsid w:val="008F1002"/>
    <w:rsid w:val="008F1E75"/>
    <w:rsid w:val="008F24ED"/>
    <w:rsid w:val="008F2A43"/>
    <w:rsid w:val="008F2D7F"/>
    <w:rsid w:val="008F393B"/>
    <w:rsid w:val="008F3E56"/>
    <w:rsid w:val="008F411B"/>
    <w:rsid w:val="008F59E5"/>
    <w:rsid w:val="008F6392"/>
    <w:rsid w:val="008F645E"/>
    <w:rsid w:val="008F6E0A"/>
    <w:rsid w:val="008F7B12"/>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A1C"/>
    <w:rsid w:val="00913C47"/>
    <w:rsid w:val="009145D4"/>
    <w:rsid w:val="00914814"/>
    <w:rsid w:val="00914CE3"/>
    <w:rsid w:val="00915927"/>
    <w:rsid w:val="009168B9"/>
    <w:rsid w:val="00916A93"/>
    <w:rsid w:val="00916B5E"/>
    <w:rsid w:val="00917B86"/>
    <w:rsid w:val="00917F0D"/>
    <w:rsid w:val="00920054"/>
    <w:rsid w:val="00920CB7"/>
    <w:rsid w:val="00920D3E"/>
    <w:rsid w:val="00922558"/>
    <w:rsid w:val="00922C04"/>
    <w:rsid w:val="0092420E"/>
    <w:rsid w:val="00924750"/>
    <w:rsid w:val="00925893"/>
    <w:rsid w:val="00925996"/>
    <w:rsid w:val="0092605C"/>
    <w:rsid w:val="00926FA5"/>
    <w:rsid w:val="00927853"/>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12C"/>
    <w:rsid w:val="0094031A"/>
    <w:rsid w:val="00940D27"/>
    <w:rsid w:val="0094207C"/>
    <w:rsid w:val="0094228D"/>
    <w:rsid w:val="00942910"/>
    <w:rsid w:val="00942B84"/>
    <w:rsid w:val="0094320C"/>
    <w:rsid w:val="00944DC5"/>
    <w:rsid w:val="00945687"/>
    <w:rsid w:val="009457A0"/>
    <w:rsid w:val="00945D50"/>
    <w:rsid w:val="00946757"/>
    <w:rsid w:val="00946A7E"/>
    <w:rsid w:val="009472EB"/>
    <w:rsid w:val="009472FA"/>
    <w:rsid w:val="009479C3"/>
    <w:rsid w:val="00947FD5"/>
    <w:rsid w:val="009501F1"/>
    <w:rsid w:val="009503F7"/>
    <w:rsid w:val="009506AF"/>
    <w:rsid w:val="00951000"/>
    <w:rsid w:val="00952435"/>
    <w:rsid w:val="009525C2"/>
    <w:rsid w:val="009525EC"/>
    <w:rsid w:val="00952664"/>
    <w:rsid w:val="00952CED"/>
    <w:rsid w:val="00952E0F"/>
    <w:rsid w:val="00953038"/>
    <w:rsid w:val="00953087"/>
    <w:rsid w:val="009539D6"/>
    <w:rsid w:val="0095454C"/>
    <w:rsid w:val="0095455D"/>
    <w:rsid w:val="00954798"/>
    <w:rsid w:val="009549FC"/>
    <w:rsid w:val="00954CAE"/>
    <w:rsid w:val="00955408"/>
    <w:rsid w:val="009562D1"/>
    <w:rsid w:val="009565DB"/>
    <w:rsid w:val="00957034"/>
    <w:rsid w:val="009574E6"/>
    <w:rsid w:val="0095778D"/>
    <w:rsid w:val="009579E8"/>
    <w:rsid w:val="00957C6A"/>
    <w:rsid w:val="009602AD"/>
    <w:rsid w:val="00960864"/>
    <w:rsid w:val="00960B1D"/>
    <w:rsid w:val="0096134F"/>
    <w:rsid w:val="00961952"/>
    <w:rsid w:val="00961F20"/>
    <w:rsid w:val="00961F6C"/>
    <w:rsid w:val="0096277A"/>
    <w:rsid w:val="0096316C"/>
    <w:rsid w:val="0096320C"/>
    <w:rsid w:val="00963228"/>
    <w:rsid w:val="00963CBA"/>
    <w:rsid w:val="009645A8"/>
    <w:rsid w:val="009660BF"/>
    <w:rsid w:val="0096730F"/>
    <w:rsid w:val="00970267"/>
    <w:rsid w:val="00970578"/>
    <w:rsid w:val="009707BB"/>
    <w:rsid w:val="00971057"/>
    <w:rsid w:val="00971ED2"/>
    <w:rsid w:val="00972BB8"/>
    <w:rsid w:val="009733D4"/>
    <w:rsid w:val="00974A8D"/>
    <w:rsid w:val="00974CAE"/>
    <w:rsid w:val="00974E00"/>
    <w:rsid w:val="00976F4D"/>
    <w:rsid w:val="009771A5"/>
    <w:rsid w:val="009773B5"/>
    <w:rsid w:val="0098097A"/>
    <w:rsid w:val="009816E7"/>
    <w:rsid w:val="0098192A"/>
    <w:rsid w:val="00982D31"/>
    <w:rsid w:val="0098363C"/>
    <w:rsid w:val="009848A4"/>
    <w:rsid w:val="009849EA"/>
    <w:rsid w:val="00985AFC"/>
    <w:rsid w:val="00986A60"/>
    <w:rsid w:val="00986E5C"/>
    <w:rsid w:val="0098797B"/>
    <w:rsid w:val="00987F86"/>
    <w:rsid w:val="009901A0"/>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EEC"/>
    <w:rsid w:val="00996EEF"/>
    <w:rsid w:val="00997025"/>
    <w:rsid w:val="009976F7"/>
    <w:rsid w:val="009978AC"/>
    <w:rsid w:val="00997B09"/>
    <w:rsid w:val="009A0862"/>
    <w:rsid w:val="009A106D"/>
    <w:rsid w:val="009A1257"/>
    <w:rsid w:val="009A12E7"/>
    <w:rsid w:val="009A1970"/>
    <w:rsid w:val="009A19FA"/>
    <w:rsid w:val="009A1C87"/>
    <w:rsid w:val="009A1EB7"/>
    <w:rsid w:val="009A1F81"/>
    <w:rsid w:val="009A222D"/>
    <w:rsid w:val="009A31CE"/>
    <w:rsid w:val="009A3293"/>
    <w:rsid w:val="009A3A77"/>
    <w:rsid w:val="009A3B44"/>
    <w:rsid w:val="009A4271"/>
    <w:rsid w:val="009A44E7"/>
    <w:rsid w:val="009A4DD5"/>
    <w:rsid w:val="009A4ED1"/>
    <w:rsid w:val="009A58B8"/>
    <w:rsid w:val="009A594A"/>
    <w:rsid w:val="009A59C1"/>
    <w:rsid w:val="009A5AC0"/>
    <w:rsid w:val="009A657D"/>
    <w:rsid w:val="009A6EF3"/>
    <w:rsid w:val="009A7012"/>
    <w:rsid w:val="009A7B4F"/>
    <w:rsid w:val="009B3E71"/>
    <w:rsid w:val="009B4026"/>
    <w:rsid w:val="009B4327"/>
    <w:rsid w:val="009B43ED"/>
    <w:rsid w:val="009B4DFB"/>
    <w:rsid w:val="009B5460"/>
    <w:rsid w:val="009B58A2"/>
    <w:rsid w:val="009B5CA5"/>
    <w:rsid w:val="009C1473"/>
    <w:rsid w:val="009C2FA5"/>
    <w:rsid w:val="009C34A2"/>
    <w:rsid w:val="009C35B5"/>
    <w:rsid w:val="009C3CB1"/>
    <w:rsid w:val="009C42BF"/>
    <w:rsid w:val="009C4B26"/>
    <w:rsid w:val="009C4C6D"/>
    <w:rsid w:val="009C55F2"/>
    <w:rsid w:val="009C5667"/>
    <w:rsid w:val="009C5D19"/>
    <w:rsid w:val="009C73E1"/>
    <w:rsid w:val="009C7562"/>
    <w:rsid w:val="009C7798"/>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4EE"/>
    <w:rsid w:val="009E5A0E"/>
    <w:rsid w:val="009E5AF0"/>
    <w:rsid w:val="009E71F6"/>
    <w:rsid w:val="009E7DA7"/>
    <w:rsid w:val="009F138C"/>
    <w:rsid w:val="009F21E9"/>
    <w:rsid w:val="009F230C"/>
    <w:rsid w:val="009F3A17"/>
    <w:rsid w:val="009F4F26"/>
    <w:rsid w:val="009F4F6A"/>
    <w:rsid w:val="009F6C71"/>
    <w:rsid w:val="009F717D"/>
    <w:rsid w:val="009F73FA"/>
    <w:rsid w:val="009F7B8F"/>
    <w:rsid w:val="009F7DBF"/>
    <w:rsid w:val="00A0034D"/>
    <w:rsid w:val="00A00755"/>
    <w:rsid w:val="00A0178B"/>
    <w:rsid w:val="00A02B4B"/>
    <w:rsid w:val="00A03415"/>
    <w:rsid w:val="00A03475"/>
    <w:rsid w:val="00A03802"/>
    <w:rsid w:val="00A049A3"/>
    <w:rsid w:val="00A05EE9"/>
    <w:rsid w:val="00A07367"/>
    <w:rsid w:val="00A07EBF"/>
    <w:rsid w:val="00A12B8C"/>
    <w:rsid w:val="00A1317B"/>
    <w:rsid w:val="00A13218"/>
    <w:rsid w:val="00A13F91"/>
    <w:rsid w:val="00A1427D"/>
    <w:rsid w:val="00A14E76"/>
    <w:rsid w:val="00A15890"/>
    <w:rsid w:val="00A17675"/>
    <w:rsid w:val="00A2080B"/>
    <w:rsid w:val="00A20CA9"/>
    <w:rsid w:val="00A211E4"/>
    <w:rsid w:val="00A21548"/>
    <w:rsid w:val="00A21F86"/>
    <w:rsid w:val="00A22316"/>
    <w:rsid w:val="00A22497"/>
    <w:rsid w:val="00A22D3B"/>
    <w:rsid w:val="00A23985"/>
    <w:rsid w:val="00A23C67"/>
    <w:rsid w:val="00A2457C"/>
    <w:rsid w:val="00A24907"/>
    <w:rsid w:val="00A24990"/>
    <w:rsid w:val="00A24CC4"/>
    <w:rsid w:val="00A24DC3"/>
    <w:rsid w:val="00A24F47"/>
    <w:rsid w:val="00A253E8"/>
    <w:rsid w:val="00A26010"/>
    <w:rsid w:val="00A267F2"/>
    <w:rsid w:val="00A26BFF"/>
    <w:rsid w:val="00A27301"/>
    <w:rsid w:val="00A27416"/>
    <w:rsid w:val="00A275E5"/>
    <w:rsid w:val="00A2790C"/>
    <w:rsid w:val="00A27F0B"/>
    <w:rsid w:val="00A309ED"/>
    <w:rsid w:val="00A3143D"/>
    <w:rsid w:val="00A31700"/>
    <w:rsid w:val="00A3200E"/>
    <w:rsid w:val="00A32CE0"/>
    <w:rsid w:val="00A330CE"/>
    <w:rsid w:val="00A3316F"/>
    <w:rsid w:val="00A342F6"/>
    <w:rsid w:val="00A34774"/>
    <w:rsid w:val="00A34A4C"/>
    <w:rsid w:val="00A34D75"/>
    <w:rsid w:val="00A36673"/>
    <w:rsid w:val="00A368F2"/>
    <w:rsid w:val="00A36B69"/>
    <w:rsid w:val="00A36E2A"/>
    <w:rsid w:val="00A376C2"/>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C2B"/>
    <w:rsid w:val="00A478ED"/>
    <w:rsid w:val="00A50D35"/>
    <w:rsid w:val="00A51445"/>
    <w:rsid w:val="00A51643"/>
    <w:rsid w:val="00A518B9"/>
    <w:rsid w:val="00A51E00"/>
    <w:rsid w:val="00A52110"/>
    <w:rsid w:val="00A52134"/>
    <w:rsid w:val="00A52282"/>
    <w:rsid w:val="00A534F4"/>
    <w:rsid w:val="00A5504F"/>
    <w:rsid w:val="00A5592C"/>
    <w:rsid w:val="00A559BE"/>
    <w:rsid w:val="00A56443"/>
    <w:rsid w:val="00A56AF0"/>
    <w:rsid w:val="00A56D79"/>
    <w:rsid w:val="00A56E4A"/>
    <w:rsid w:val="00A5739E"/>
    <w:rsid w:val="00A573F7"/>
    <w:rsid w:val="00A57B8A"/>
    <w:rsid w:val="00A57F3F"/>
    <w:rsid w:val="00A57FBC"/>
    <w:rsid w:val="00A6056F"/>
    <w:rsid w:val="00A60BFA"/>
    <w:rsid w:val="00A60E5B"/>
    <w:rsid w:val="00A626BB"/>
    <w:rsid w:val="00A6404C"/>
    <w:rsid w:val="00A64A38"/>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6BED"/>
    <w:rsid w:val="00A80947"/>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87B00"/>
    <w:rsid w:val="00A87FE4"/>
    <w:rsid w:val="00A9014C"/>
    <w:rsid w:val="00A9074A"/>
    <w:rsid w:val="00A90EDD"/>
    <w:rsid w:val="00A90F94"/>
    <w:rsid w:val="00A9143F"/>
    <w:rsid w:val="00A91449"/>
    <w:rsid w:val="00A91690"/>
    <w:rsid w:val="00A9332A"/>
    <w:rsid w:val="00A93EB2"/>
    <w:rsid w:val="00A94E18"/>
    <w:rsid w:val="00A95807"/>
    <w:rsid w:val="00A95F3A"/>
    <w:rsid w:val="00A9628E"/>
    <w:rsid w:val="00A96507"/>
    <w:rsid w:val="00A96956"/>
    <w:rsid w:val="00A96F29"/>
    <w:rsid w:val="00A97A2B"/>
    <w:rsid w:val="00A97B6E"/>
    <w:rsid w:val="00AA0450"/>
    <w:rsid w:val="00AA0FC4"/>
    <w:rsid w:val="00AA1392"/>
    <w:rsid w:val="00AA150F"/>
    <w:rsid w:val="00AA18F7"/>
    <w:rsid w:val="00AA22B8"/>
    <w:rsid w:val="00AA3657"/>
    <w:rsid w:val="00AA3C1F"/>
    <w:rsid w:val="00AA3CAE"/>
    <w:rsid w:val="00AA4AD6"/>
    <w:rsid w:val="00AA4B9F"/>
    <w:rsid w:val="00AA5563"/>
    <w:rsid w:val="00AA592B"/>
    <w:rsid w:val="00AA598F"/>
    <w:rsid w:val="00AA5A1E"/>
    <w:rsid w:val="00AA5BA4"/>
    <w:rsid w:val="00AA6962"/>
    <w:rsid w:val="00AA72C6"/>
    <w:rsid w:val="00AA72EE"/>
    <w:rsid w:val="00AA74DC"/>
    <w:rsid w:val="00AA7692"/>
    <w:rsid w:val="00AA7776"/>
    <w:rsid w:val="00AB1774"/>
    <w:rsid w:val="00AB1F0B"/>
    <w:rsid w:val="00AB2229"/>
    <w:rsid w:val="00AB25C7"/>
    <w:rsid w:val="00AB27AE"/>
    <w:rsid w:val="00AB3157"/>
    <w:rsid w:val="00AB321F"/>
    <w:rsid w:val="00AB37E5"/>
    <w:rsid w:val="00AB4BA1"/>
    <w:rsid w:val="00AB57C2"/>
    <w:rsid w:val="00AB5AF7"/>
    <w:rsid w:val="00AB7C69"/>
    <w:rsid w:val="00AC03A6"/>
    <w:rsid w:val="00AC17DC"/>
    <w:rsid w:val="00AC1DCA"/>
    <w:rsid w:val="00AC2023"/>
    <w:rsid w:val="00AC2638"/>
    <w:rsid w:val="00AC2F5B"/>
    <w:rsid w:val="00AC33D1"/>
    <w:rsid w:val="00AC3972"/>
    <w:rsid w:val="00AC3CB4"/>
    <w:rsid w:val="00AC3D27"/>
    <w:rsid w:val="00AC3D36"/>
    <w:rsid w:val="00AC42DE"/>
    <w:rsid w:val="00AC44DB"/>
    <w:rsid w:val="00AC49B8"/>
    <w:rsid w:val="00AC59BD"/>
    <w:rsid w:val="00AC604D"/>
    <w:rsid w:val="00AC6E26"/>
    <w:rsid w:val="00AC73A0"/>
    <w:rsid w:val="00AC78D8"/>
    <w:rsid w:val="00AC7FE0"/>
    <w:rsid w:val="00AD08D4"/>
    <w:rsid w:val="00AD1946"/>
    <w:rsid w:val="00AD221D"/>
    <w:rsid w:val="00AD2305"/>
    <w:rsid w:val="00AD23DD"/>
    <w:rsid w:val="00AD46B9"/>
    <w:rsid w:val="00AD5022"/>
    <w:rsid w:val="00AD6482"/>
    <w:rsid w:val="00AD6A23"/>
    <w:rsid w:val="00AD6F00"/>
    <w:rsid w:val="00AD79CB"/>
    <w:rsid w:val="00AD7AAA"/>
    <w:rsid w:val="00AE0EFE"/>
    <w:rsid w:val="00AE1892"/>
    <w:rsid w:val="00AE37A9"/>
    <w:rsid w:val="00AE4A95"/>
    <w:rsid w:val="00AE4ED4"/>
    <w:rsid w:val="00AE51D6"/>
    <w:rsid w:val="00AE5E65"/>
    <w:rsid w:val="00AE5EB4"/>
    <w:rsid w:val="00AE5FC0"/>
    <w:rsid w:val="00AE6B3B"/>
    <w:rsid w:val="00AE6BB0"/>
    <w:rsid w:val="00AF063E"/>
    <w:rsid w:val="00AF0846"/>
    <w:rsid w:val="00AF0F2B"/>
    <w:rsid w:val="00AF15B7"/>
    <w:rsid w:val="00AF18AB"/>
    <w:rsid w:val="00AF1CE7"/>
    <w:rsid w:val="00AF2539"/>
    <w:rsid w:val="00AF30AE"/>
    <w:rsid w:val="00AF323C"/>
    <w:rsid w:val="00AF5F05"/>
    <w:rsid w:val="00AF5F83"/>
    <w:rsid w:val="00AF6A00"/>
    <w:rsid w:val="00AF6AA5"/>
    <w:rsid w:val="00AF7B91"/>
    <w:rsid w:val="00AF7BE3"/>
    <w:rsid w:val="00B0025F"/>
    <w:rsid w:val="00B0290E"/>
    <w:rsid w:val="00B02F97"/>
    <w:rsid w:val="00B03558"/>
    <w:rsid w:val="00B035D2"/>
    <w:rsid w:val="00B03670"/>
    <w:rsid w:val="00B03A62"/>
    <w:rsid w:val="00B03B35"/>
    <w:rsid w:val="00B0401E"/>
    <w:rsid w:val="00B042CE"/>
    <w:rsid w:val="00B043F1"/>
    <w:rsid w:val="00B05075"/>
    <w:rsid w:val="00B054DC"/>
    <w:rsid w:val="00B062F8"/>
    <w:rsid w:val="00B0667D"/>
    <w:rsid w:val="00B06B5B"/>
    <w:rsid w:val="00B07E8B"/>
    <w:rsid w:val="00B10B78"/>
    <w:rsid w:val="00B11494"/>
    <w:rsid w:val="00B11A92"/>
    <w:rsid w:val="00B12542"/>
    <w:rsid w:val="00B125D6"/>
    <w:rsid w:val="00B13F75"/>
    <w:rsid w:val="00B157E6"/>
    <w:rsid w:val="00B167C9"/>
    <w:rsid w:val="00B16A3E"/>
    <w:rsid w:val="00B1731A"/>
    <w:rsid w:val="00B17FDF"/>
    <w:rsid w:val="00B20194"/>
    <w:rsid w:val="00B20315"/>
    <w:rsid w:val="00B2098C"/>
    <w:rsid w:val="00B20BF9"/>
    <w:rsid w:val="00B23106"/>
    <w:rsid w:val="00B2339D"/>
    <w:rsid w:val="00B23BC8"/>
    <w:rsid w:val="00B23CD5"/>
    <w:rsid w:val="00B241B9"/>
    <w:rsid w:val="00B24AF9"/>
    <w:rsid w:val="00B25238"/>
    <w:rsid w:val="00B25980"/>
    <w:rsid w:val="00B261E4"/>
    <w:rsid w:val="00B26642"/>
    <w:rsid w:val="00B2726C"/>
    <w:rsid w:val="00B30179"/>
    <w:rsid w:val="00B3054E"/>
    <w:rsid w:val="00B30AC2"/>
    <w:rsid w:val="00B30BA1"/>
    <w:rsid w:val="00B30D26"/>
    <w:rsid w:val="00B317E1"/>
    <w:rsid w:val="00B32504"/>
    <w:rsid w:val="00B32DE9"/>
    <w:rsid w:val="00B33AAF"/>
    <w:rsid w:val="00B33D5F"/>
    <w:rsid w:val="00B33EC0"/>
    <w:rsid w:val="00B35428"/>
    <w:rsid w:val="00B359B5"/>
    <w:rsid w:val="00B36835"/>
    <w:rsid w:val="00B40033"/>
    <w:rsid w:val="00B40C7D"/>
    <w:rsid w:val="00B41BC5"/>
    <w:rsid w:val="00B424B5"/>
    <w:rsid w:val="00B427EC"/>
    <w:rsid w:val="00B431AA"/>
    <w:rsid w:val="00B43BE2"/>
    <w:rsid w:val="00B44302"/>
    <w:rsid w:val="00B44CE9"/>
    <w:rsid w:val="00B44D6C"/>
    <w:rsid w:val="00B45346"/>
    <w:rsid w:val="00B456F9"/>
    <w:rsid w:val="00B4585E"/>
    <w:rsid w:val="00B45B88"/>
    <w:rsid w:val="00B4601D"/>
    <w:rsid w:val="00B46435"/>
    <w:rsid w:val="00B46601"/>
    <w:rsid w:val="00B46997"/>
    <w:rsid w:val="00B46F5C"/>
    <w:rsid w:val="00B47173"/>
    <w:rsid w:val="00B47773"/>
    <w:rsid w:val="00B50074"/>
    <w:rsid w:val="00B500EA"/>
    <w:rsid w:val="00B51357"/>
    <w:rsid w:val="00B51527"/>
    <w:rsid w:val="00B51E35"/>
    <w:rsid w:val="00B52166"/>
    <w:rsid w:val="00B52718"/>
    <w:rsid w:val="00B528EB"/>
    <w:rsid w:val="00B5596C"/>
    <w:rsid w:val="00B56228"/>
    <w:rsid w:val="00B5644B"/>
    <w:rsid w:val="00B56D27"/>
    <w:rsid w:val="00B5771C"/>
    <w:rsid w:val="00B578EB"/>
    <w:rsid w:val="00B57A38"/>
    <w:rsid w:val="00B60540"/>
    <w:rsid w:val="00B61699"/>
    <w:rsid w:val="00B62171"/>
    <w:rsid w:val="00B621F2"/>
    <w:rsid w:val="00B63069"/>
    <w:rsid w:val="00B632AD"/>
    <w:rsid w:val="00B6427F"/>
    <w:rsid w:val="00B65BAB"/>
    <w:rsid w:val="00B66458"/>
    <w:rsid w:val="00B70194"/>
    <w:rsid w:val="00B7104F"/>
    <w:rsid w:val="00B71490"/>
    <w:rsid w:val="00B71E45"/>
    <w:rsid w:val="00B72174"/>
    <w:rsid w:val="00B73A18"/>
    <w:rsid w:val="00B74197"/>
    <w:rsid w:val="00B75D8C"/>
    <w:rsid w:val="00B76480"/>
    <w:rsid w:val="00B76BCD"/>
    <w:rsid w:val="00B77D2F"/>
    <w:rsid w:val="00B77E75"/>
    <w:rsid w:val="00B77E96"/>
    <w:rsid w:val="00B81E12"/>
    <w:rsid w:val="00B820B1"/>
    <w:rsid w:val="00B832B6"/>
    <w:rsid w:val="00B8381A"/>
    <w:rsid w:val="00B84F1E"/>
    <w:rsid w:val="00B85A72"/>
    <w:rsid w:val="00B864C8"/>
    <w:rsid w:val="00B873FD"/>
    <w:rsid w:val="00B87697"/>
    <w:rsid w:val="00B87F87"/>
    <w:rsid w:val="00B90157"/>
    <w:rsid w:val="00B908A0"/>
    <w:rsid w:val="00B91EF9"/>
    <w:rsid w:val="00B93168"/>
    <w:rsid w:val="00B932AE"/>
    <w:rsid w:val="00B94E04"/>
    <w:rsid w:val="00B94FFB"/>
    <w:rsid w:val="00B96C01"/>
    <w:rsid w:val="00BA0496"/>
    <w:rsid w:val="00BA1931"/>
    <w:rsid w:val="00BA212A"/>
    <w:rsid w:val="00BA21AB"/>
    <w:rsid w:val="00BA299A"/>
    <w:rsid w:val="00BA3E22"/>
    <w:rsid w:val="00BA4047"/>
    <w:rsid w:val="00BA54C9"/>
    <w:rsid w:val="00BA639C"/>
    <w:rsid w:val="00BA6933"/>
    <w:rsid w:val="00BA6961"/>
    <w:rsid w:val="00BA6F4E"/>
    <w:rsid w:val="00BA7035"/>
    <w:rsid w:val="00BB01EC"/>
    <w:rsid w:val="00BB0223"/>
    <w:rsid w:val="00BB0A0B"/>
    <w:rsid w:val="00BB1AC3"/>
    <w:rsid w:val="00BB2AE7"/>
    <w:rsid w:val="00BB3575"/>
    <w:rsid w:val="00BB4866"/>
    <w:rsid w:val="00BB5548"/>
    <w:rsid w:val="00BB55C1"/>
    <w:rsid w:val="00BB789E"/>
    <w:rsid w:val="00BB7B20"/>
    <w:rsid w:val="00BC0A4F"/>
    <w:rsid w:val="00BC197B"/>
    <w:rsid w:val="00BC24E7"/>
    <w:rsid w:val="00BC3011"/>
    <w:rsid w:val="00BC3800"/>
    <w:rsid w:val="00BC391E"/>
    <w:rsid w:val="00BC4889"/>
    <w:rsid w:val="00BC4C08"/>
    <w:rsid w:val="00BC4E80"/>
    <w:rsid w:val="00BC516E"/>
    <w:rsid w:val="00BC5C2A"/>
    <w:rsid w:val="00BC6239"/>
    <w:rsid w:val="00BC6C09"/>
    <w:rsid w:val="00BC74E9"/>
    <w:rsid w:val="00BC7C64"/>
    <w:rsid w:val="00BC7C90"/>
    <w:rsid w:val="00BC7D46"/>
    <w:rsid w:val="00BC7EA4"/>
    <w:rsid w:val="00BD0869"/>
    <w:rsid w:val="00BD1AAA"/>
    <w:rsid w:val="00BD2041"/>
    <w:rsid w:val="00BD2146"/>
    <w:rsid w:val="00BD21EE"/>
    <w:rsid w:val="00BD3050"/>
    <w:rsid w:val="00BD3065"/>
    <w:rsid w:val="00BD3B40"/>
    <w:rsid w:val="00BD4B5A"/>
    <w:rsid w:val="00BD5420"/>
    <w:rsid w:val="00BD56D7"/>
    <w:rsid w:val="00BD5932"/>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5E4"/>
    <w:rsid w:val="00BE560A"/>
    <w:rsid w:val="00BE618E"/>
    <w:rsid w:val="00BE6773"/>
    <w:rsid w:val="00BE6BEC"/>
    <w:rsid w:val="00BE6DA1"/>
    <w:rsid w:val="00BE7884"/>
    <w:rsid w:val="00BE78FA"/>
    <w:rsid w:val="00BE7F09"/>
    <w:rsid w:val="00BF0667"/>
    <w:rsid w:val="00BF2B39"/>
    <w:rsid w:val="00BF311C"/>
    <w:rsid w:val="00BF329D"/>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B4D"/>
    <w:rsid w:val="00C06CF6"/>
    <w:rsid w:val="00C10DBC"/>
    <w:rsid w:val="00C116F3"/>
    <w:rsid w:val="00C1191E"/>
    <w:rsid w:val="00C121CE"/>
    <w:rsid w:val="00C12F3F"/>
    <w:rsid w:val="00C13428"/>
    <w:rsid w:val="00C140A8"/>
    <w:rsid w:val="00C154B7"/>
    <w:rsid w:val="00C159DC"/>
    <w:rsid w:val="00C15BB8"/>
    <w:rsid w:val="00C16092"/>
    <w:rsid w:val="00C164D4"/>
    <w:rsid w:val="00C166C2"/>
    <w:rsid w:val="00C16890"/>
    <w:rsid w:val="00C16CE3"/>
    <w:rsid w:val="00C16FA9"/>
    <w:rsid w:val="00C1704F"/>
    <w:rsid w:val="00C17699"/>
    <w:rsid w:val="00C203FB"/>
    <w:rsid w:val="00C21013"/>
    <w:rsid w:val="00C22438"/>
    <w:rsid w:val="00C24322"/>
    <w:rsid w:val="00C249AB"/>
    <w:rsid w:val="00C25D5A"/>
    <w:rsid w:val="00C2603F"/>
    <w:rsid w:val="00C26EC9"/>
    <w:rsid w:val="00C30571"/>
    <w:rsid w:val="00C30EA4"/>
    <w:rsid w:val="00C3196F"/>
    <w:rsid w:val="00C34068"/>
    <w:rsid w:val="00C341A4"/>
    <w:rsid w:val="00C34A88"/>
    <w:rsid w:val="00C34C98"/>
    <w:rsid w:val="00C34DD5"/>
    <w:rsid w:val="00C34E61"/>
    <w:rsid w:val="00C34EB2"/>
    <w:rsid w:val="00C35015"/>
    <w:rsid w:val="00C356DF"/>
    <w:rsid w:val="00C3590E"/>
    <w:rsid w:val="00C36075"/>
    <w:rsid w:val="00C37B0B"/>
    <w:rsid w:val="00C400A0"/>
    <w:rsid w:val="00C40A6D"/>
    <w:rsid w:val="00C40B00"/>
    <w:rsid w:val="00C40CA3"/>
    <w:rsid w:val="00C41A28"/>
    <w:rsid w:val="00C41EBE"/>
    <w:rsid w:val="00C42295"/>
    <w:rsid w:val="00C423D4"/>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0B47"/>
    <w:rsid w:val="00C51276"/>
    <w:rsid w:val="00C517C6"/>
    <w:rsid w:val="00C51879"/>
    <w:rsid w:val="00C52B73"/>
    <w:rsid w:val="00C52C03"/>
    <w:rsid w:val="00C5317A"/>
    <w:rsid w:val="00C53945"/>
    <w:rsid w:val="00C542ED"/>
    <w:rsid w:val="00C55043"/>
    <w:rsid w:val="00C55C93"/>
    <w:rsid w:val="00C56036"/>
    <w:rsid w:val="00C57BFE"/>
    <w:rsid w:val="00C57CEF"/>
    <w:rsid w:val="00C606AC"/>
    <w:rsid w:val="00C61A5B"/>
    <w:rsid w:val="00C61B27"/>
    <w:rsid w:val="00C6207E"/>
    <w:rsid w:val="00C62EC6"/>
    <w:rsid w:val="00C6317D"/>
    <w:rsid w:val="00C63552"/>
    <w:rsid w:val="00C63AD6"/>
    <w:rsid w:val="00C646C9"/>
    <w:rsid w:val="00C64FD1"/>
    <w:rsid w:val="00C65093"/>
    <w:rsid w:val="00C65B13"/>
    <w:rsid w:val="00C65BA0"/>
    <w:rsid w:val="00C666B3"/>
    <w:rsid w:val="00C67823"/>
    <w:rsid w:val="00C7022C"/>
    <w:rsid w:val="00C70851"/>
    <w:rsid w:val="00C708B8"/>
    <w:rsid w:val="00C71AB3"/>
    <w:rsid w:val="00C73C93"/>
    <w:rsid w:val="00C740F6"/>
    <w:rsid w:val="00C74479"/>
    <w:rsid w:val="00C7447E"/>
    <w:rsid w:val="00C745C3"/>
    <w:rsid w:val="00C747EF"/>
    <w:rsid w:val="00C74856"/>
    <w:rsid w:val="00C74F1D"/>
    <w:rsid w:val="00C75798"/>
    <w:rsid w:val="00C759D8"/>
    <w:rsid w:val="00C75C8B"/>
    <w:rsid w:val="00C75F21"/>
    <w:rsid w:val="00C7664F"/>
    <w:rsid w:val="00C76B76"/>
    <w:rsid w:val="00C77D9D"/>
    <w:rsid w:val="00C77DB5"/>
    <w:rsid w:val="00C80849"/>
    <w:rsid w:val="00C8107C"/>
    <w:rsid w:val="00C81B23"/>
    <w:rsid w:val="00C81CE5"/>
    <w:rsid w:val="00C828AF"/>
    <w:rsid w:val="00C82958"/>
    <w:rsid w:val="00C82D47"/>
    <w:rsid w:val="00C837A2"/>
    <w:rsid w:val="00C83A0D"/>
    <w:rsid w:val="00C83FCF"/>
    <w:rsid w:val="00C842BC"/>
    <w:rsid w:val="00C85100"/>
    <w:rsid w:val="00C86640"/>
    <w:rsid w:val="00C86823"/>
    <w:rsid w:val="00C91EF9"/>
    <w:rsid w:val="00C924A3"/>
    <w:rsid w:val="00C92573"/>
    <w:rsid w:val="00C92E47"/>
    <w:rsid w:val="00C94906"/>
    <w:rsid w:val="00C94EB3"/>
    <w:rsid w:val="00C94F79"/>
    <w:rsid w:val="00C96241"/>
    <w:rsid w:val="00C967FB"/>
    <w:rsid w:val="00C974AF"/>
    <w:rsid w:val="00C97872"/>
    <w:rsid w:val="00C979D8"/>
    <w:rsid w:val="00CA172C"/>
    <w:rsid w:val="00CA1D35"/>
    <w:rsid w:val="00CA2EB8"/>
    <w:rsid w:val="00CA361E"/>
    <w:rsid w:val="00CA4B3E"/>
    <w:rsid w:val="00CA59BF"/>
    <w:rsid w:val="00CA6233"/>
    <w:rsid w:val="00CA626B"/>
    <w:rsid w:val="00CA6429"/>
    <w:rsid w:val="00CA70E8"/>
    <w:rsid w:val="00CA7451"/>
    <w:rsid w:val="00CA766B"/>
    <w:rsid w:val="00CB040B"/>
    <w:rsid w:val="00CB0BAB"/>
    <w:rsid w:val="00CB0D62"/>
    <w:rsid w:val="00CB2A9C"/>
    <w:rsid w:val="00CB3835"/>
    <w:rsid w:val="00CB3CC3"/>
    <w:rsid w:val="00CB4B95"/>
    <w:rsid w:val="00CB57C1"/>
    <w:rsid w:val="00CB59B4"/>
    <w:rsid w:val="00CB675D"/>
    <w:rsid w:val="00CB7021"/>
    <w:rsid w:val="00CC050B"/>
    <w:rsid w:val="00CC160F"/>
    <w:rsid w:val="00CC43CB"/>
    <w:rsid w:val="00CC44DF"/>
    <w:rsid w:val="00CC4723"/>
    <w:rsid w:val="00CC55C4"/>
    <w:rsid w:val="00CC752F"/>
    <w:rsid w:val="00CD0268"/>
    <w:rsid w:val="00CD0597"/>
    <w:rsid w:val="00CD0941"/>
    <w:rsid w:val="00CD0C52"/>
    <w:rsid w:val="00CD0EE1"/>
    <w:rsid w:val="00CD12B0"/>
    <w:rsid w:val="00CD2783"/>
    <w:rsid w:val="00CD35CA"/>
    <w:rsid w:val="00CD41FD"/>
    <w:rsid w:val="00CD5807"/>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087"/>
    <w:rsid w:val="00CE22E3"/>
    <w:rsid w:val="00CE2894"/>
    <w:rsid w:val="00CE29FD"/>
    <w:rsid w:val="00CE2D68"/>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8E"/>
    <w:rsid w:val="00D00262"/>
    <w:rsid w:val="00D002FD"/>
    <w:rsid w:val="00D00A39"/>
    <w:rsid w:val="00D00E16"/>
    <w:rsid w:val="00D01013"/>
    <w:rsid w:val="00D019CC"/>
    <w:rsid w:val="00D01A28"/>
    <w:rsid w:val="00D01C99"/>
    <w:rsid w:val="00D01F05"/>
    <w:rsid w:val="00D02253"/>
    <w:rsid w:val="00D02D28"/>
    <w:rsid w:val="00D039DC"/>
    <w:rsid w:val="00D03CBC"/>
    <w:rsid w:val="00D040A5"/>
    <w:rsid w:val="00D04742"/>
    <w:rsid w:val="00D047CA"/>
    <w:rsid w:val="00D04EF4"/>
    <w:rsid w:val="00D0539A"/>
    <w:rsid w:val="00D05C20"/>
    <w:rsid w:val="00D05E26"/>
    <w:rsid w:val="00D05F3E"/>
    <w:rsid w:val="00D06A9E"/>
    <w:rsid w:val="00D075DD"/>
    <w:rsid w:val="00D106CD"/>
    <w:rsid w:val="00D10B93"/>
    <w:rsid w:val="00D10F1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FE2"/>
    <w:rsid w:val="00D25FF6"/>
    <w:rsid w:val="00D275E8"/>
    <w:rsid w:val="00D317BB"/>
    <w:rsid w:val="00D3218F"/>
    <w:rsid w:val="00D32B94"/>
    <w:rsid w:val="00D33951"/>
    <w:rsid w:val="00D34470"/>
    <w:rsid w:val="00D3560F"/>
    <w:rsid w:val="00D359AE"/>
    <w:rsid w:val="00D35DB6"/>
    <w:rsid w:val="00D35E53"/>
    <w:rsid w:val="00D36AE1"/>
    <w:rsid w:val="00D378FF"/>
    <w:rsid w:val="00D37A46"/>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531A"/>
    <w:rsid w:val="00D46254"/>
    <w:rsid w:val="00D46769"/>
    <w:rsid w:val="00D474B4"/>
    <w:rsid w:val="00D47ED0"/>
    <w:rsid w:val="00D5001A"/>
    <w:rsid w:val="00D502B5"/>
    <w:rsid w:val="00D515B8"/>
    <w:rsid w:val="00D515D3"/>
    <w:rsid w:val="00D5214C"/>
    <w:rsid w:val="00D52227"/>
    <w:rsid w:val="00D5250E"/>
    <w:rsid w:val="00D5282C"/>
    <w:rsid w:val="00D5305C"/>
    <w:rsid w:val="00D53386"/>
    <w:rsid w:val="00D534DF"/>
    <w:rsid w:val="00D537F6"/>
    <w:rsid w:val="00D5382B"/>
    <w:rsid w:val="00D54628"/>
    <w:rsid w:val="00D5467E"/>
    <w:rsid w:val="00D54DD8"/>
    <w:rsid w:val="00D55787"/>
    <w:rsid w:val="00D558B4"/>
    <w:rsid w:val="00D55A3F"/>
    <w:rsid w:val="00D55C89"/>
    <w:rsid w:val="00D563A5"/>
    <w:rsid w:val="00D56970"/>
    <w:rsid w:val="00D57169"/>
    <w:rsid w:val="00D603DE"/>
    <w:rsid w:val="00D6044A"/>
    <w:rsid w:val="00D615D0"/>
    <w:rsid w:val="00D61698"/>
    <w:rsid w:val="00D61A0B"/>
    <w:rsid w:val="00D61D38"/>
    <w:rsid w:val="00D62340"/>
    <w:rsid w:val="00D62651"/>
    <w:rsid w:val="00D62895"/>
    <w:rsid w:val="00D62F33"/>
    <w:rsid w:val="00D62F97"/>
    <w:rsid w:val="00D63D6A"/>
    <w:rsid w:val="00D63E5F"/>
    <w:rsid w:val="00D63EAC"/>
    <w:rsid w:val="00D643BC"/>
    <w:rsid w:val="00D64C1A"/>
    <w:rsid w:val="00D64E9B"/>
    <w:rsid w:val="00D6551F"/>
    <w:rsid w:val="00D65864"/>
    <w:rsid w:val="00D6614F"/>
    <w:rsid w:val="00D67552"/>
    <w:rsid w:val="00D67BC7"/>
    <w:rsid w:val="00D67CF6"/>
    <w:rsid w:val="00D70E51"/>
    <w:rsid w:val="00D71491"/>
    <w:rsid w:val="00D717A9"/>
    <w:rsid w:val="00D72348"/>
    <w:rsid w:val="00D728E8"/>
    <w:rsid w:val="00D72A23"/>
    <w:rsid w:val="00D72D93"/>
    <w:rsid w:val="00D733B1"/>
    <w:rsid w:val="00D733D1"/>
    <w:rsid w:val="00D735AB"/>
    <w:rsid w:val="00D73618"/>
    <w:rsid w:val="00D73B7A"/>
    <w:rsid w:val="00D73FE9"/>
    <w:rsid w:val="00D74FA1"/>
    <w:rsid w:val="00D75160"/>
    <w:rsid w:val="00D75EFB"/>
    <w:rsid w:val="00D76197"/>
    <w:rsid w:val="00D76A4E"/>
    <w:rsid w:val="00D76CC5"/>
    <w:rsid w:val="00D76F04"/>
    <w:rsid w:val="00D8094A"/>
    <w:rsid w:val="00D80D6E"/>
    <w:rsid w:val="00D81ABA"/>
    <w:rsid w:val="00D81B5B"/>
    <w:rsid w:val="00D833CC"/>
    <w:rsid w:val="00D8401A"/>
    <w:rsid w:val="00D8512D"/>
    <w:rsid w:val="00D85291"/>
    <w:rsid w:val="00D85900"/>
    <w:rsid w:val="00D85DDE"/>
    <w:rsid w:val="00D86091"/>
    <w:rsid w:val="00D8667D"/>
    <w:rsid w:val="00D87A7E"/>
    <w:rsid w:val="00D87E19"/>
    <w:rsid w:val="00D87F01"/>
    <w:rsid w:val="00D91109"/>
    <w:rsid w:val="00D927D6"/>
    <w:rsid w:val="00D92A6C"/>
    <w:rsid w:val="00D9343A"/>
    <w:rsid w:val="00D93AE9"/>
    <w:rsid w:val="00D951D2"/>
    <w:rsid w:val="00D963D1"/>
    <w:rsid w:val="00D978C6"/>
    <w:rsid w:val="00DA014E"/>
    <w:rsid w:val="00DA0290"/>
    <w:rsid w:val="00DA11DA"/>
    <w:rsid w:val="00DA163C"/>
    <w:rsid w:val="00DA1BD5"/>
    <w:rsid w:val="00DA230E"/>
    <w:rsid w:val="00DA235B"/>
    <w:rsid w:val="00DA23BE"/>
    <w:rsid w:val="00DA2A91"/>
    <w:rsid w:val="00DA2FA5"/>
    <w:rsid w:val="00DA32FF"/>
    <w:rsid w:val="00DA416B"/>
    <w:rsid w:val="00DA4609"/>
    <w:rsid w:val="00DA4C79"/>
    <w:rsid w:val="00DA5073"/>
    <w:rsid w:val="00DA5604"/>
    <w:rsid w:val="00DA56FC"/>
    <w:rsid w:val="00DA587B"/>
    <w:rsid w:val="00DA6185"/>
    <w:rsid w:val="00DA665E"/>
    <w:rsid w:val="00DA67AD"/>
    <w:rsid w:val="00DA6F8C"/>
    <w:rsid w:val="00DA73A5"/>
    <w:rsid w:val="00DB1331"/>
    <w:rsid w:val="00DB26E5"/>
    <w:rsid w:val="00DB37B9"/>
    <w:rsid w:val="00DB4E80"/>
    <w:rsid w:val="00DB572D"/>
    <w:rsid w:val="00DB57DA"/>
    <w:rsid w:val="00DB5B3D"/>
    <w:rsid w:val="00DB5C3B"/>
    <w:rsid w:val="00DB5D0F"/>
    <w:rsid w:val="00DB6A98"/>
    <w:rsid w:val="00DB6DDE"/>
    <w:rsid w:val="00DB7978"/>
    <w:rsid w:val="00DB7FC0"/>
    <w:rsid w:val="00DC001C"/>
    <w:rsid w:val="00DC0257"/>
    <w:rsid w:val="00DC0350"/>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AE3"/>
    <w:rsid w:val="00DD0F13"/>
    <w:rsid w:val="00DD20AD"/>
    <w:rsid w:val="00DD22DE"/>
    <w:rsid w:val="00DD34F0"/>
    <w:rsid w:val="00DD37B6"/>
    <w:rsid w:val="00DD389D"/>
    <w:rsid w:val="00DD3A8E"/>
    <w:rsid w:val="00DD405E"/>
    <w:rsid w:val="00DD4165"/>
    <w:rsid w:val="00DD4FB1"/>
    <w:rsid w:val="00DD5434"/>
    <w:rsid w:val="00DD5AC0"/>
    <w:rsid w:val="00DD5ACD"/>
    <w:rsid w:val="00DD5BC6"/>
    <w:rsid w:val="00DD6B00"/>
    <w:rsid w:val="00DD6FA9"/>
    <w:rsid w:val="00DD7BDD"/>
    <w:rsid w:val="00DE0356"/>
    <w:rsid w:val="00DE03D6"/>
    <w:rsid w:val="00DE0F80"/>
    <w:rsid w:val="00DE2A74"/>
    <w:rsid w:val="00DE3D20"/>
    <w:rsid w:val="00DE4858"/>
    <w:rsid w:val="00DE48C7"/>
    <w:rsid w:val="00DE48DE"/>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271C"/>
    <w:rsid w:val="00DF4499"/>
    <w:rsid w:val="00DF44AF"/>
    <w:rsid w:val="00DF4884"/>
    <w:rsid w:val="00DF4DD2"/>
    <w:rsid w:val="00DF5258"/>
    <w:rsid w:val="00DF56F5"/>
    <w:rsid w:val="00DF59BA"/>
    <w:rsid w:val="00DF5BED"/>
    <w:rsid w:val="00DF6A6D"/>
    <w:rsid w:val="00DF6F61"/>
    <w:rsid w:val="00DF6FD5"/>
    <w:rsid w:val="00E013B4"/>
    <w:rsid w:val="00E0142B"/>
    <w:rsid w:val="00E02A65"/>
    <w:rsid w:val="00E02C81"/>
    <w:rsid w:val="00E033AB"/>
    <w:rsid w:val="00E035EC"/>
    <w:rsid w:val="00E039A3"/>
    <w:rsid w:val="00E03B22"/>
    <w:rsid w:val="00E03BDA"/>
    <w:rsid w:val="00E048CF"/>
    <w:rsid w:val="00E048DB"/>
    <w:rsid w:val="00E04A24"/>
    <w:rsid w:val="00E04B89"/>
    <w:rsid w:val="00E04EC7"/>
    <w:rsid w:val="00E05203"/>
    <w:rsid w:val="00E05D93"/>
    <w:rsid w:val="00E0724F"/>
    <w:rsid w:val="00E07636"/>
    <w:rsid w:val="00E07B8A"/>
    <w:rsid w:val="00E1007C"/>
    <w:rsid w:val="00E10923"/>
    <w:rsid w:val="00E10CAF"/>
    <w:rsid w:val="00E111FD"/>
    <w:rsid w:val="00E120EC"/>
    <w:rsid w:val="00E1214E"/>
    <w:rsid w:val="00E125B8"/>
    <w:rsid w:val="00E130AB"/>
    <w:rsid w:val="00E13973"/>
    <w:rsid w:val="00E13AA2"/>
    <w:rsid w:val="00E14684"/>
    <w:rsid w:val="00E15BA0"/>
    <w:rsid w:val="00E15E3D"/>
    <w:rsid w:val="00E15FBA"/>
    <w:rsid w:val="00E1721C"/>
    <w:rsid w:val="00E17D98"/>
    <w:rsid w:val="00E20F66"/>
    <w:rsid w:val="00E212BC"/>
    <w:rsid w:val="00E214FC"/>
    <w:rsid w:val="00E21503"/>
    <w:rsid w:val="00E219D9"/>
    <w:rsid w:val="00E2286A"/>
    <w:rsid w:val="00E228DE"/>
    <w:rsid w:val="00E22F78"/>
    <w:rsid w:val="00E235F3"/>
    <w:rsid w:val="00E23A9E"/>
    <w:rsid w:val="00E240C9"/>
    <w:rsid w:val="00E248B0"/>
    <w:rsid w:val="00E25015"/>
    <w:rsid w:val="00E25174"/>
    <w:rsid w:val="00E2548B"/>
    <w:rsid w:val="00E26FAC"/>
    <w:rsid w:val="00E30DF3"/>
    <w:rsid w:val="00E31336"/>
    <w:rsid w:val="00E313A5"/>
    <w:rsid w:val="00E3212D"/>
    <w:rsid w:val="00E32575"/>
    <w:rsid w:val="00E33718"/>
    <w:rsid w:val="00E33A40"/>
    <w:rsid w:val="00E340C1"/>
    <w:rsid w:val="00E3490F"/>
    <w:rsid w:val="00E34CA1"/>
    <w:rsid w:val="00E35E75"/>
    <w:rsid w:val="00E3639F"/>
    <w:rsid w:val="00E36CE9"/>
    <w:rsid w:val="00E36F2C"/>
    <w:rsid w:val="00E3726E"/>
    <w:rsid w:val="00E407E4"/>
    <w:rsid w:val="00E40954"/>
    <w:rsid w:val="00E40F22"/>
    <w:rsid w:val="00E41157"/>
    <w:rsid w:val="00E41468"/>
    <w:rsid w:val="00E420A5"/>
    <w:rsid w:val="00E424E8"/>
    <w:rsid w:val="00E427CE"/>
    <w:rsid w:val="00E42856"/>
    <w:rsid w:val="00E42A3D"/>
    <w:rsid w:val="00E42D2B"/>
    <w:rsid w:val="00E43E1C"/>
    <w:rsid w:val="00E44880"/>
    <w:rsid w:val="00E44F37"/>
    <w:rsid w:val="00E4500A"/>
    <w:rsid w:val="00E4527C"/>
    <w:rsid w:val="00E45604"/>
    <w:rsid w:val="00E4569F"/>
    <w:rsid w:val="00E45BE0"/>
    <w:rsid w:val="00E45C44"/>
    <w:rsid w:val="00E46FD5"/>
    <w:rsid w:val="00E504BC"/>
    <w:rsid w:val="00E50575"/>
    <w:rsid w:val="00E5195C"/>
    <w:rsid w:val="00E51CE3"/>
    <w:rsid w:val="00E523C1"/>
    <w:rsid w:val="00E52F65"/>
    <w:rsid w:val="00E53D3B"/>
    <w:rsid w:val="00E54831"/>
    <w:rsid w:val="00E556AD"/>
    <w:rsid w:val="00E55E64"/>
    <w:rsid w:val="00E55EFC"/>
    <w:rsid w:val="00E56F4E"/>
    <w:rsid w:val="00E5769A"/>
    <w:rsid w:val="00E57CE7"/>
    <w:rsid w:val="00E60906"/>
    <w:rsid w:val="00E6098A"/>
    <w:rsid w:val="00E61381"/>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825"/>
    <w:rsid w:val="00E72E82"/>
    <w:rsid w:val="00E74034"/>
    <w:rsid w:val="00E74342"/>
    <w:rsid w:val="00E747DB"/>
    <w:rsid w:val="00E75590"/>
    <w:rsid w:val="00E75C52"/>
    <w:rsid w:val="00E762A9"/>
    <w:rsid w:val="00E762D4"/>
    <w:rsid w:val="00E7666F"/>
    <w:rsid w:val="00E767D7"/>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F91"/>
    <w:rsid w:val="00E913B6"/>
    <w:rsid w:val="00E91704"/>
    <w:rsid w:val="00E92D64"/>
    <w:rsid w:val="00E933B8"/>
    <w:rsid w:val="00E934CF"/>
    <w:rsid w:val="00E93EC0"/>
    <w:rsid w:val="00E94C93"/>
    <w:rsid w:val="00E95374"/>
    <w:rsid w:val="00E95541"/>
    <w:rsid w:val="00E95B73"/>
    <w:rsid w:val="00E9637E"/>
    <w:rsid w:val="00E96630"/>
    <w:rsid w:val="00E969EF"/>
    <w:rsid w:val="00E96BE4"/>
    <w:rsid w:val="00EA019D"/>
    <w:rsid w:val="00EA0CA0"/>
    <w:rsid w:val="00EA0CFD"/>
    <w:rsid w:val="00EA15FA"/>
    <w:rsid w:val="00EA1B2D"/>
    <w:rsid w:val="00EA2621"/>
    <w:rsid w:val="00EA264E"/>
    <w:rsid w:val="00EA336C"/>
    <w:rsid w:val="00EA3938"/>
    <w:rsid w:val="00EA43EE"/>
    <w:rsid w:val="00EA4819"/>
    <w:rsid w:val="00EA5256"/>
    <w:rsid w:val="00EA5569"/>
    <w:rsid w:val="00EA572C"/>
    <w:rsid w:val="00EA620F"/>
    <w:rsid w:val="00EA696B"/>
    <w:rsid w:val="00EA7DD7"/>
    <w:rsid w:val="00EB0494"/>
    <w:rsid w:val="00EB0D33"/>
    <w:rsid w:val="00EB1731"/>
    <w:rsid w:val="00EB18AF"/>
    <w:rsid w:val="00EB1ACF"/>
    <w:rsid w:val="00EB1D68"/>
    <w:rsid w:val="00EB3F51"/>
    <w:rsid w:val="00EB4F5F"/>
    <w:rsid w:val="00EB554E"/>
    <w:rsid w:val="00EB57E0"/>
    <w:rsid w:val="00EB5BAA"/>
    <w:rsid w:val="00EB6219"/>
    <w:rsid w:val="00EB62C4"/>
    <w:rsid w:val="00EB6545"/>
    <w:rsid w:val="00EB70E5"/>
    <w:rsid w:val="00EB725B"/>
    <w:rsid w:val="00EC0164"/>
    <w:rsid w:val="00EC0241"/>
    <w:rsid w:val="00EC0609"/>
    <w:rsid w:val="00EC0BAE"/>
    <w:rsid w:val="00EC151E"/>
    <w:rsid w:val="00EC2A64"/>
    <w:rsid w:val="00EC2BA2"/>
    <w:rsid w:val="00EC2CDF"/>
    <w:rsid w:val="00EC30B1"/>
    <w:rsid w:val="00EC3155"/>
    <w:rsid w:val="00EC38DB"/>
    <w:rsid w:val="00EC3AA1"/>
    <w:rsid w:val="00EC3E9C"/>
    <w:rsid w:val="00EC4904"/>
    <w:rsid w:val="00EC4A7F"/>
    <w:rsid w:val="00EC5860"/>
    <w:rsid w:val="00EC6393"/>
    <w:rsid w:val="00EC65A2"/>
    <w:rsid w:val="00EC65C7"/>
    <w:rsid w:val="00EC6801"/>
    <w:rsid w:val="00EC7096"/>
    <w:rsid w:val="00EC71CD"/>
    <w:rsid w:val="00EC7F76"/>
    <w:rsid w:val="00ED0040"/>
    <w:rsid w:val="00ED06B5"/>
    <w:rsid w:val="00ED0990"/>
    <w:rsid w:val="00ED1102"/>
    <w:rsid w:val="00ED15C7"/>
    <w:rsid w:val="00ED240E"/>
    <w:rsid w:val="00ED26D5"/>
    <w:rsid w:val="00ED290A"/>
    <w:rsid w:val="00ED2C4E"/>
    <w:rsid w:val="00ED2D72"/>
    <w:rsid w:val="00ED50A2"/>
    <w:rsid w:val="00ED56FE"/>
    <w:rsid w:val="00ED6B1A"/>
    <w:rsid w:val="00ED75AF"/>
    <w:rsid w:val="00ED7A2A"/>
    <w:rsid w:val="00ED7D4A"/>
    <w:rsid w:val="00EE0592"/>
    <w:rsid w:val="00EE074A"/>
    <w:rsid w:val="00EE0C1C"/>
    <w:rsid w:val="00EE0DD6"/>
    <w:rsid w:val="00EE105E"/>
    <w:rsid w:val="00EE164F"/>
    <w:rsid w:val="00EE24E6"/>
    <w:rsid w:val="00EE24F2"/>
    <w:rsid w:val="00EE2D28"/>
    <w:rsid w:val="00EE352D"/>
    <w:rsid w:val="00EE409E"/>
    <w:rsid w:val="00EE470B"/>
    <w:rsid w:val="00EE51AD"/>
    <w:rsid w:val="00EE58BD"/>
    <w:rsid w:val="00EE5F1E"/>
    <w:rsid w:val="00EE60CB"/>
    <w:rsid w:val="00EE64C6"/>
    <w:rsid w:val="00EE6DDE"/>
    <w:rsid w:val="00EE7D25"/>
    <w:rsid w:val="00EF0EB6"/>
    <w:rsid w:val="00EF18DA"/>
    <w:rsid w:val="00EF1D7F"/>
    <w:rsid w:val="00EF1FCC"/>
    <w:rsid w:val="00EF2489"/>
    <w:rsid w:val="00EF2B15"/>
    <w:rsid w:val="00EF30C9"/>
    <w:rsid w:val="00EF52A6"/>
    <w:rsid w:val="00EF561D"/>
    <w:rsid w:val="00EF6B17"/>
    <w:rsid w:val="00F0089F"/>
    <w:rsid w:val="00F00A86"/>
    <w:rsid w:val="00F0134B"/>
    <w:rsid w:val="00F0221D"/>
    <w:rsid w:val="00F0251C"/>
    <w:rsid w:val="00F04863"/>
    <w:rsid w:val="00F0506C"/>
    <w:rsid w:val="00F055AC"/>
    <w:rsid w:val="00F0674C"/>
    <w:rsid w:val="00F06BFE"/>
    <w:rsid w:val="00F075E3"/>
    <w:rsid w:val="00F10376"/>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60F"/>
    <w:rsid w:val="00F17BFB"/>
    <w:rsid w:val="00F2014B"/>
    <w:rsid w:val="00F201B6"/>
    <w:rsid w:val="00F204E5"/>
    <w:rsid w:val="00F206B7"/>
    <w:rsid w:val="00F20C0D"/>
    <w:rsid w:val="00F23AA1"/>
    <w:rsid w:val="00F24D17"/>
    <w:rsid w:val="00F24DF7"/>
    <w:rsid w:val="00F256D1"/>
    <w:rsid w:val="00F25D85"/>
    <w:rsid w:val="00F25FFD"/>
    <w:rsid w:val="00F261D7"/>
    <w:rsid w:val="00F2651F"/>
    <w:rsid w:val="00F2656B"/>
    <w:rsid w:val="00F26B4A"/>
    <w:rsid w:val="00F2759C"/>
    <w:rsid w:val="00F2795C"/>
    <w:rsid w:val="00F279B8"/>
    <w:rsid w:val="00F27F1F"/>
    <w:rsid w:val="00F300AF"/>
    <w:rsid w:val="00F30BED"/>
    <w:rsid w:val="00F31097"/>
    <w:rsid w:val="00F31397"/>
    <w:rsid w:val="00F317B7"/>
    <w:rsid w:val="00F317EA"/>
    <w:rsid w:val="00F31C75"/>
    <w:rsid w:val="00F32E56"/>
    <w:rsid w:val="00F32F6D"/>
    <w:rsid w:val="00F335CE"/>
    <w:rsid w:val="00F33776"/>
    <w:rsid w:val="00F337BC"/>
    <w:rsid w:val="00F33A16"/>
    <w:rsid w:val="00F340D7"/>
    <w:rsid w:val="00F346D2"/>
    <w:rsid w:val="00F35092"/>
    <w:rsid w:val="00F35373"/>
    <w:rsid w:val="00F358D9"/>
    <w:rsid w:val="00F363C5"/>
    <w:rsid w:val="00F366D7"/>
    <w:rsid w:val="00F36E4D"/>
    <w:rsid w:val="00F37844"/>
    <w:rsid w:val="00F40C3B"/>
    <w:rsid w:val="00F41A5B"/>
    <w:rsid w:val="00F41C09"/>
    <w:rsid w:val="00F42E0D"/>
    <w:rsid w:val="00F43ECF"/>
    <w:rsid w:val="00F44610"/>
    <w:rsid w:val="00F451D8"/>
    <w:rsid w:val="00F45D02"/>
    <w:rsid w:val="00F46171"/>
    <w:rsid w:val="00F46602"/>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506"/>
    <w:rsid w:val="00F616DA"/>
    <w:rsid w:val="00F617EF"/>
    <w:rsid w:val="00F61C7A"/>
    <w:rsid w:val="00F62382"/>
    <w:rsid w:val="00F623BB"/>
    <w:rsid w:val="00F625A3"/>
    <w:rsid w:val="00F62A04"/>
    <w:rsid w:val="00F62A9F"/>
    <w:rsid w:val="00F62DB4"/>
    <w:rsid w:val="00F62F6B"/>
    <w:rsid w:val="00F632E7"/>
    <w:rsid w:val="00F638D5"/>
    <w:rsid w:val="00F63C1F"/>
    <w:rsid w:val="00F650E6"/>
    <w:rsid w:val="00F651C8"/>
    <w:rsid w:val="00F651D6"/>
    <w:rsid w:val="00F65842"/>
    <w:rsid w:val="00F666E0"/>
    <w:rsid w:val="00F66AD3"/>
    <w:rsid w:val="00F66B22"/>
    <w:rsid w:val="00F67548"/>
    <w:rsid w:val="00F67640"/>
    <w:rsid w:val="00F67D54"/>
    <w:rsid w:val="00F703A8"/>
    <w:rsid w:val="00F70542"/>
    <w:rsid w:val="00F706B4"/>
    <w:rsid w:val="00F708AA"/>
    <w:rsid w:val="00F70F4E"/>
    <w:rsid w:val="00F71059"/>
    <w:rsid w:val="00F71A38"/>
    <w:rsid w:val="00F71ADE"/>
    <w:rsid w:val="00F7377B"/>
    <w:rsid w:val="00F738FB"/>
    <w:rsid w:val="00F739F4"/>
    <w:rsid w:val="00F73D2C"/>
    <w:rsid w:val="00F744E5"/>
    <w:rsid w:val="00F74AD8"/>
    <w:rsid w:val="00F74C85"/>
    <w:rsid w:val="00F74CC0"/>
    <w:rsid w:val="00F7518F"/>
    <w:rsid w:val="00F75A64"/>
    <w:rsid w:val="00F75CAE"/>
    <w:rsid w:val="00F75CD8"/>
    <w:rsid w:val="00F760F2"/>
    <w:rsid w:val="00F765B9"/>
    <w:rsid w:val="00F7672D"/>
    <w:rsid w:val="00F76865"/>
    <w:rsid w:val="00F7737E"/>
    <w:rsid w:val="00F7753D"/>
    <w:rsid w:val="00F7793F"/>
    <w:rsid w:val="00F800C8"/>
    <w:rsid w:val="00F80745"/>
    <w:rsid w:val="00F807F3"/>
    <w:rsid w:val="00F80C4F"/>
    <w:rsid w:val="00F812AA"/>
    <w:rsid w:val="00F81F00"/>
    <w:rsid w:val="00F82E11"/>
    <w:rsid w:val="00F83582"/>
    <w:rsid w:val="00F84057"/>
    <w:rsid w:val="00F84585"/>
    <w:rsid w:val="00F84E6D"/>
    <w:rsid w:val="00F8513D"/>
    <w:rsid w:val="00F85DA1"/>
    <w:rsid w:val="00F85F34"/>
    <w:rsid w:val="00F867FB"/>
    <w:rsid w:val="00F87EFF"/>
    <w:rsid w:val="00F9012C"/>
    <w:rsid w:val="00F90299"/>
    <w:rsid w:val="00F9120B"/>
    <w:rsid w:val="00F9128A"/>
    <w:rsid w:val="00F91425"/>
    <w:rsid w:val="00F91484"/>
    <w:rsid w:val="00F924EE"/>
    <w:rsid w:val="00F92A28"/>
    <w:rsid w:val="00F94389"/>
    <w:rsid w:val="00F94690"/>
    <w:rsid w:val="00F95566"/>
    <w:rsid w:val="00F9614D"/>
    <w:rsid w:val="00F96E12"/>
    <w:rsid w:val="00F97A7B"/>
    <w:rsid w:val="00F97C95"/>
    <w:rsid w:val="00F97CC6"/>
    <w:rsid w:val="00F97CF2"/>
    <w:rsid w:val="00F97E44"/>
    <w:rsid w:val="00FA04D9"/>
    <w:rsid w:val="00FA06F7"/>
    <w:rsid w:val="00FA1970"/>
    <w:rsid w:val="00FA217E"/>
    <w:rsid w:val="00FA2D23"/>
    <w:rsid w:val="00FA2F4E"/>
    <w:rsid w:val="00FA3968"/>
    <w:rsid w:val="00FA3BBE"/>
    <w:rsid w:val="00FA3DEC"/>
    <w:rsid w:val="00FA52BA"/>
    <w:rsid w:val="00FA5B75"/>
    <w:rsid w:val="00FA6EA7"/>
    <w:rsid w:val="00FA6F96"/>
    <w:rsid w:val="00FA72BB"/>
    <w:rsid w:val="00FA7467"/>
    <w:rsid w:val="00FA74C8"/>
    <w:rsid w:val="00FA7A71"/>
    <w:rsid w:val="00FB0721"/>
    <w:rsid w:val="00FB111D"/>
    <w:rsid w:val="00FB171A"/>
    <w:rsid w:val="00FB1898"/>
    <w:rsid w:val="00FB19F0"/>
    <w:rsid w:val="00FB1DDF"/>
    <w:rsid w:val="00FB22A0"/>
    <w:rsid w:val="00FB247D"/>
    <w:rsid w:val="00FB2556"/>
    <w:rsid w:val="00FB2B76"/>
    <w:rsid w:val="00FB2EC1"/>
    <w:rsid w:val="00FB3A3F"/>
    <w:rsid w:val="00FB3AFD"/>
    <w:rsid w:val="00FB42F8"/>
    <w:rsid w:val="00FB495A"/>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CEE"/>
    <w:rsid w:val="00FC6612"/>
    <w:rsid w:val="00FC68B7"/>
    <w:rsid w:val="00FC6E04"/>
    <w:rsid w:val="00FC73C2"/>
    <w:rsid w:val="00FC755F"/>
    <w:rsid w:val="00FC7986"/>
    <w:rsid w:val="00FD0909"/>
    <w:rsid w:val="00FD0E58"/>
    <w:rsid w:val="00FD1610"/>
    <w:rsid w:val="00FD20D8"/>
    <w:rsid w:val="00FD2D96"/>
    <w:rsid w:val="00FD3582"/>
    <w:rsid w:val="00FD3D1F"/>
    <w:rsid w:val="00FD3DBE"/>
    <w:rsid w:val="00FD4238"/>
    <w:rsid w:val="00FD44DC"/>
    <w:rsid w:val="00FD45F3"/>
    <w:rsid w:val="00FD4655"/>
    <w:rsid w:val="00FD49C2"/>
    <w:rsid w:val="00FD4A97"/>
    <w:rsid w:val="00FD5358"/>
    <w:rsid w:val="00FD5664"/>
    <w:rsid w:val="00FD602F"/>
    <w:rsid w:val="00FD6F41"/>
    <w:rsid w:val="00FD7124"/>
    <w:rsid w:val="00FD7BF6"/>
    <w:rsid w:val="00FE0257"/>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4E7C"/>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fillcolor="white" stroke="f">
      <v:fill color="white"/>
      <v:stroke on="f"/>
    </o:shapedefaults>
    <o:shapelayout v:ext="edit">
      <o:idmap v:ext="edit" data="1"/>
    </o:shapelayout>
  </w:shapeDefaults>
  <w:decimalSymbol w:val="."/>
  <w:listSeparator w:val=","/>
  <w14:docId w14:val="3FD7D449"/>
  <w15:docId w15:val="{CCA113F2-AFD1-4E8D-9077-83FF6F498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
    <w:link w:val="FootnoteText"/>
    <w:uiPriority w:val="99"/>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qFormat/>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qFormat/>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numPr>
        <w:numId w:val="0"/>
      </w:numPr>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 w:type="character" w:styleId="UnresolvedMention">
    <w:name w:val="Unresolved Mention"/>
    <w:basedOn w:val="DefaultParagraphFont"/>
    <w:uiPriority w:val="99"/>
    <w:semiHidden/>
    <w:unhideWhenUsed/>
    <w:rsid w:val="004A1C0A"/>
    <w:rPr>
      <w:color w:val="605E5C"/>
      <w:shd w:val="clear" w:color="auto" w:fill="E1DFDD"/>
    </w:rPr>
  </w:style>
  <w:style w:type="paragraph" w:customStyle="1" w:styleId="3para3rdlevel">
    <w:name w:val="3.para 3rd level"/>
    <w:basedOn w:val="Normal"/>
    <w:link w:val="3para3rdlevelCar"/>
    <w:qFormat/>
    <w:rsid w:val="007F6206"/>
    <w:pPr>
      <w:spacing w:after="120"/>
      <w:ind w:left="2268" w:right="1134" w:hanging="1134"/>
      <w:jc w:val="both"/>
      <w:outlineLvl w:val="2"/>
    </w:pPr>
    <w:rPr>
      <w:rFonts w:eastAsiaTheme="minorEastAsia"/>
    </w:rPr>
  </w:style>
  <w:style w:type="character" w:customStyle="1" w:styleId="3para3rdlevelCar">
    <w:name w:val="3.para 3rd level Car"/>
    <w:link w:val="3para3rdlevel"/>
    <w:rsid w:val="007F6206"/>
    <w:rPr>
      <w:rFonts w:eastAsiaTheme="minorEastAs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557F4B-9049-4F2A-B6AC-596CB23592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EA2D38-E2EE-4606-BF1E-7F2C9D229860}">
  <ds:schemaRefs>
    <ds:schemaRef ds:uri="http://schemas.microsoft.com/sharepoint/v3/contenttype/forms"/>
  </ds:schemaRefs>
</ds:datastoreItem>
</file>

<file path=customXml/itemProps3.xml><?xml version="1.0" encoding="utf-8"?>
<ds:datastoreItem xmlns:ds="http://schemas.openxmlformats.org/officeDocument/2006/customXml" ds:itemID="{11BEBC5C-5506-45BA-9F88-07708D3B82EE}">
  <ds:schemaRefs>
    <ds:schemaRef ds:uri="http://schemas.openxmlformats.org/officeDocument/2006/bibliography"/>
  </ds:schemaRefs>
</ds:datastoreItem>
</file>

<file path=customXml/itemProps4.xml><?xml version="1.0" encoding="utf-8"?>
<ds:datastoreItem xmlns:ds="http://schemas.openxmlformats.org/officeDocument/2006/customXml" ds:itemID="{2C787979-9587-4671-BD95-2C85973523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3</Pages>
  <Words>928</Words>
  <Characters>4849</Characters>
  <Application>Microsoft Office Word</Application>
  <DocSecurity>0</DocSecurity>
  <Lines>216</Lines>
  <Paragraphs>161</Paragraphs>
  <ScaleCrop>false</ScaleCrop>
  <HeadingPairs>
    <vt:vector size="8" baseType="variant">
      <vt:variant>
        <vt:lpstr>Titolo</vt:lpstr>
      </vt:variant>
      <vt:variant>
        <vt:i4>1</vt:i4>
      </vt:variant>
      <vt:variant>
        <vt:lpstr>Titel</vt:lpstr>
      </vt:variant>
      <vt:variant>
        <vt:i4>1</vt:i4>
      </vt:variant>
      <vt:variant>
        <vt:lpstr>Title</vt:lpstr>
      </vt:variant>
      <vt:variant>
        <vt:i4>1</vt:i4>
      </vt:variant>
      <vt:variant>
        <vt:lpstr>Titre</vt:lpstr>
      </vt:variant>
      <vt:variant>
        <vt:i4>1</vt:i4>
      </vt:variant>
    </vt:vector>
  </HeadingPairs>
  <TitlesOfParts>
    <vt:vector size="4" baseType="lpstr">
      <vt:lpstr/>
      <vt:lpstr>ECE/TRANS/WP.29/GRE/2020/4</vt:lpstr>
      <vt:lpstr>ECE/TRANS/WP.29/GRE/2019/28</vt:lpstr>
      <vt:lpstr>ECE/TRANS/WP.29/GRE/2019/6</vt:lpstr>
    </vt:vector>
  </TitlesOfParts>
  <Company/>
  <LinksUpToDate>false</LinksUpToDate>
  <CharactersWithSpaces>5660</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ECE/TRANS/WP.29/GRE/2022/3</dc:title>
  <dc:subject>2201301</dc:subject>
  <dc:creator>Una Giltsoff</dc:creator>
  <cp:keywords/>
  <dc:description/>
  <cp:lastModifiedBy>Una Giltsoff</cp:lastModifiedBy>
  <cp:revision>2</cp:revision>
  <cp:lastPrinted>2021-01-25T15:41:00Z</cp:lastPrinted>
  <dcterms:created xsi:type="dcterms:W3CDTF">2022-02-02T14:05:00Z</dcterms:created>
  <dcterms:modified xsi:type="dcterms:W3CDTF">2022-02-02T14:05:00Z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