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32FE5"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732FE5" w:rsidRDefault="009E6CB7" w:rsidP="00B20551">
            <w:pPr>
              <w:spacing w:after="80"/>
            </w:pPr>
          </w:p>
        </w:tc>
        <w:tc>
          <w:tcPr>
            <w:tcW w:w="2268" w:type="dxa"/>
            <w:tcBorders>
              <w:bottom w:val="single" w:sz="4" w:space="0" w:color="auto"/>
            </w:tcBorders>
            <w:vAlign w:val="bottom"/>
          </w:tcPr>
          <w:p w14:paraId="2BC30C1F" w14:textId="77777777" w:rsidR="009E6CB7" w:rsidRPr="00732FE5" w:rsidRDefault="009E6CB7" w:rsidP="00B20551">
            <w:pPr>
              <w:spacing w:after="80" w:line="300" w:lineRule="exact"/>
              <w:rPr>
                <w:b/>
                <w:sz w:val="24"/>
                <w:szCs w:val="24"/>
              </w:rPr>
            </w:pPr>
            <w:r w:rsidRPr="00732FE5">
              <w:rPr>
                <w:sz w:val="28"/>
                <w:szCs w:val="28"/>
              </w:rPr>
              <w:t>United Nations</w:t>
            </w:r>
          </w:p>
        </w:tc>
        <w:tc>
          <w:tcPr>
            <w:tcW w:w="6095" w:type="dxa"/>
            <w:gridSpan w:val="2"/>
            <w:tcBorders>
              <w:bottom w:val="single" w:sz="4" w:space="0" w:color="auto"/>
            </w:tcBorders>
            <w:vAlign w:val="bottom"/>
          </w:tcPr>
          <w:p w14:paraId="74B4D81A" w14:textId="06719863" w:rsidR="009E6CB7" w:rsidRPr="00732FE5" w:rsidRDefault="00B44E24" w:rsidP="003C693B">
            <w:pPr>
              <w:jc w:val="right"/>
            </w:pPr>
            <w:r>
              <w:rPr>
                <w:sz w:val="40"/>
              </w:rPr>
              <w:t>INF</w:t>
            </w:r>
            <w:r w:rsidR="003C693B">
              <w:rPr>
                <w:sz w:val="40"/>
              </w:rPr>
              <w:t>.36</w:t>
            </w:r>
          </w:p>
        </w:tc>
      </w:tr>
      <w:tr w:rsidR="009E6CB7" w:rsidRPr="00732FE5" w14:paraId="6658F80A" w14:textId="77777777" w:rsidTr="00B20551">
        <w:trPr>
          <w:cantSplit/>
          <w:trHeight w:hRule="exact" w:val="2835"/>
        </w:trPr>
        <w:tc>
          <w:tcPr>
            <w:tcW w:w="1276" w:type="dxa"/>
            <w:tcBorders>
              <w:top w:val="single" w:sz="4" w:space="0" w:color="auto"/>
              <w:bottom w:val="single" w:sz="12" w:space="0" w:color="auto"/>
            </w:tcBorders>
          </w:tcPr>
          <w:p w14:paraId="3CFC3AD0" w14:textId="77777777" w:rsidR="009E6CB7" w:rsidRPr="00732FE5" w:rsidRDefault="00686A48" w:rsidP="00B20551">
            <w:pPr>
              <w:spacing w:before="120"/>
            </w:pPr>
            <w:r w:rsidRPr="00056C1C">
              <w:rPr>
                <w:noProof/>
                <w:lang w:val="de-DE" w:eastAsia="de-DE"/>
              </w:rPr>
              <w:drawing>
                <wp:inline distT="0" distB="0" distL="0" distR="0" wp14:anchorId="283B0A0E" wp14:editId="7BFD87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90ABD" w14:textId="77777777" w:rsidR="009E6CB7" w:rsidRPr="00732FE5" w:rsidRDefault="009E6CB7" w:rsidP="00B20551">
            <w:pPr>
              <w:spacing w:before="120" w:line="420" w:lineRule="exact"/>
              <w:rPr>
                <w:sz w:val="40"/>
                <w:szCs w:val="40"/>
              </w:rPr>
            </w:pPr>
            <w:r w:rsidRPr="00732FE5">
              <w:rPr>
                <w:b/>
                <w:sz w:val="40"/>
                <w:szCs w:val="40"/>
              </w:rPr>
              <w:t>Economic and Social Council</w:t>
            </w:r>
          </w:p>
        </w:tc>
        <w:tc>
          <w:tcPr>
            <w:tcW w:w="2835" w:type="dxa"/>
            <w:tcBorders>
              <w:top w:val="single" w:sz="4" w:space="0" w:color="auto"/>
              <w:bottom w:val="single" w:sz="12" w:space="0" w:color="auto"/>
            </w:tcBorders>
          </w:tcPr>
          <w:p w14:paraId="5FCDD1F2" w14:textId="77777777" w:rsidR="009E6CB7" w:rsidRPr="00732FE5" w:rsidRDefault="002E480D" w:rsidP="002E480D">
            <w:pPr>
              <w:spacing w:before="240" w:line="240" w:lineRule="exact"/>
            </w:pPr>
            <w:r w:rsidRPr="00732FE5">
              <w:t>Distr.: General</w:t>
            </w:r>
          </w:p>
          <w:p w14:paraId="75FC1038" w14:textId="7D7392D2" w:rsidR="002E480D" w:rsidRPr="00732FE5" w:rsidRDefault="005F3568" w:rsidP="002E480D">
            <w:pPr>
              <w:spacing w:line="240" w:lineRule="exact"/>
            </w:pPr>
            <w:r>
              <w:t>16</w:t>
            </w:r>
            <w:r w:rsidR="002E480D" w:rsidRPr="00732FE5">
              <w:t xml:space="preserve"> </w:t>
            </w:r>
            <w:r>
              <w:t xml:space="preserve">March </w:t>
            </w:r>
            <w:r w:rsidR="002E480D" w:rsidRPr="00732FE5">
              <w:t>202</w:t>
            </w:r>
            <w:r>
              <w:t>2</w:t>
            </w:r>
          </w:p>
          <w:p w14:paraId="62073658" w14:textId="77777777" w:rsidR="002E480D" w:rsidRPr="00732FE5" w:rsidRDefault="002E480D" w:rsidP="002E480D">
            <w:pPr>
              <w:spacing w:line="240" w:lineRule="exact"/>
            </w:pPr>
          </w:p>
          <w:p w14:paraId="49BCAD81" w14:textId="77777777" w:rsidR="002E480D" w:rsidRPr="00732FE5" w:rsidRDefault="002E480D" w:rsidP="002E480D">
            <w:pPr>
              <w:spacing w:line="240" w:lineRule="exact"/>
            </w:pPr>
            <w:r w:rsidRPr="00732FE5">
              <w:t>Original: English</w:t>
            </w:r>
          </w:p>
        </w:tc>
      </w:tr>
    </w:tbl>
    <w:p w14:paraId="29295060" w14:textId="77777777" w:rsidR="00FC4ACF" w:rsidRPr="00732FE5" w:rsidRDefault="00FC4ACF" w:rsidP="00FC4ACF">
      <w:pPr>
        <w:spacing w:before="120"/>
        <w:rPr>
          <w:b/>
          <w:sz w:val="28"/>
          <w:szCs w:val="28"/>
        </w:rPr>
      </w:pPr>
      <w:r w:rsidRPr="00732FE5">
        <w:rPr>
          <w:b/>
          <w:sz w:val="28"/>
          <w:szCs w:val="28"/>
        </w:rPr>
        <w:t>Economic Commission for Europe</w:t>
      </w:r>
    </w:p>
    <w:p w14:paraId="30FD472C" w14:textId="77777777" w:rsidR="00FC4ACF" w:rsidRPr="00732FE5" w:rsidRDefault="00FC4ACF" w:rsidP="00FC4ACF">
      <w:pPr>
        <w:spacing w:before="120"/>
        <w:outlineLvl w:val="0"/>
        <w:rPr>
          <w:sz w:val="28"/>
          <w:szCs w:val="28"/>
        </w:rPr>
      </w:pPr>
      <w:r w:rsidRPr="00732FE5">
        <w:rPr>
          <w:sz w:val="28"/>
          <w:szCs w:val="28"/>
        </w:rPr>
        <w:t>Inland Transport Committee</w:t>
      </w:r>
    </w:p>
    <w:p w14:paraId="7FA023B8" w14:textId="77777777" w:rsidR="00FC4ACF" w:rsidRPr="00732FE5" w:rsidRDefault="00FC4ACF" w:rsidP="00FC4ACF">
      <w:pPr>
        <w:spacing w:before="120"/>
        <w:outlineLvl w:val="0"/>
        <w:rPr>
          <w:b/>
          <w:sz w:val="24"/>
          <w:szCs w:val="24"/>
        </w:rPr>
      </w:pPr>
      <w:r w:rsidRPr="00732FE5">
        <w:rPr>
          <w:b/>
          <w:sz w:val="24"/>
          <w:szCs w:val="24"/>
        </w:rPr>
        <w:t>Working Party on the Transport of Dangerous Goods</w:t>
      </w:r>
    </w:p>
    <w:p w14:paraId="3D8747A6" w14:textId="77777777" w:rsidR="00FC4ACF" w:rsidRPr="00732FE5" w:rsidRDefault="00FC4ACF" w:rsidP="00FC4ACF">
      <w:pPr>
        <w:spacing w:before="120"/>
        <w:rPr>
          <w:b/>
        </w:rPr>
      </w:pPr>
      <w:r w:rsidRPr="00732FE5">
        <w:rPr>
          <w:b/>
        </w:rPr>
        <w:t>Joint Meeting of the RID Committee of Experts and the</w:t>
      </w:r>
      <w:r w:rsidRPr="00732FE5">
        <w:rPr>
          <w:b/>
        </w:rPr>
        <w:br/>
        <w:t>Working Party on the Transport of Dangerous Goods</w:t>
      </w:r>
    </w:p>
    <w:p w14:paraId="09D48440" w14:textId="565C06A4" w:rsidR="00FC4ACF" w:rsidRPr="0079541D" w:rsidRDefault="00FC4ACF" w:rsidP="00FC4ACF">
      <w:pPr>
        <w:pStyle w:val="HChG"/>
      </w:pPr>
      <w:r w:rsidRPr="00732FE5">
        <w:tab/>
      </w:r>
      <w:r w:rsidRPr="00732FE5">
        <w:tab/>
      </w:r>
      <w:r w:rsidRPr="0079541D">
        <w:t xml:space="preserve">Report of the Joint Meeting of the RID Committee of Experts and the Working Party on the Transport of Dangerous Goods on its </w:t>
      </w:r>
      <w:r w:rsidR="00C3707F">
        <w:t>spring</w:t>
      </w:r>
      <w:r w:rsidRPr="0079541D">
        <w:t xml:space="preserve"> 202</w:t>
      </w:r>
      <w:r w:rsidR="005F3568">
        <w:t>2</w:t>
      </w:r>
      <w:r w:rsidRPr="0079541D">
        <w:t xml:space="preserve"> session</w:t>
      </w:r>
      <w:r w:rsidRPr="0079541D">
        <w:rPr>
          <w:rStyle w:val="FootnoteReference"/>
          <w:sz w:val="20"/>
          <w:vertAlign w:val="baseline"/>
        </w:rPr>
        <w:footnoteReference w:customMarkFollows="1" w:id="2"/>
        <w:t>*</w:t>
      </w:r>
    </w:p>
    <w:p w14:paraId="584B713C" w14:textId="0824E983" w:rsidR="00FC4ACF" w:rsidRPr="0079541D" w:rsidRDefault="00FC4ACF" w:rsidP="000E12AE">
      <w:pPr>
        <w:pStyle w:val="H56G"/>
      </w:pPr>
      <w:r w:rsidRPr="0079541D">
        <w:tab/>
      </w:r>
      <w:r w:rsidRPr="0079541D">
        <w:tab/>
        <w:t xml:space="preserve">held in </w:t>
      </w:r>
      <w:r w:rsidR="000E12AE">
        <w:t>Geneva</w:t>
      </w:r>
      <w:r w:rsidRPr="0079541D">
        <w:t xml:space="preserve">, </w:t>
      </w:r>
      <w:r w:rsidR="00726571">
        <w:t xml:space="preserve">on </w:t>
      </w:r>
      <w:r w:rsidR="005F3568">
        <w:t xml:space="preserve">15 </w:t>
      </w:r>
      <w:r w:rsidRPr="0079541D">
        <w:t>–</w:t>
      </w:r>
      <w:r w:rsidR="005F3568">
        <w:t xml:space="preserve"> 16 March </w:t>
      </w:r>
      <w:r w:rsidRPr="0079541D">
        <w:t>202</w:t>
      </w:r>
      <w:r w:rsidR="005F3568">
        <w:t>2</w:t>
      </w:r>
      <w:r w:rsidRPr="0079541D">
        <w:tab/>
      </w:r>
      <w:r w:rsidRPr="0079541D">
        <w:tab/>
      </w:r>
    </w:p>
    <w:p w14:paraId="07FCCC7B" w14:textId="77777777" w:rsidR="00FC4ACF" w:rsidRPr="0079541D" w:rsidRDefault="00FC4ACF" w:rsidP="00FC4ACF">
      <w:pPr>
        <w:pStyle w:val="H1G"/>
      </w:pPr>
      <w:r w:rsidRPr="0079541D">
        <w:tab/>
      </w:r>
      <w:r w:rsidRPr="0079541D">
        <w:tab/>
        <w:t>Report of the Working Group on Tanks</w:t>
      </w:r>
    </w:p>
    <w:p w14:paraId="0A7165CC" w14:textId="53EE1251" w:rsidR="00E06790" w:rsidRPr="00B655C3" w:rsidRDefault="00E06790" w:rsidP="00E06790">
      <w:pPr>
        <w:pStyle w:val="SingleTxtG"/>
      </w:pPr>
      <w:r w:rsidRPr="00B655C3">
        <w:tab/>
        <w:t>1.</w:t>
      </w:r>
      <w:r w:rsidRPr="00B655C3">
        <w:tab/>
        <w:t xml:space="preserve">The Working Group on Tanks met </w:t>
      </w:r>
      <w:r w:rsidR="005F3568">
        <w:t xml:space="preserve">15 and 16 March </w:t>
      </w:r>
      <w:r w:rsidRPr="00B655C3">
        <w:t>202</w:t>
      </w:r>
      <w:r w:rsidR="005F3568">
        <w:t>2</w:t>
      </w:r>
      <w:r w:rsidRPr="00B655C3">
        <w:t xml:space="preserve"> on a </w:t>
      </w:r>
      <w:r w:rsidR="005F3568">
        <w:t xml:space="preserve">hybrid </w:t>
      </w:r>
      <w:r w:rsidRPr="00B655C3">
        <w:t>basis on the mandate from the RID/ADR/ADN Joint Meeting, under the chairmanship of Mr. Arne Bale (United Kingdom), with Mr. Kees de Putter (Netherlands) as secretary. The relevant documents were submitted to the Working Group for consideration.</w:t>
      </w:r>
    </w:p>
    <w:p w14:paraId="3B5AEB0C" w14:textId="596AE7C2" w:rsidR="00E06790" w:rsidRPr="00B655C3" w:rsidRDefault="00E06790" w:rsidP="00E06790">
      <w:pPr>
        <w:pStyle w:val="SingleTxtG"/>
        <w:ind w:right="973"/>
      </w:pPr>
      <w:r w:rsidRPr="00B655C3">
        <w:t>2.</w:t>
      </w:r>
      <w:r w:rsidRPr="00B655C3">
        <w:tab/>
        <w:t xml:space="preserve">For the Working Group on Tanks, </w:t>
      </w:r>
      <w:r w:rsidR="00153333">
        <w:t>3</w:t>
      </w:r>
      <w:r w:rsidRPr="00F04FE2">
        <w:t>4</w:t>
      </w:r>
      <w:r w:rsidRPr="00790231">
        <w:t xml:space="preserve"> experts registered for participation from </w:t>
      </w:r>
      <w:r w:rsidRPr="00F04FE2">
        <w:t>1</w:t>
      </w:r>
      <w:r w:rsidR="00076E07" w:rsidRPr="00F04FE2">
        <w:t>5</w:t>
      </w:r>
      <w:r w:rsidRPr="00790231">
        <w:t xml:space="preserve"> countries and </w:t>
      </w:r>
      <w:r w:rsidR="00076E07" w:rsidRPr="00F04FE2">
        <w:t>7</w:t>
      </w:r>
      <w:r w:rsidRPr="00F04FE2">
        <w:t xml:space="preserve"> non</w:t>
      </w:r>
      <w:r w:rsidRPr="00790231">
        <w:t>-governmental organizations. They dealt</w:t>
      </w:r>
      <w:r w:rsidRPr="00B655C3">
        <w:t xml:space="preserve"> with the following official and informal documents:</w:t>
      </w:r>
    </w:p>
    <w:p w14:paraId="29F7FE15" w14:textId="61F03299" w:rsidR="00E06790" w:rsidRDefault="00E06790" w:rsidP="00F51A5A">
      <w:pPr>
        <w:pStyle w:val="SingleTxtG"/>
        <w:tabs>
          <w:tab w:val="left" w:pos="2977"/>
          <w:tab w:val="left" w:pos="5812"/>
        </w:tabs>
        <w:spacing w:after="0"/>
        <w:ind w:left="2977" w:hanging="1843"/>
        <w:jc w:val="left"/>
      </w:pPr>
      <w:r w:rsidRPr="00B655C3">
        <w:rPr>
          <w:i/>
        </w:rPr>
        <w:t>Documents</w:t>
      </w:r>
      <w:r w:rsidRPr="00B655C3">
        <w:t>:</w:t>
      </w:r>
      <w:r w:rsidRPr="00B655C3">
        <w:tab/>
        <w:t>ECE/TRANS/WP.15/AC.1/2021/</w:t>
      </w:r>
      <w:r w:rsidR="000E12AE">
        <w:t>2</w:t>
      </w:r>
      <w:r w:rsidR="005F3568">
        <w:t xml:space="preserve">9 </w:t>
      </w:r>
      <w:r w:rsidRPr="00B655C3">
        <w:t>(U</w:t>
      </w:r>
      <w:r w:rsidR="005F3568">
        <w:t>IC</w:t>
      </w:r>
      <w:r w:rsidRPr="00B655C3">
        <w:t>)</w:t>
      </w:r>
    </w:p>
    <w:p w14:paraId="29DB337D" w14:textId="08069A70" w:rsidR="00E06790" w:rsidRPr="00B655C3" w:rsidRDefault="00790231" w:rsidP="00790231">
      <w:pPr>
        <w:pStyle w:val="SingleTxtG"/>
        <w:tabs>
          <w:tab w:val="left" w:pos="2977"/>
          <w:tab w:val="left" w:pos="5812"/>
        </w:tabs>
        <w:spacing w:after="0"/>
        <w:ind w:left="2977" w:hanging="1843"/>
        <w:jc w:val="left"/>
      </w:pPr>
      <w:r>
        <w:rPr>
          <w:i/>
        </w:rPr>
        <w:tab/>
      </w:r>
      <w:r w:rsidRPr="00B655C3">
        <w:t>ECE/TRANS/WP.15/AC.1/2021/</w:t>
      </w:r>
      <w:r w:rsidR="005F3568">
        <w:t xml:space="preserve">42 </w:t>
      </w:r>
      <w:r>
        <w:t>(</w:t>
      </w:r>
      <w:r w:rsidR="005F3568">
        <w:t>Netherlands</w:t>
      </w:r>
      <w:r>
        <w:t>)</w:t>
      </w:r>
      <w:r w:rsidR="00E06790" w:rsidRPr="00B655C3">
        <w:tab/>
      </w:r>
    </w:p>
    <w:p w14:paraId="5952FD4D" w14:textId="69211140" w:rsidR="00E06790" w:rsidRDefault="00E06790" w:rsidP="00F51A5A">
      <w:pPr>
        <w:pStyle w:val="SingleTxtG"/>
        <w:tabs>
          <w:tab w:val="left" w:pos="2977"/>
        </w:tabs>
        <w:spacing w:after="0"/>
        <w:ind w:left="2977" w:hanging="1843"/>
        <w:jc w:val="left"/>
      </w:pPr>
      <w:r w:rsidRPr="00B655C3">
        <w:tab/>
        <w:t>ECE/TRANS/WP.15/AC.1/202</w:t>
      </w:r>
      <w:r w:rsidR="005F3568">
        <w:t>2</w:t>
      </w:r>
      <w:r w:rsidRPr="00B655C3">
        <w:t>/</w:t>
      </w:r>
      <w:r w:rsidR="005F3568">
        <w:t>3</w:t>
      </w:r>
      <w:r w:rsidRPr="00B655C3">
        <w:t xml:space="preserve"> (</w:t>
      </w:r>
      <w:r w:rsidR="005F3568">
        <w:t>United Kingdom</w:t>
      </w:r>
      <w:r w:rsidRPr="00B655C3">
        <w:t>)</w:t>
      </w:r>
    </w:p>
    <w:p w14:paraId="4A3B819B" w14:textId="60D4C5A8" w:rsidR="00790231" w:rsidRPr="00B655C3" w:rsidRDefault="00790231" w:rsidP="00F51A5A">
      <w:pPr>
        <w:pStyle w:val="SingleTxtG"/>
        <w:tabs>
          <w:tab w:val="left" w:pos="2977"/>
        </w:tabs>
        <w:spacing w:after="0"/>
        <w:ind w:left="2977" w:hanging="1843"/>
        <w:jc w:val="left"/>
      </w:pPr>
      <w:r w:rsidRPr="00790231">
        <w:tab/>
        <w:t>ECE/TRANS/WP.15/AC.1/202</w:t>
      </w:r>
      <w:r w:rsidR="005F3568">
        <w:t>2</w:t>
      </w:r>
      <w:r w:rsidRPr="00790231">
        <w:t>/</w:t>
      </w:r>
      <w:r w:rsidR="005F3568">
        <w:t>5</w:t>
      </w:r>
      <w:r w:rsidRPr="00790231">
        <w:t xml:space="preserve"> (</w:t>
      </w:r>
      <w:r w:rsidR="005F3568">
        <w:t>United Kingdom</w:t>
      </w:r>
      <w:r w:rsidRPr="00790231">
        <w:t>)</w:t>
      </w:r>
    </w:p>
    <w:p w14:paraId="5FCC6A55" w14:textId="6381CBF3" w:rsidR="00E06790" w:rsidRDefault="00F51A5A" w:rsidP="00F51A5A">
      <w:pPr>
        <w:pStyle w:val="SingleTxtG"/>
        <w:tabs>
          <w:tab w:val="left" w:pos="2977"/>
        </w:tabs>
        <w:spacing w:after="0"/>
        <w:ind w:left="2977" w:hanging="1843"/>
        <w:jc w:val="left"/>
      </w:pPr>
      <w:r>
        <w:tab/>
      </w:r>
      <w:r w:rsidR="00E06790" w:rsidRPr="00B655C3">
        <w:t>ECE/TRANS/WP.15/AC.1/202</w:t>
      </w:r>
      <w:r w:rsidR="005F3568">
        <w:t>2</w:t>
      </w:r>
      <w:r w:rsidR="00E06790" w:rsidRPr="00B655C3">
        <w:t>/</w:t>
      </w:r>
      <w:r w:rsidR="005F3568">
        <w:t>10</w:t>
      </w:r>
      <w:r w:rsidR="00E06790" w:rsidRPr="00B655C3">
        <w:t xml:space="preserve"> (</w:t>
      </w:r>
      <w:r w:rsidR="005F3568">
        <w:t>UIP)</w:t>
      </w:r>
    </w:p>
    <w:p w14:paraId="057A0F69" w14:textId="12CE1A74" w:rsidR="00153333" w:rsidRPr="00B655C3" w:rsidRDefault="00153333" w:rsidP="00F51A5A">
      <w:pPr>
        <w:pStyle w:val="SingleTxtG"/>
        <w:tabs>
          <w:tab w:val="left" w:pos="2977"/>
        </w:tabs>
        <w:spacing w:after="0"/>
        <w:ind w:left="2977" w:hanging="1843"/>
        <w:jc w:val="left"/>
      </w:pPr>
      <w:r>
        <w:tab/>
        <w:t>ECE/TRANS/WP.15/AC.1/2022/1</w:t>
      </w:r>
      <w:r w:rsidR="00EB74CA">
        <w:t>3</w:t>
      </w:r>
      <w:r>
        <w:t xml:space="preserve"> (</w:t>
      </w:r>
      <w:r w:rsidR="00EB74CA">
        <w:t>Germany</w:t>
      </w:r>
      <w:r>
        <w:t>)</w:t>
      </w:r>
    </w:p>
    <w:p w14:paraId="02BCBCB2" w14:textId="6A8FD466" w:rsidR="000E12AE" w:rsidRPr="003C693B" w:rsidRDefault="00F51A5A" w:rsidP="000E12AE">
      <w:pPr>
        <w:pStyle w:val="SingleTxtG"/>
        <w:tabs>
          <w:tab w:val="left" w:pos="2977"/>
        </w:tabs>
        <w:spacing w:after="0"/>
        <w:ind w:left="2977" w:hanging="1843"/>
        <w:jc w:val="left"/>
        <w:rPr>
          <w:lang w:val="fr-FR"/>
        </w:rPr>
      </w:pPr>
      <w:r>
        <w:tab/>
      </w:r>
      <w:r w:rsidR="000E12AE" w:rsidRPr="003C693B">
        <w:rPr>
          <w:lang w:val="fr-FR"/>
        </w:rPr>
        <w:t>ECE/TRANS/WP.15/AC.1/202</w:t>
      </w:r>
      <w:r w:rsidR="005F3568" w:rsidRPr="003C693B">
        <w:rPr>
          <w:lang w:val="fr-FR"/>
        </w:rPr>
        <w:t>2</w:t>
      </w:r>
      <w:r w:rsidR="000E12AE" w:rsidRPr="003C693B">
        <w:rPr>
          <w:lang w:val="fr-FR"/>
        </w:rPr>
        <w:t>/</w:t>
      </w:r>
      <w:r w:rsidR="005F3568" w:rsidRPr="003C693B">
        <w:rPr>
          <w:lang w:val="fr-FR"/>
        </w:rPr>
        <w:t>1</w:t>
      </w:r>
      <w:r w:rsidR="00EB74CA" w:rsidRPr="003C693B">
        <w:rPr>
          <w:lang w:val="fr-FR"/>
        </w:rPr>
        <w:t>9</w:t>
      </w:r>
      <w:r w:rsidR="000E12AE" w:rsidRPr="003C693B">
        <w:rPr>
          <w:lang w:val="fr-FR"/>
        </w:rPr>
        <w:t xml:space="preserve"> (</w:t>
      </w:r>
      <w:r w:rsidR="00EB74CA" w:rsidRPr="003C693B">
        <w:rPr>
          <w:lang w:val="fr-FR"/>
        </w:rPr>
        <w:t>France</w:t>
      </w:r>
      <w:r w:rsidR="000E12AE" w:rsidRPr="003C693B">
        <w:rPr>
          <w:lang w:val="fr-FR"/>
        </w:rPr>
        <w:t>)</w:t>
      </w:r>
    </w:p>
    <w:p w14:paraId="3E922C0B" w14:textId="1D9F98D0" w:rsidR="00E06790" w:rsidRPr="003C693B" w:rsidRDefault="00E06790" w:rsidP="000E12AE">
      <w:pPr>
        <w:pStyle w:val="SingleTxtG"/>
        <w:tabs>
          <w:tab w:val="left" w:pos="2977"/>
        </w:tabs>
        <w:spacing w:after="0"/>
        <w:ind w:left="2977" w:hanging="1843"/>
        <w:jc w:val="left"/>
        <w:rPr>
          <w:lang w:val="fr-FR"/>
        </w:rPr>
      </w:pPr>
    </w:p>
    <w:p w14:paraId="7465D877" w14:textId="7EC24480" w:rsidR="00E06790" w:rsidRPr="003C693B" w:rsidRDefault="00E06790" w:rsidP="00ED5F1C">
      <w:pPr>
        <w:pStyle w:val="SingleTxtG"/>
        <w:tabs>
          <w:tab w:val="left" w:pos="2977"/>
          <w:tab w:val="left" w:pos="5812"/>
        </w:tabs>
        <w:spacing w:after="0"/>
        <w:ind w:left="2977" w:hanging="1843"/>
        <w:jc w:val="left"/>
        <w:rPr>
          <w:lang w:val="fr-FR"/>
        </w:rPr>
      </w:pPr>
      <w:r w:rsidRPr="003C693B">
        <w:rPr>
          <w:i/>
          <w:iCs/>
          <w:lang w:val="fr-FR"/>
        </w:rPr>
        <w:t xml:space="preserve">Informal </w:t>
      </w:r>
      <w:proofErr w:type="gramStart"/>
      <w:r w:rsidRPr="003C693B">
        <w:rPr>
          <w:i/>
          <w:iCs/>
          <w:lang w:val="fr-FR"/>
        </w:rPr>
        <w:t>documents</w:t>
      </w:r>
      <w:r w:rsidRPr="003C693B">
        <w:rPr>
          <w:lang w:val="fr-FR"/>
        </w:rPr>
        <w:t>:</w:t>
      </w:r>
      <w:proofErr w:type="gramEnd"/>
      <w:r w:rsidR="008C2086" w:rsidRPr="003C693B">
        <w:rPr>
          <w:lang w:val="fr-FR"/>
        </w:rPr>
        <w:tab/>
      </w:r>
      <w:r w:rsidRPr="003C693B">
        <w:rPr>
          <w:lang w:val="fr-FR"/>
        </w:rPr>
        <w:t>INF.</w:t>
      </w:r>
      <w:r w:rsidR="005F3568" w:rsidRPr="003C693B">
        <w:rPr>
          <w:lang w:val="fr-FR"/>
        </w:rPr>
        <w:t>3</w:t>
      </w:r>
      <w:r w:rsidRPr="003C693B">
        <w:rPr>
          <w:lang w:val="fr-FR"/>
        </w:rPr>
        <w:t xml:space="preserve"> (</w:t>
      </w:r>
      <w:proofErr w:type="spellStart"/>
      <w:r w:rsidR="005F3568" w:rsidRPr="003C693B">
        <w:rPr>
          <w:lang w:val="fr-FR"/>
        </w:rPr>
        <w:t>Netherlands</w:t>
      </w:r>
      <w:proofErr w:type="spellEnd"/>
      <w:r w:rsidRPr="003C693B">
        <w:rPr>
          <w:lang w:val="fr-FR"/>
        </w:rPr>
        <w:t>)</w:t>
      </w:r>
      <w:r w:rsidR="005F3568" w:rsidRPr="003C693B">
        <w:rPr>
          <w:lang w:val="fr-FR"/>
        </w:rPr>
        <w:t xml:space="preserve"> (</w:t>
      </w:r>
      <w:proofErr w:type="spellStart"/>
      <w:r w:rsidR="005F3568" w:rsidRPr="003C693B">
        <w:rPr>
          <w:lang w:val="fr-FR"/>
        </w:rPr>
        <w:t>autumn</w:t>
      </w:r>
      <w:proofErr w:type="spellEnd"/>
      <w:r w:rsidR="005F3568" w:rsidRPr="003C693B">
        <w:rPr>
          <w:lang w:val="fr-FR"/>
        </w:rPr>
        <w:t xml:space="preserve"> 2021 session)</w:t>
      </w:r>
    </w:p>
    <w:p w14:paraId="022E3E9A" w14:textId="6CFD5C2C" w:rsidR="00E06790" w:rsidRPr="00B655C3" w:rsidRDefault="00F51A5A" w:rsidP="00F51A5A">
      <w:pPr>
        <w:pStyle w:val="SingleTxtG"/>
        <w:tabs>
          <w:tab w:val="left" w:pos="2977"/>
        </w:tabs>
        <w:spacing w:after="0"/>
        <w:ind w:left="2977" w:hanging="1843"/>
        <w:jc w:val="left"/>
      </w:pPr>
      <w:r w:rsidRPr="003C693B">
        <w:rPr>
          <w:lang w:val="fr-FR"/>
        </w:rPr>
        <w:tab/>
      </w:r>
      <w:r w:rsidR="00E06790" w:rsidRPr="00B655C3">
        <w:t>INF.</w:t>
      </w:r>
      <w:r w:rsidR="005F3568">
        <w:t xml:space="preserve">6 </w:t>
      </w:r>
      <w:r w:rsidR="00E06790" w:rsidRPr="00B655C3">
        <w:t>(</w:t>
      </w:r>
      <w:r w:rsidR="005F3568">
        <w:t>CLCCR</w:t>
      </w:r>
      <w:r w:rsidR="00E06790" w:rsidRPr="00B655C3">
        <w:t>)</w:t>
      </w:r>
      <w:r w:rsidR="005F3568">
        <w:t xml:space="preserve"> (autumn 2021 session)</w:t>
      </w:r>
    </w:p>
    <w:p w14:paraId="61B8458C" w14:textId="5DAF5C8F" w:rsidR="00E06790" w:rsidRPr="00790231" w:rsidRDefault="00F51A5A" w:rsidP="00F51A5A">
      <w:pPr>
        <w:pStyle w:val="SingleTxtG"/>
        <w:tabs>
          <w:tab w:val="left" w:pos="2977"/>
        </w:tabs>
        <w:spacing w:after="0"/>
        <w:ind w:left="2977" w:hanging="1843"/>
        <w:jc w:val="left"/>
      </w:pPr>
      <w:r>
        <w:tab/>
      </w:r>
      <w:r w:rsidR="00E06790" w:rsidRPr="00790231">
        <w:t>INF.</w:t>
      </w:r>
      <w:r w:rsidR="00C43CA9">
        <w:t>6</w:t>
      </w:r>
      <w:r w:rsidR="00E06790" w:rsidRPr="00790231">
        <w:t xml:space="preserve"> (</w:t>
      </w:r>
      <w:r w:rsidR="00C43CA9">
        <w:t>ITCO</w:t>
      </w:r>
      <w:r w:rsidR="00E06790" w:rsidRPr="00790231">
        <w:t>)</w:t>
      </w:r>
    </w:p>
    <w:p w14:paraId="7550EF83" w14:textId="3802D6CF" w:rsidR="00E06790" w:rsidRDefault="00F51A5A" w:rsidP="00F51A5A">
      <w:pPr>
        <w:pStyle w:val="SingleTxtG"/>
        <w:tabs>
          <w:tab w:val="left" w:pos="2977"/>
        </w:tabs>
        <w:spacing w:after="0"/>
        <w:ind w:left="2977" w:hanging="1843"/>
        <w:jc w:val="left"/>
      </w:pPr>
      <w:r w:rsidRPr="00790231">
        <w:tab/>
      </w:r>
      <w:r w:rsidR="00E06790" w:rsidRPr="00790231">
        <w:t>INF.</w:t>
      </w:r>
      <w:r w:rsidR="00C43CA9">
        <w:t>9</w:t>
      </w:r>
      <w:r w:rsidR="00E06790" w:rsidRPr="00790231">
        <w:t xml:space="preserve"> (</w:t>
      </w:r>
      <w:r w:rsidR="00B40B76" w:rsidRPr="00790231">
        <w:t>United Kingdom</w:t>
      </w:r>
      <w:r w:rsidR="00E06790" w:rsidRPr="00790231">
        <w:t>)</w:t>
      </w:r>
    </w:p>
    <w:p w14:paraId="5FF7A0EF" w14:textId="453250AD" w:rsidR="00153333" w:rsidRDefault="00153333" w:rsidP="00153333">
      <w:pPr>
        <w:pStyle w:val="SingleTxtG"/>
        <w:tabs>
          <w:tab w:val="left" w:pos="2977"/>
        </w:tabs>
        <w:spacing w:after="0"/>
        <w:ind w:left="2977"/>
        <w:jc w:val="left"/>
      </w:pPr>
      <w:r>
        <w:t>INF.10 (Germany)</w:t>
      </w:r>
    </w:p>
    <w:p w14:paraId="59C85758" w14:textId="37F9A257" w:rsidR="00C43CA9" w:rsidRPr="00790231" w:rsidRDefault="00C43CA9" w:rsidP="00F51A5A">
      <w:pPr>
        <w:pStyle w:val="SingleTxtG"/>
        <w:tabs>
          <w:tab w:val="left" w:pos="2977"/>
        </w:tabs>
        <w:spacing w:after="0"/>
        <w:ind w:left="2977" w:hanging="1843"/>
        <w:jc w:val="left"/>
      </w:pPr>
      <w:r>
        <w:tab/>
        <w:t>INF.29 (United Kingdom)</w:t>
      </w:r>
    </w:p>
    <w:p w14:paraId="3D0164C2" w14:textId="2B43CFA6" w:rsidR="00E06790" w:rsidRPr="00C43CA9" w:rsidRDefault="00F51A5A" w:rsidP="00F51A5A">
      <w:pPr>
        <w:pStyle w:val="SingleTxtG"/>
        <w:tabs>
          <w:tab w:val="left" w:pos="2977"/>
        </w:tabs>
        <w:spacing w:after="0"/>
        <w:ind w:left="2977" w:hanging="1843"/>
        <w:jc w:val="left"/>
      </w:pPr>
      <w:r w:rsidRPr="00790231">
        <w:tab/>
      </w:r>
    </w:p>
    <w:p w14:paraId="42BA4BFB" w14:textId="77777777" w:rsidR="00C43CA9" w:rsidRPr="00B655C3" w:rsidRDefault="00C43CA9" w:rsidP="00F51A5A">
      <w:pPr>
        <w:pStyle w:val="SingleTxtG"/>
        <w:tabs>
          <w:tab w:val="left" w:pos="2977"/>
        </w:tabs>
        <w:spacing w:after="0"/>
        <w:ind w:left="2977" w:hanging="1843"/>
        <w:jc w:val="left"/>
      </w:pPr>
    </w:p>
    <w:p w14:paraId="0FEB7847" w14:textId="65E81000" w:rsidR="00B935DE" w:rsidRPr="00DE3550" w:rsidRDefault="00C43CA9" w:rsidP="00C43CA9">
      <w:pPr>
        <w:pStyle w:val="SingleTxtG"/>
        <w:spacing w:after="0"/>
        <w:jc w:val="left"/>
        <w:rPr>
          <w:b/>
          <w:bCs/>
          <w:sz w:val="22"/>
          <w:szCs w:val="22"/>
        </w:rPr>
      </w:pPr>
      <w:r w:rsidRPr="00DE3550">
        <w:rPr>
          <w:b/>
          <w:bCs/>
          <w:sz w:val="22"/>
          <w:szCs w:val="22"/>
        </w:rPr>
        <w:lastRenderedPageBreak/>
        <w:t xml:space="preserve">Section 1: </w:t>
      </w:r>
      <w:r w:rsidR="00B6710C">
        <w:rPr>
          <w:b/>
          <w:bCs/>
          <w:sz w:val="22"/>
          <w:szCs w:val="22"/>
        </w:rPr>
        <w:t xml:space="preserve">Amendments that </w:t>
      </w:r>
      <w:r w:rsidR="00076E07" w:rsidRPr="00DE3550">
        <w:rPr>
          <w:b/>
          <w:bCs/>
          <w:sz w:val="22"/>
          <w:szCs w:val="22"/>
        </w:rPr>
        <w:t xml:space="preserve">may be approved for </w:t>
      </w:r>
      <w:r w:rsidRPr="00DE3550">
        <w:rPr>
          <w:b/>
          <w:bCs/>
          <w:sz w:val="22"/>
          <w:szCs w:val="22"/>
        </w:rPr>
        <w:t>inclu</w:t>
      </w:r>
      <w:r w:rsidR="00076E07" w:rsidRPr="00DE3550">
        <w:rPr>
          <w:b/>
          <w:bCs/>
          <w:sz w:val="22"/>
          <w:szCs w:val="22"/>
        </w:rPr>
        <w:t xml:space="preserve">sion </w:t>
      </w:r>
      <w:r w:rsidRPr="00DE3550">
        <w:rPr>
          <w:b/>
          <w:bCs/>
          <w:sz w:val="22"/>
          <w:szCs w:val="22"/>
        </w:rPr>
        <w:t>in RID/ADR 2023.</w:t>
      </w:r>
      <w:r w:rsidR="000E12AE" w:rsidRPr="00DE3550">
        <w:rPr>
          <w:b/>
          <w:bCs/>
          <w:sz w:val="22"/>
          <w:szCs w:val="22"/>
        </w:rPr>
        <w:t xml:space="preserve"> </w:t>
      </w:r>
    </w:p>
    <w:p w14:paraId="074A1962" w14:textId="4FB2D9B7" w:rsidR="00523094" w:rsidRDefault="00523094" w:rsidP="00C43CA9">
      <w:pPr>
        <w:pStyle w:val="SingleTxtG"/>
        <w:spacing w:after="0"/>
        <w:jc w:val="left"/>
      </w:pPr>
    </w:p>
    <w:p w14:paraId="7EDB2F01" w14:textId="58DE1D11" w:rsidR="00523094" w:rsidRDefault="00523094" w:rsidP="00C43CA9">
      <w:pPr>
        <w:pStyle w:val="SingleTxtG"/>
        <w:spacing w:after="0"/>
        <w:jc w:val="left"/>
      </w:pPr>
      <w:r w:rsidRPr="00504F90">
        <w:rPr>
          <w:b/>
          <w:bCs/>
        </w:rPr>
        <w:t xml:space="preserve">Item 1 </w:t>
      </w:r>
      <w:r w:rsidR="000E6939" w:rsidRPr="00504F90">
        <w:rPr>
          <w:b/>
          <w:bCs/>
        </w:rPr>
        <w:t xml:space="preserve">- </w:t>
      </w:r>
      <w:r w:rsidRPr="00504F90">
        <w:rPr>
          <w:b/>
          <w:bCs/>
        </w:rPr>
        <w:t>Clarification of the content of the type</w:t>
      </w:r>
      <w:r w:rsidR="00796289">
        <w:rPr>
          <w:b/>
          <w:bCs/>
        </w:rPr>
        <w:t>-</w:t>
      </w:r>
      <w:r w:rsidRPr="00504F90">
        <w:rPr>
          <w:b/>
          <w:bCs/>
        </w:rPr>
        <w:t xml:space="preserve">approval certificate referred to in 1.8.7.2.2.1 of RID/ADR. </w:t>
      </w:r>
    </w:p>
    <w:p w14:paraId="1865F3CE" w14:textId="3F950211" w:rsidR="00523094" w:rsidRPr="003C693B" w:rsidRDefault="00523094" w:rsidP="00C43CA9">
      <w:pPr>
        <w:pStyle w:val="SingleTxtG"/>
        <w:spacing w:after="0"/>
        <w:jc w:val="left"/>
        <w:rPr>
          <w:lang w:val="fr-FR"/>
        </w:rPr>
      </w:pPr>
      <w:proofErr w:type="gramStart"/>
      <w:r w:rsidRPr="003C693B">
        <w:rPr>
          <w:b/>
          <w:bCs/>
          <w:lang w:val="fr-FR"/>
        </w:rPr>
        <w:t>Document</w:t>
      </w:r>
      <w:r w:rsidR="00504F90" w:rsidRPr="003C693B">
        <w:rPr>
          <w:lang w:val="fr-FR"/>
        </w:rPr>
        <w:t>:</w:t>
      </w:r>
      <w:proofErr w:type="gramEnd"/>
      <w:r w:rsidRPr="003C693B">
        <w:rPr>
          <w:lang w:val="fr-FR"/>
        </w:rPr>
        <w:t xml:space="preserve"> ECE/TRANS/WP.15/AC.1/2022/19 (France) </w:t>
      </w:r>
    </w:p>
    <w:p w14:paraId="4E177D7A" w14:textId="7635822A" w:rsidR="00523094" w:rsidRPr="003C693B" w:rsidRDefault="00523094" w:rsidP="00C43CA9">
      <w:pPr>
        <w:pStyle w:val="SingleTxtG"/>
        <w:spacing w:after="0"/>
        <w:jc w:val="left"/>
        <w:rPr>
          <w:lang w:val="fr-FR"/>
        </w:rPr>
      </w:pPr>
    </w:p>
    <w:p w14:paraId="1FDA8D2E" w14:textId="0BE6CF86" w:rsidR="00523094" w:rsidRPr="003548FD" w:rsidRDefault="00523094" w:rsidP="00523094">
      <w:pPr>
        <w:pStyle w:val="ListParagraph"/>
        <w:spacing w:after="160" w:line="259" w:lineRule="auto"/>
        <w:ind w:left="1134"/>
        <w:contextualSpacing/>
      </w:pPr>
      <w:r>
        <w:t xml:space="preserve">3. </w:t>
      </w:r>
      <w:r w:rsidR="00CA61B6">
        <w:t>During discussion it was decide</w:t>
      </w:r>
      <w:r w:rsidR="000C4767">
        <w:t>d</w:t>
      </w:r>
      <w:r w:rsidR="00CA61B6">
        <w:t xml:space="preserve"> to refine the proposal </w:t>
      </w:r>
      <w:r w:rsidR="000E6939">
        <w:t xml:space="preserve">in </w:t>
      </w:r>
      <w:r>
        <w:t xml:space="preserve">document </w:t>
      </w:r>
      <w:r w:rsidR="000E6939">
        <w:t xml:space="preserve">2022/19 to cover all situations. </w:t>
      </w:r>
    </w:p>
    <w:p w14:paraId="240FDB62" w14:textId="0F5FF53A" w:rsidR="00523094" w:rsidRDefault="00523094" w:rsidP="00C43CA9">
      <w:pPr>
        <w:pStyle w:val="SingleTxtG"/>
        <w:spacing w:after="0"/>
        <w:jc w:val="left"/>
      </w:pPr>
    </w:p>
    <w:p w14:paraId="6F4F7581" w14:textId="1C1A3DBD" w:rsidR="00523094" w:rsidRDefault="00504F90" w:rsidP="00C43CA9">
      <w:pPr>
        <w:pStyle w:val="SingleTxtG"/>
        <w:spacing w:after="0"/>
        <w:jc w:val="left"/>
      </w:pPr>
      <w:r>
        <w:t xml:space="preserve">4. </w:t>
      </w:r>
      <w:r w:rsidR="00523094" w:rsidRPr="00DE3550">
        <w:rPr>
          <w:b/>
          <w:bCs/>
          <w:i/>
          <w:iCs/>
        </w:rPr>
        <w:t>Proposal</w:t>
      </w:r>
      <w:r w:rsidR="000E6939" w:rsidRPr="00DE3550">
        <w:rPr>
          <w:b/>
          <w:bCs/>
          <w:i/>
          <w:iCs/>
        </w:rPr>
        <w:t xml:space="preserve"> 1</w:t>
      </w:r>
      <w:r w:rsidR="000E6939">
        <w:t xml:space="preserve"> – </w:t>
      </w:r>
      <w:r w:rsidR="00601C45">
        <w:t>delete the last sentence of 1.8.7.2.2</w:t>
      </w:r>
      <w:r w:rsidR="000B501D">
        <w:t>.</w:t>
      </w:r>
      <w:r w:rsidR="00601C45">
        <w:t xml:space="preserve">1 and </w:t>
      </w:r>
      <w:r w:rsidR="000E6939">
        <w:t xml:space="preserve">amend 1.8.7.2.2.1 </w:t>
      </w:r>
      <w:r w:rsidR="000A37AB">
        <w:t xml:space="preserve">(f) </w:t>
      </w:r>
      <w:r w:rsidR="000E6939">
        <w:t>to read (new wording underlined):</w:t>
      </w:r>
    </w:p>
    <w:p w14:paraId="30F239C4" w14:textId="579EF370" w:rsidR="00523094" w:rsidRDefault="00523094" w:rsidP="00C43CA9">
      <w:pPr>
        <w:pStyle w:val="SingleTxtG"/>
        <w:spacing w:after="0"/>
        <w:jc w:val="left"/>
      </w:pPr>
    </w:p>
    <w:p w14:paraId="07EDE45C" w14:textId="310D9B4A" w:rsidR="00523094" w:rsidRDefault="00523094" w:rsidP="00C43CA9">
      <w:pPr>
        <w:pStyle w:val="SingleTxtG"/>
        <w:spacing w:after="0"/>
        <w:jc w:val="left"/>
        <w:rPr>
          <w:i/>
          <w:iCs/>
          <w:lang w:eastAsia="nl-NL"/>
        </w:rPr>
      </w:pPr>
      <w:r w:rsidRPr="0091054B">
        <w:rPr>
          <w:i/>
          <w:iCs/>
          <w:lang w:eastAsia="nl-NL"/>
        </w:rPr>
        <w:t>“The data</w:t>
      </w:r>
      <w:r w:rsidRPr="0091054B">
        <w:rPr>
          <w:i/>
          <w:iCs/>
          <w:u w:val="single"/>
          <w:lang w:eastAsia="nl-NL"/>
        </w:rPr>
        <w:t xml:space="preserve"> contained in the documents for the type</w:t>
      </w:r>
      <w:r w:rsidR="00F5010E">
        <w:rPr>
          <w:i/>
          <w:iCs/>
          <w:u w:val="single"/>
          <w:lang w:eastAsia="nl-NL"/>
        </w:rPr>
        <w:t>-</w:t>
      </w:r>
      <w:r w:rsidRPr="0091054B">
        <w:rPr>
          <w:i/>
          <w:iCs/>
          <w:u w:val="single"/>
          <w:lang w:eastAsia="nl-NL"/>
        </w:rPr>
        <w:t xml:space="preserve">examination according to 1.8.7.8.1, </w:t>
      </w:r>
      <w:r w:rsidRPr="0091054B">
        <w:rPr>
          <w:i/>
          <w:iCs/>
          <w:lang w:eastAsia="nl-NL"/>
        </w:rPr>
        <w:t>necessary for the identification of the type and variation, as defined by the relevant standards. </w:t>
      </w:r>
      <w:r w:rsidRPr="00523094">
        <w:rPr>
          <w:i/>
          <w:iCs/>
          <w:lang w:eastAsia="nl-NL"/>
        </w:rPr>
        <w:t>T</w:t>
      </w:r>
      <w:r w:rsidRPr="00523094">
        <w:rPr>
          <w:i/>
          <w:iCs/>
          <w:u w:val="single"/>
          <w:lang w:eastAsia="nl-NL"/>
        </w:rPr>
        <w:t xml:space="preserve">he documents, or </w:t>
      </w:r>
      <w:r w:rsidRPr="0091054B">
        <w:rPr>
          <w:i/>
          <w:iCs/>
          <w:u w:val="single"/>
          <w:lang w:eastAsia="nl-NL"/>
        </w:rPr>
        <w:t xml:space="preserve">a list </w:t>
      </w:r>
      <w:r w:rsidRPr="00523094">
        <w:rPr>
          <w:i/>
          <w:iCs/>
          <w:u w:val="single"/>
          <w:lang w:eastAsia="nl-NL"/>
        </w:rPr>
        <w:t xml:space="preserve">identifying the </w:t>
      </w:r>
      <w:r w:rsidRPr="0091054B">
        <w:rPr>
          <w:i/>
          <w:iCs/>
          <w:u w:val="single"/>
          <w:lang w:eastAsia="nl-NL"/>
        </w:rPr>
        <w:t>documents</w:t>
      </w:r>
      <w:r w:rsidRPr="00523094">
        <w:rPr>
          <w:i/>
          <w:iCs/>
          <w:u w:val="single"/>
          <w:lang w:eastAsia="nl-NL"/>
        </w:rPr>
        <w:t>,</w:t>
      </w:r>
      <w:r w:rsidRPr="0091054B">
        <w:rPr>
          <w:i/>
          <w:iCs/>
          <w:u w:val="single"/>
          <w:lang w:eastAsia="nl-NL"/>
        </w:rPr>
        <w:t xml:space="preserve"> </w:t>
      </w:r>
      <w:r w:rsidRPr="00523094">
        <w:rPr>
          <w:i/>
          <w:iCs/>
          <w:u w:val="single"/>
          <w:lang w:eastAsia="nl-NL"/>
        </w:rPr>
        <w:t xml:space="preserve">containing the data </w:t>
      </w:r>
      <w:r w:rsidRPr="0091054B">
        <w:rPr>
          <w:i/>
          <w:iCs/>
          <w:u w:val="single"/>
          <w:lang w:eastAsia="nl-NL"/>
        </w:rPr>
        <w:t>shall be</w:t>
      </w:r>
      <w:r w:rsidRPr="00523094">
        <w:rPr>
          <w:i/>
          <w:iCs/>
          <w:u w:val="single"/>
          <w:lang w:eastAsia="nl-NL"/>
        </w:rPr>
        <w:t xml:space="preserve"> </w:t>
      </w:r>
      <w:r w:rsidRPr="0091054B">
        <w:rPr>
          <w:i/>
          <w:iCs/>
          <w:u w:val="single"/>
          <w:lang w:eastAsia="nl-NL"/>
        </w:rPr>
        <w:t>included or annexed to the certificate</w:t>
      </w:r>
      <w:r w:rsidRPr="0091054B">
        <w:rPr>
          <w:i/>
          <w:iCs/>
          <w:lang w:eastAsia="nl-NL"/>
        </w:rPr>
        <w:t>;”</w:t>
      </w:r>
    </w:p>
    <w:p w14:paraId="2A6CEE60" w14:textId="3001A7A0" w:rsidR="000E6939" w:rsidRDefault="000E6939" w:rsidP="00C43CA9">
      <w:pPr>
        <w:pStyle w:val="SingleTxtG"/>
        <w:spacing w:after="0"/>
        <w:jc w:val="left"/>
        <w:rPr>
          <w:i/>
          <w:iCs/>
          <w:lang w:eastAsia="nl-NL"/>
        </w:rPr>
      </w:pPr>
    </w:p>
    <w:p w14:paraId="13F24ACA" w14:textId="156492C2" w:rsidR="000E6939" w:rsidRPr="00DE3550" w:rsidRDefault="000E6939" w:rsidP="00C43CA9">
      <w:pPr>
        <w:pStyle w:val="SingleTxtG"/>
        <w:spacing w:after="0"/>
        <w:jc w:val="left"/>
        <w:rPr>
          <w:b/>
          <w:bCs/>
          <w:lang w:eastAsia="nl-NL"/>
        </w:rPr>
      </w:pPr>
      <w:r w:rsidRPr="00DE3550">
        <w:rPr>
          <w:b/>
          <w:bCs/>
          <w:lang w:eastAsia="nl-NL"/>
        </w:rPr>
        <w:t xml:space="preserve">Item 2 – </w:t>
      </w:r>
      <w:r w:rsidRPr="00DE3550">
        <w:rPr>
          <w:b/>
          <w:bCs/>
        </w:rPr>
        <w:t>Non-destructive testing according to 6.8.2.1.23.</w:t>
      </w:r>
    </w:p>
    <w:p w14:paraId="499B72C6" w14:textId="3BB1C6C8" w:rsidR="00504F90" w:rsidRDefault="000E6939" w:rsidP="00C43CA9">
      <w:pPr>
        <w:pStyle w:val="SingleTxtG"/>
        <w:spacing w:after="0"/>
        <w:jc w:val="left"/>
      </w:pPr>
      <w:r w:rsidRPr="00DE3550">
        <w:rPr>
          <w:b/>
          <w:bCs/>
          <w:lang w:eastAsia="nl-NL"/>
        </w:rPr>
        <w:t>Informal documents</w:t>
      </w:r>
      <w:r w:rsidR="00DE3550">
        <w:rPr>
          <w:lang w:eastAsia="nl-NL"/>
        </w:rPr>
        <w:t>:</w:t>
      </w:r>
      <w:r>
        <w:rPr>
          <w:lang w:eastAsia="nl-NL"/>
        </w:rPr>
        <w:t xml:space="preserve"> INF 10 (Germany)</w:t>
      </w:r>
      <w:r w:rsidR="00A70D6E">
        <w:rPr>
          <w:lang w:eastAsia="nl-NL"/>
        </w:rPr>
        <w:t xml:space="preserve"> and</w:t>
      </w:r>
      <w:r>
        <w:rPr>
          <w:lang w:eastAsia="nl-NL"/>
        </w:rPr>
        <w:t xml:space="preserve"> INF 6 (CLCCR) </w:t>
      </w:r>
      <w:r>
        <w:t>(autumn 2021 session</w:t>
      </w:r>
      <w:r w:rsidR="00A70D6E">
        <w:t>)</w:t>
      </w:r>
      <w:r w:rsidR="00F5010E">
        <w:t>.</w:t>
      </w:r>
    </w:p>
    <w:p w14:paraId="44A99012" w14:textId="44CB62D6" w:rsidR="000E6939" w:rsidRDefault="000E6939" w:rsidP="00C43CA9">
      <w:pPr>
        <w:pStyle w:val="SingleTxtG"/>
        <w:spacing w:after="0"/>
        <w:jc w:val="left"/>
        <w:rPr>
          <w:lang w:eastAsia="nl-NL"/>
        </w:rPr>
      </w:pPr>
      <w:r w:rsidRPr="00FB17A3">
        <w:t xml:space="preserve"> </w:t>
      </w:r>
    </w:p>
    <w:p w14:paraId="5DB73DC4" w14:textId="2C5E2CD1" w:rsidR="00504F90" w:rsidRDefault="000E6939" w:rsidP="00504F90">
      <w:pPr>
        <w:pStyle w:val="ListParagraph"/>
        <w:numPr>
          <w:ilvl w:val="0"/>
          <w:numId w:val="42"/>
        </w:numPr>
        <w:tabs>
          <w:tab w:val="left" w:pos="284"/>
        </w:tabs>
        <w:spacing w:after="160" w:line="259" w:lineRule="auto"/>
        <w:ind w:left="1134" w:firstLine="0"/>
        <w:contextualSpacing/>
      </w:pPr>
      <w:r>
        <w:t xml:space="preserve">As no consensus could be reached on these documents under agenda item 2 (a) of the agenda of the Joint Meeting they were </w:t>
      </w:r>
      <w:r w:rsidR="00701EEA">
        <w:t>r</w:t>
      </w:r>
      <w:r>
        <w:t xml:space="preserve">eferred to the working group on tanks. </w:t>
      </w:r>
      <w:r w:rsidR="00504F90">
        <w:br/>
      </w:r>
    </w:p>
    <w:p w14:paraId="5A80F4AD" w14:textId="4EF7B7B1" w:rsidR="000E6939" w:rsidRDefault="000E6939" w:rsidP="00504F90">
      <w:pPr>
        <w:pStyle w:val="ListParagraph"/>
        <w:numPr>
          <w:ilvl w:val="0"/>
          <w:numId w:val="42"/>
        </w:numPr>
        <w:tabs>
          <w:tab w:val="left" w:pos="284"/>
        </w:tabs>
        <w:spacing w:after="160" w:line="259" w:lineRule="auto"/>
        <w:ind w:left="1134" w:firstLine="0"/>
        <w:contextualSpacing/>
      </w:pPr>
      <w:r>
        <w:t xml:space="preserve">It was felt essential that for longitudinal, </w:t>
      </w:r>
      <w:r w:rsidR="00F722A7">
        <w:t>circumferential,</w:t>
      </w:r>
      <w:r>
        <w:t xml:space="preserve"> and radial welds </w:t>
      </w:r>
      <w:r w:rsidR="002A7F13">
        <w:t xml:space="preserve">(normally butt </w:t>
      </w:r>
      <w:proofErr w:type="gramStart"/>
      <w:r w:rsidR="002A7F13">
        <w:t xml:space="preserve">welds) </w:t>
      </w:r>
      <w:r>
        <w:t xml:space="preserve"> radiography</w:t>
      </w:r>
      <w:proofErr w:type="gramEnd"/>
      <w:r>
        <w:t xml:space="preserve"> or ultrasound methods</w:t>
      </w:r>
      <w:r w:rsidR="009343A5" w:rsidRPr="009343A5">
        <w:t xml:space="preserve"> </w:t>
      </w:r>
      <w:r w:rsidR="009343A5">
        <w:t>are used</w:t>
      </w:r>
      <w:r>
        <w:t>. Other types of welds such as corner welds and lap joints, allowed to be used by the tank design and construction standards</w:t>
      </w:r>
      <w:r w:rsidR="009343A5">
        <w:t>,</w:t>
      </w:r>
      <w:r>
        <w:t xml:space="preserve"> should be allowed to be tested by one of the alternative methods mentioned in the applicable test standard. </w:t>
      </w:r>
      <w:r w:rsidR="00E43CA2">
        <w:t xml:space="preserve">It was also noted that the </w:t>
      </w:r>
      <w:r w:rsidR="007645F6">
        <w:t>element</w:t>
      </w:r>
      <w:r w:rsidR="009909CD">
        <w:t xml:space="preserve">s </w:t>
      </w:r>
      <w:r w:rsidR="007645F6">
        <w:t>in brackets in T</w:t>
      </w:r>
      <w:r w:rsidR="00E43CA2">
        <w:t>able</w:t>
      </w:r>
      <w:r w:rsidR="00D936D6">
        <w:t xml:space="preserve"> 1 </w:t>
      </w:r>
      <w:r w:rsidR="001F7EF5">
        <w:t xml:space="preserve">in section 5.3.6.1 </w:t>
      </w:r>
      <w:proofErr w:type="gramStart"/>
      <w:r w:rsidR="007645F6">
        <w:t xml:space="preserve">of </w:t>
      </w:r>
      <w:r w:rsidR="00D936D6">
        <w:t xml:space="preserve"> EN</w:t>
      </w:r>
      <w:proofErr w:type="gramEnd"/>
      <w:r w:rsidR="00D936D6">
        <w:t xml:space="preserve"> 1297</w:t>
      </w:r>
      <w:r w:rsidR="00D2413A">
        <w:t>2</w:t>
      </w:r>
      <w:r w:rsidR="00404D1C">
        <w:t>:</w:t>
      </w:r>
      <w:r w:rsidR="00D936D6">
        <w:t>2</w:t>
      </w:r>
      <w:r w:rsidR="00404D1C">
        <w:t>018</w:t>
      </w:r>
      <w:r w:rsidR="008906BB">
        <w:t xml:space="preserve"> </w:t>
      </w:r>
      <w:r w:rsidR="00E43CA2">
        <w:t xml:space="preserve"> </w:t>
      </w:r>
      <w:r w:rsidR="008906BB">
        <w:t>are t</w:t>
      </w:r>
      <w:r w:rsidR="001F7EF5">
        <w:t xml:space="preserve">o </w:t>
      </w:r>
      <w:r w:rsidR="000A0188">
        <w:t xml:space="preserve">be </w:t>
      </w:r>
      <w:r w:rsidR="008906BB">
        <w:t xml:space="preserve">considered </w:t>
      </w:r>
      <w:r w:rsidR="000A0188">
        <w:t>as</w:t>
      </w:r>
      <w:r w:rsidR="001F7EF5">
        <w:t xml:space="preserve"> </w:t>
      </w:r>
      <w:r w:rsidR="008906BB">
        <w:t xml:space="preserve">examples. </w:t>
      </w:r>
      <w:r>
        <w:t xml:space="preserve">After discussion and a drafting </w:t>
      </w:r>
      <w:r w:rsidR="00F5010E">
        <w:t>exercise,</w:t>
      </w:r>
      <w:r>
        <w:t xml:space="preserve"> the following proposal was agreed upon.</w:t>
      </w:r>
      <w:r w:rsidR="00504F90">
        <w:br/>
      </w:r>
    </w:p>
    <w:p w14:paraId="766E5D0B" w14:textId="26B5B924" w:rsidR="00504F90" w:rsidRPr="00DE3550" w:rsidRDefault="000E6939" w:rsidP="00DE3550">
      <w:pPr>
        <w:pStyle w:val="ListParagraph"/>
        <w:numPr>
          <w:ilvl w:val="0"/>
          <w:numId w:val="42"/>
        </w:numPr>
        <w:tabs>
          <w:tab w:val="left" w:pos="284"/>
        </w:tabs>
        <w:ind w:left="1134" w:firstLine="0"/>
        <w:rPr>
          <w:color w:val="222222"/>
          <w:lang w:eastAsia="nl-NL"/>
        </w:rPr>
      </w:pPr>
      <w:r w:rsidRPr="00DE3550">
        <w:rPr>
          <w:b/>
          <w:bCs/>
          <w:i/>
          <w:iCs/>
        </w:rPr>
        <w:t xml:space="preserve">Proposal </w:t>
      </w:r>
      <w:r w:rsidR="00F5010E" w:rsidRPr="00DE3550">
        <w:rPr>
          <w:b/>
          <w:bCs/>
          <w:i/>
          <w:iCs/>
        </w:rPr>
        <w:t xml:space="preserve">2 </w:t>
      </w:r>
      <w:r w:rsidR="00F5010E">
        <w:t>-</w:t>
      </w:r>
      <w:r w:rsidR="00504F90">
        <w:t xml:space="preserve">Introduce a new paragraph in 6.8.2.1.23 after the paragraph for </w:t>
      </w:r>
      <w:r w:rsidR="00504F90" w:rsidRPr="00DE3550">
        <w:rPr>
          <w:color w:val="222222"/>
          <w:lang w:eastAsia="nl-NL"/>
        </w:rPr>
        <w:t>λ=1 to read:</w:t>
      </w:r>
    </w:p>
    <w:p w14:paraId="3CE42A17" w14:textId="182F964A" w:rsidR="00504F90" w:rsidRDefault="00504F90" w:rsidP="00504F90">
      <w:pPr>
        <w:tabs>
          <w:tab w:val="left" w:pos="284"/>
        </w:tabs>
        <w:ind w:left="1134"/>
        <w:rPr>
          <w:color w:val="222222"/>
          <w:lang w:eastAsia="nl-NL"/>
        </w:rPr>
      </w:pPr>
    </w:p>
    <w:p w14:paraId="0F002FB0" w14:textId="77777777" w:rsidR="00504F90" w:rsidRPr="000C3703" w:rsidRDefault="00504F90" w:rsidP="00504F90">
      <w:pPr>
        <w:shd w:val="clear" w:color="auto" w:fill="FFFFFF"/>
        <w:spacing w:line="240" w:lineRule="auto"/>
        <w:ind w:left="1134"/>
        <w:rPr>
          <w:i/>
          <w:iCs/>
          <w:color w:val="222222"/>
          <w:lang w:eastAsia="nl-NL"/>
        </w:rPr>
      </w:pPr>
      <w:r w:rsidRPr="00082E19">
        <w:rPr>
          <w:i/>
          <w:iCs/>
          <w:color w:val="222222"/>
          <w:lang w:eastAsia="nl-NL"/>
        </w:rPr>
        <w:t>“The non-destructive checks of the circumferential, longitudinal and radial welds shall be</w:t>
      </w:r>
      <w:r w:rsidRPr="000C3703">
        <w:rPr>
          <w:i/>
          <w:iCs/>
          <w:color w:val="222222"/>
          <w:lang w:eastAsia="nl-NL"/>
        </w:rPr>
        <w:t xml:space="preserve"> </w:t>
      </w:r>
      <w:r w:rsidRPr="00082E19">
        <w:rPr>
          <w:i/>
          <w:iCs/>
          <w:color w:val="222222"/>
          <w:lang w:eastAsia="nl-NL"/>
        </w:rPr>
        <w:t>carried out by radiography or by ultrasound</w:t>
      </w:r>
      <w:r w:rsidRPr="000C3703">
        <w:rPr>
          <w:i/>
          <w:iCs/>
          <w:color w:val="222222"/>
          <w:lang w:eastAsia="nl-NL"/>
        </w:rPr>
        <w:t xml:space="preserve">. </w:t>
      </w:r>
      <w:r w:rsidRPr="00082E19">
        <w:rPr>
          <w:color w:val="222222"/>
          <w:lang w:eastAsia="nl-NL"/>
        </w:rPr>
        <w:t> </w:t>
      </w:r>
      <w:r w:rsidRPr="00082E19">
        <w:rPr>
          <w:i/>
          <w:iCs/>
          <w:color w:val="222222"/>
          <w:lang w:eastAsia="nl-NL"/>
        </w:rPr>
        <w:t xml:space="preserve"> Other welds allowed in the appropriate design and construction standard shall be tested using alternative methods in accordance with the relevant standard(s) referenced in 6.8.2.6.2.</w:t>
      </w:r>
      <w:r w:rsidRPr="000C3703">
        <w:rPr>
          <w:i/>
          <w:iCs/>
          <w:color w:val="222222"/>
          <w:lang w:eastAsia="nl-NL"/>
        </w:rPr>
        <w:t xml:space="preserve"> The checks </w:t>
      </w:r>
      <w:r w:rsidRPr="00082E19">
        <w:rPr>
          <w:i/>
          <w:iCs/>
          <w:color w:val="222222"/>
          <w:lang w:eastAsia="nl-NL"/>
        </w:rPr>
        <w:t>shall confirm that the quality of the welding is appropriate to the stresses.</w:t>
      </w:r>
      <w:r w:rsidRPr="000C3703">
        <w:rPr>
          <w:i/>
          <w:iCs/>
          <w:color w:val="222222"/>
          <w:lang w:eastAsia="nl-NL"/>
        </w:rPr>
        <w:t>”</w:t>
      </w:r>
    </w:p>
    <w:p w14:paraId="74A557DE" w14:textId="77777777" w:rsidR="00504F90" w:rsidRDefault="00504F90" w:rsidP="00504F90">
      <w:pPr>
        <w:tabs>
          <w:tab w:val="left" w:pos="284"/>
        </w:tabs>
        <w:ind w:left="1134"/>
      </w:pPr>
    </w:p>
    <w:p w14:paraId="25B8D706" w14:textId="0ADC1B92" w:rsidR="00504F90" w:rsidRDefault="00504F90" w:rsidP="009B1E94">
      <w:pPr>
        <w:pStyle w:val="ListParagraph"/>
        <w:numPr>
          <w:ilvl w:val="0"/>
          <w:numId w:val="42"/>
        </w:numPr>
        <w:shd w:val="clear" w:color="auto" w:fill="FFFFFF"/>
        <w:spacing w:line="240" w:lineRule="auto"/>
        <w:ind w:left="1560" w:hanging="426"/>
        <w:contextualSpacing/>
        <w:rPr>
          <w:color w:val="222222"/>
          <w:lang w:eastAsia="nl-NL"/>
        </w:rPr>
      </w:pPr>
      <w:r>
        <w:rPr>
          <w:color w:val="222222"/>
          <w:lang w:eastAsia="nl-NL"/>
        </w:rPr>
        <w:t>Consequential amendments:</w:t>
      </w:r>
    </w:p>
    <w:p w14:paraId="76206F3A" w14:textId="77777777" w:rsidR="00504F90" w:rsidRDefault="00504F90" w:rsidP="00504F90">
      <w:pPr>
        <w:pStyle w:val="ListParagraph"/>
        <w:shd w:val="clear" w:color="auto" w:fill="FFFFFF"/>
        <w:spacing w:line="240" w:lineRule="auto"/>
        <w:ind w:left="1134"/>
        <w:contextualSpacing/>
        <w:rPr>
          <w:color w:val="222222"/>
          <w:lang w:eastAsia="nl-NL"/>
        </w:rPr>
      </w:pPr>
    </w:p>
    <w:p w14:paraId="52DC3D7E" w14:textId="1DE6F551" w:rsidR="000E6939" w:rsidRPr="000C3703" w:rsidRDefault="00504F90" w:rsidP="00504F90">
      <w:pPr>
        <w:pStyle w:val="ListParagraph"/>
        <w:shd w:val="clear" w:color="auto" w:fill="FFFFFF"/>
        <w:spacing w:line="240" w:lineRule="auto"/>
        <w:ind w:left="1134"/>
        <w:contextualSpacing/>
        <w:rPr>
          <w:color w:val="222222"/>
          <w:lang w:eastAsia="nl-NL"/>
        </w:rPr>
      </w:pPr>
      <w:r>
        <w:rPr>
          <w:color w:val="222222"/>
          <w:lang w:eastAsia="nl-NL"/>
        </w:rPr>
        <w:t>*</w:t>
      </w:r>
      <w:r w:rsidR="000E6939" w:rsidRPr="000C3703">
        <w:rPr>
          <w:color w:val="222222"/>
          <w:lang w:eastAsia="nl-NL"/>
        </w:rPr>
        <w:t xml:space="preserve">Delete </w:t>
      </w:r>
      <w:r w:rsidR="00E55DF0">
        <w:rPr>
          <w:color w:val="222222"/>
          <w:lang w:eastAsia="nl-NL"/>
        </w:rPr>
        <w:t xml:space="preserve">the </w:t>
      </w:r>
      <w:r w:rsidR="000E6939" w:rsidRPr="000C3703">
        <w:rPr>
          <w:color w:val="222222"/>
          <w:lang w:eastAsia="nl-NL"/>
        </w:rPr>
        <w:t xml:space="preserve">last sentence </w:t>
      </w:r>
      <w:r w:rsidR="003928C2">
        <w:rPr>
          <w:color w:val="222222"/>
          <w:lang w:eastAsia="nl-NL"/>
        </w:rPr>
        <w:t xml:space="preserve">before </w:t>
      </w:r>
      <w:r w:rsidR="003C0246">
        <w:rPr>
          <w:color w:val="222222"/>
          <w:lang w:eastAsia="nl-NL"/>
        </w:rPr>
        <w:t xml:space="preserve">the </w:t>
      </w:r>
      <w:r w:rsidR="003C0246">
        <w:t xml:space="preserve">paragraph for </w:t>
      </w:r>
      <w:r w:rsidR="003C0246" w:rsidRPr="00DE3550">
        <w:rPr>
          <w:color w:val="222222"/>
          <w:lang w:eastAsia="nl-NL"/>
        </w:rPr>
        <w:t>λ=</w:t>
      </w:r>
      <w:r w:rsidR="003C0246">
        <w:rPr>
          <w:color w:val="222222"/>
          <w:lang w:eastAsia="nl-NL"/>
        </w:rPr>
        <w:t xml:space="preserve">0.8 </w:t>
      </w:r>
      <w:r w:rsidR="000E6939" w:rsidRPr="000C3703">
        <w:rPr>
          <w:color w:val="222222"/>
          <w:lang w:eastAsia="nl-NL"/>
        </w:rPr>
        <w:t>(as approved for the RID/ADR 2023).</w:t>
      </w:r>
      <w:r>
        <w:rPr>
          <w:color w:val="222222"/>
          <w:lang w:eastAsia="nl-NL"/>
        </w:rPr>
        <w:br/>
      </w:r>
    </w:p>
    <w:p w14:paraId="662FFF49" w14:textId="12561897" w:rsidR="000E6939" w:rsidRPr="000C3703" w:rsidRDefault="00504F90" w:rsidP="00504F90">
      <w:pPr>
        <w:pStyle w:val="ListParagraph"/>
        <w:shd w:val="clear" w:color="auto" w:fill="FFFFFF"/>
        <w:spacing w:line="240" w:lineRule="auto"/>
        <w:ind w:left="1134"/>
        <w:contextualSpacing/>
        <w:rPr>
          <w:color w:val="222222"/>
          <w:lang w:eastAsia="nl-NL"/>
        </w:rPr>
      </w:pPr>
      <w:r>
        <w:rPr>
          <w:color w:val="222222"/>
          <w:lang w:eastAsia="nl-NL"/>
        </w:rPr>
        <w:t>*</w:t>
      </w:r>
      <w:r w:rsidR="000E6939" w:rsidRPr="000C3703">
        <w:rPr>
          <w:color w:val="222222"/>
          <w:lang w:eastAsia="nl-NL"/>
        </w:rPr>
        <w:t xml:space="preserve">Delete foot note 6 (RID) </w:t>
      </w:r>
      <w:r w:rsidR="000E6939">
        <w:rPr>
          <w:color w:val="222222"/>
          <w:lang w:eastAsia="nl-NL"/>
        </w:rPr>
        <w:t xml:space="preserve">and </w:t>
      </w:r>
      <w:r w:rsidR="000E6939" w:rsidRPr="000C3703">
        <w:rPr>
          <w:color w:val="222222"/>
          <w:lang w:eastAsia="nl-NL"/>
        </w:rPr>
        <w:t>7</w:t>
      </w:r>
      <w:r w:rsidR="000E6939">
        <w:rPr>
          <w:color w:val="222222"/>
          <w:lang w:eastAsia="nl-NL"/>
        </w:rPr>
        <w:t xml:space="preserve"> </w:t>
      </w:r>
      <w:r w:rsidR="000E6939" w:rsidRPr="000C3703">
        <w:rPr>
          <w:color w:val="222222"/>
          <w:lang w:eastAsia="nl-NL"/>
        </w:rPr>
        <w:t xml:space="preserve">(ADR) and renumber subsequent foot notes. </w:t>
      </w:r>
    </w:p>
    <w:p w14:paraId="383CFA8F" w14:textId="29706E9F" w:rsidR="00DE3550" w:rsidRDefault="00DE3550">
      <w:pPr>
        <w:suppressAutoHyphens w:val="0"/>
        <w:spacing w:line="240" w:lineRule="auto"/>
        <w:rPr>
          <w:color w:val="222222"/>
          <w:lang w:eastAsia="nl-NL"/>
        </w:rPr>
      </w:pPr>
    </w:p>
    <w:p w14:paraId="43F840B1" w14:textId="77777777" w:rsidR="000E6939" w:rsidRPr="00082E19" w:rsidRDefault="000E6939" w:rsidP="00504F90">
      <w:pPr>
        <w:shd w:val="clear" w:color="auto" w:fill="FFFFFF"/>
        <w:spacing w:line="240" w:lineRule="auto"/>
        <w:ind w:left="1134"/>
        <w:rPr>
          <w:color w:val="222222"/>
          <w:lang w:eastAsia="nl-NL"/>
        </w:rPr>
      </w:pPr>
    </w:p>
    <w:p w14:paraId="7072AC42" w14:textId="12AFBF56" w:rsidR="00C43CA9" w:rsidRDefault="00C43CA9" w:rsidP="00357C76">
      <w:pPr>
        <w:keepLines/>
        <w:tabs>
          <w:tab w:val="left" w:pos="2977"/>
        </w:tabs>
        <w:spacing w:after="120"/>
        <w:ind w:left="2964" w:hanging="1830"/>
        <w:rPr>
          <w:b/>
          <w:bCs/>
          <w:sz w:val="22"/>
          <w:szCs w:val="22"/>
        </w:rPr>
      </w:pPr>
      <w:r w:rsidRPr="00DE3550">
        <w:rPr>
          <w:b/>
          <w:bCs/>
          <w:sz w:val="22"/>
          <w:szCs w:val="22"/>
        </w:rPr>
        <w:t xml:space="preserve">Section 2: </w:t>
      </w:r>
      <w:r w:rsidR="002D3BF1">
        <w:rPr>
          <w:b/>
          <w:bCs/>
          <w:sz w:val="22"/>
          <w:szCs w:val="22"/>
        </w:rPr>
        <w:t xml:space="preserve">Amendments that </w:t>
      </w:r>
      <w:r w:rsidR="002D3BF1" w:rsidRPr="00DE3550">
        <w:rPr>
          <w:b/>
          <w:bCs/>
          <w:sz w:val="22"/>
          <w:szCs w:val="22"/>
        </w:rPr>
        <w:t>may be approved for inclusion in RID/ADR 202</w:t>
      </w:r>
      <w:r w:rsidRPr="00DE3550">
        <w:rPr>
          <w:b/>
          <w:bCs/>
          <w:sz w:val="22"/>
          <w:szCs w:val="22"/>
        </w:rPr>
        <w:t>5.</w:t>
      </w:r>
    </w:p>
    <w:p w14:paraId="68F8BEE6" w14:textId="62131E1D" w:rsidR="00DE3550" w:rsidRPr="00DE3550" w:rsidRDefault="00504F90" w:rsidP="00DE3550">
      <w:pPr>
        <w:ind w:left="1134"/>
        <w:rPr>
          <w:b/>
          <w:bCs/>
        </w:rPr>
      </w:pPr>
      <w:r w:rsidRPr="00DE3550">
        <w:rPr>
          <w:b/>
          <w:bCs/>
        </w:rPr>
        <w:t xml:space="preserve">Item </w:t>
      </w:r>
      <w:r w:rsidR="00DE3550" w:rsidRPr="00DE3550">
        <w:rPr>
          <w:b/>
          <w:bCs/>
        </w:rPr>
        <w:t>3</w:t>
      </w:r>
      <w:r w:rsidRPr="00DE3550">
        <w:rPr>
          <w:b/>
          <w:bCs/>
        </w:rPr>
        <w:t xml:space="preserve"> - Filling degree of substances carried at and above 50 </w:t>
      </w:r>
      <w:r w:rsidRPr="00DE3550">
        <w:rPr>
          <w:b/>
          <w:bCs/>
          <w:vertAlign w:val="superscript"/>
        </w:rPr>
        <w:t>0</w:t>
      </w:r>
      <w:r w:rsidRPr="00DE3550">
        <w:rPr>
          <w:b/>
          <w:bCs/>
        </w:rPr>
        <w:t>C.</w:t>
      </w:r>
      <w:r w:rsidR="00DE3550" w:rsidRPr="00DE3550">
        <w:rPr>
          <w:b/>
          <w:bCs/>
        </w:rPr>
        <w:t xml:space="preserve"> </w:t>
      </w:r>
    </w:p>
    <w:p w14:paraId="2BE88E38" w14:textId="2EF0CF2D" w:rsidR="00504F90" w:rsidRPr="003C693B" w:rsidRDefault="00DE3550" w:rsidP="00DE3550">
      <w:pPr>
        <w:ind w:left="1134"/>
        <w:rPr>
          <w:lang w:val="fr-FR"/>
        </w:rPr>
      </w:pPr>
      <w:proofErr w:type="gramStart"/>
      <w:r w:rsidRPr="003C693B">
        <w:rPr>
          <w:b/>
          <w:bCs/>
          <w:lang w:val="fr-FR"/>
        </w:rPr>
        <w:t>Document:</w:t>
      </w:r>
      <w:proofErr w:type="gramEnd"/>
      <w:r w:rsidRPr="003C693B">
        <w:rPr>
          <w:lang w:val="fr-FR"/>
        </w:rPr>
        <w:t xml:space="preserve"> ECE/TRANS/WP.15/AC.1/2021/42</w:t>
      </w:r>
      <w:r w:rsidR="00B67D48" w:rsidRPr="003C693B">
        <w:rPr>
          <w:lang w:val="fr-FR"/>
        </w:rPr>
        <w:t xml:space="preserve"> (</w:t>
      </w:r>
      <w:proofErr w:type="spellStart"/>
      <w:r w:rsidR="00B67D48" w:rsidRPr="003C693B">
        <w:rPr>
          <w:lang w:val="fr-FR"/>
        </w:rPr>
        <w:t>Netherlands</w:t>
      </w:r>
      <w:proofErr w:type="spellEnd"/>
      <w:r w:rsidR="00B67D48" w:rsidRPr="003C693B">
        <w:rPr>
          <w:lang w:val="fr-FR"/>
        </w:rPr>
        <w:t>).</w:t>
      </w:r>
      <w:r w:rsidRPr="003C693B">
        <w:rPr>
          <w:lang w:val="fr-FR"/>
        </w:rPr>
        <w:t xml:space="preserve"> </w:t>
      </w:r>
    </w:p>
    <w:p w14:paraId="01201DDA" w14:textId="77777777" w:rsidR="00DE3550" w:rsidRPr="003C693B" w:rsidRDefault="00DE3550" w:rsidP="00DE3550">
      <w:pPr>
        <w:ind w:left="1134"/>
        <w:rPr>
          <w:lang w:val="fr-FR"/>
        </w:rPr>
      </w:pPr>
    </w:p>
    <w:p w14:paraId="49B9F5AB" w14:textId="77777777" w:rsidR="003C693B" w:rsidRDefault="00504F90" w:rsidP="003C693B">
      <w:pPr>
        <w:pStyle w:val="ListParagraph"/>
        <w:numPr>
          <w:ilvl w:val="0"/>
          <w:numId w:val="42"/>
        </w:numPr>
        <w:tabs>
          <w:tab w:val="left" w:pos="284"/>
        </w:tabs>
        <w:ind w:left="1134" w:firstLine="0"/>
      </w:pPr>
      <w:r w:rsidRPr="00FB17A3">
        <w:t xml:space="preserve">The application of 4.3.2.2.3, concerning the maximum filling degree at and above 50 </w:t>
      </w:r>
      <w:r w:rsidRPr="00DE3550">
        <w:rPr>
          <w:vertAlign w:val="superscript"/>
        </w:rPr>
        <w:t>0</w:t>
      </w:r>
      <w:r w:rsidRPr="00FB17A3">
        <w:t>C, is limited by its wording. The wording not only limits the application to tanks with a heating device but also does not allow an increase in temperature above the filling temperature, that do</w:t>
      </w:r>
      <w:r w:rsidR="00907265">
        <w:t>es</w:t>
      </w:r>
      <w:r w:rsidRPr="00FB17A3">
        <w:t xml:space="preserve"> not represent the </w:t>
      </w:r>
      <w:r w:rsidR="005927FD">
        <w:t xml:space="preserve">industry </w:t>
      </w:r>
      <w:r w:rsidRPr="00FB17A3">
        <w:t xml:space="preserve">practice. </w:t>
      </w:r>
    </w:p>
    <w:p w14:paraId="13A4CD84" w14:textId="66A7F855" w:rsidR="00504F90" w:rsidRDefault="00504F90" w:rsidP="003C693B">
      <w:pPr>
        <w:pStyle w:val="ListParagraph"/>
        <w:tabs>
          <w:tab w:val="left" w:pos="284"/>
        </w:tabs>
        <w:spacing w:after="160" w:line="259" w:lineRule="auto"/>
        <w:ind w:left="1134"/>
        <w:contextualSpacing/>
      </w:pPr>
    </w:p>
    <w:p w14:paraId="346D0C42" w14:textId="714B93AE" w:rsidR="00504F90" w:rsidRDefault="00973560" w:rsidP="00DE3550">
      <w:pPr>
        <w:pStyle w:val="ListParagraph"/>
        <w:numPr>
          <w:ilvl w:val="0"/>
          <w:numId w:val="42"/>
        </w:numPr>
        <w:tabs>
          <w:tab w:val="left" w:pos="284"/>
        </w:tabs>
        <w:ind w:left="1134" w:firstLine="0"/>
      </w:pPr>
      <w:r>
        <w:t>T</w:t>
      </w:r>
      <w:r w:rsidR="00504F90">
        <w:t>here was general support for t</w:t>
      </w:r>
      <w:r w:rsidR="00504F90" w:rsidRPr="00FB17A3">
        <w:t xml:space="preserve">he proposal </w:t>
      </w:r>
      <w:r w:rsidR="00504F90">
        <w:t xml:space="preserve">that </w:t>
      </w:r>
      <w:r w:rsidR="00504F90" w:rsidRPr="00FB17A3">
        <w:t xml:space="preserve">was accepted with </w:t>
      </w:r>
      <w:r w:rsidR="00504F90">
        <w:t>e</w:t>
      </w:r>
      <w:r w:rsidR="00504F90" w:rsidRPr="00FB17A3">
        <w:t>ditorial modifications.</w:t>
      </w:r>
      <w:r w:rsidR="00DE3550">
        <w:br/>
      </w:r>
    </w:p>
    <w:p w14:paraId="567C0882" w14:textId="1591CA09" w:rsidR="00504F90" w:rsidRPr="00FB17A3" w:rsidRDefault="00504F90" w:rsidP="002643B1">
      <w:pPr>
        <w:pStyle w:val="SingleTxtG"/>
        <w:numPr>
          <w:ilvl w:val="0"/>
          <w:numId w:val="42"/>
        </w:numPr>
        <w:ind w:left="1134" w:firstLine="0"/>
        <w:rPr>
          <w:sz w:val="22"/>
          <w:szCs w:val="22"/>
        </w:rPr>
      </w:pPr>
      <w:r w:rsidRPr="00F941BA">
        <w:rPr>
          <w:b/>
          <w:bCs/>
          <w:i/>
          <w:iCs/>
        </w:rPr>
        <w:t xml:space="preserve">Proposal </w:t>
      </w:r>
      <w:r w:rsidR="00DE3550" w:rsidRPr="00F941BA">
        <w:rPr>
          <w:b/>
          <w:bCs/>
          <w:i/>
          <w:iCs/>
        </w:rPr>
        <w:t>3</w:t>
      </w:r>
      <w:r w:rsidRPr="00F941BA">
        <w:rPr>
          <w:b/>
          <w:bCs/>
          <w:i/>
          <w:iCs/>
        </w:rPr>
        <w:t>:</w:t>
      </w:r>
      <w:r w:rsidRPr="00FB17A3">
        <w:rPr>
          <w:sz w:val="22"/>
          <w:szCs w:val="22"/>
        </w:rPr>
        <w:t xml:space="preserve"> </w:t>
      </w:r>
      <w:r w:rsidRPr="00F941BA">
        <w:t>Amend 4.3.2.2.3 to read:</w:t>
      </w:r>
    </w:p>
    <w:p w14:paraId="6F5F3678" w14:textId="77777777" w:rsidR="00504F90" w:rsidRPr="00DE3550" w:rsidRDefault="00504F90" w:rsidP="00DE3550">
      <w:pPr>
        <w:ind w:left="1985" w:right="1134" w:hanging="851"/>
        <w:rPr>
          <w:i/>
        </w:rPr>
      </w:pPr>
      <w:r w:rsidRPr="00DE3550">
        <w:t>“</w:t>
      </w:r>
      <w:r w:rsidRPr="00DE3550">
        <w:rPr>
          <w:i/>
        </w:rPr>
        <w:t>4.3.2.2.3</w:t>
      </w:r>
      <w:r w:rsidRPr="00DE3550">
        <w:rPr>
          <w:i/>
        </w:rPr>
        <w:tab/>
        <w:t>The provisions of 4.3.2.2.1 (a) to (d) above shall not apply to tanks carrying liquids at a temperature above 50</w:t>
      </w:r>
      <w:r w:rsidRPr="00DE3550">
        <w:rPr>
          <w:bCs/>
          <w:i/>
        </w:rPr>
        <w:t> </w:t>
      </w:r>
      <w:r w:rsidRPr="00DE3550">
        <w:rPr>
          <w:i/>
        </w:rPr>
        <w:t>°C.</w:t>
      </w:r>
    </w:p>
    <w:p w14:paraId="32B9923B" w14:textId="77777777" w:rsidR="00504F90" w:rsidRPr="00DE3550" w:rsidRDefault="00504F90" w:rsidP="00DE3550">
      <w:pPr>
        <w:pStyle w:val="SingleTxtG"/>
        <w:spacing w:before="120"/>
        <w:ind w:left="1985"/>
        <w:rPr>
          <w:i/>
        </w:rPr>
      </w:pPr>
      <w:r w:rsidRPr="00DE3550">
        <w:rPr>
          <w:i/>
        </w:rPr>
        <w:lastRenderedPageBreak/>
        <w:t xml:space="preserve">The degree of filling </w:t>
      </w:r>
      <w:proofErr w:type="gramStart"/>
      <w:r w:rsidRPr="00DE3550">
        <w:rPr>
          <w:i/>
        </w:rPr>
        <w:t>of;</w:t>
      </w:r>
      <w:proofErr w:type="gramEnd"/>
    </w:p>
    <w:p w14:paraId="142BA5FF" w14:textId="77777777" w:rsidR="00504F90" w:rsidRPr="00DE3550" w:rsidRDefault="00504F90" w:rsidP="00DE3550">
      <w:pPr>
        <w:pStyle w:val="SingleTxtG"/>
        <w:ind w:left="1985"/>
        <w:rPr>
          <w:i/>
        </w:rPr>
      </w:pPr>
      <w:r w:rsidRPr="00DE3550">
        <w:rPr>
          <w:i/>
        </w:rPr>
        <w:t>-</w:t>
      </w:r>
      <w:r w:rsidRPr="00DE3550">
        <w:rPr>
          <w:i/>
        </w:rPr>
        <w:tab/>
        <w:t>liquid substances carried at a temperature above 50</w:t>
      </w:r>
      <w:r w:rsidRPr="00DE3550">
        <w:rPr>
          <w:bCs/>
          <w:i/>
        </w:rPr>
        <w:t> </w:t>
      </w:r>
      <w:r w:rsidRPr="00DE3550">
        <w:rPr>
          <w:i/>
        </w:rPr>
        <w:t>°</w:t>
      </w:r>
      <w:proofErr w:type="gramStart"/>
      <w:r w:rsidRPr="00DE3550">
        <w:rPr>
          <w:i/>
        </w:rPr>
        <w:t>C;</w:t>
      </w:r>
      <w:proofErr w:type="gramEnd"/>
    </w:p>
    <w:p w14:paraId="698BE2D4" w14:textId="507B8B4E" w:rsidR="00504F90" w:rsidRPr="00DE3550" w:rsidRDefault="00504F90" w:rsidP="00DE3550">
      <w:pPr>
        <w:pStyle w:val="SingleTxtG"/>
        <w:ind w:left="2268" w:hanging="283"/>
        <w:rPr>
          <w:i/>
        </w:rPr>
      </w:pPr>
      <w:r w:rsidRPr="00DE3550">
        <w:rPr>
          <w:i/>
        </w:rPr>
        <w:t>-</w:t>
      </w:r>
      <w:r w:rsidRPr="00DE3550">
        <w:rPr>
          <w:i/>
        </w:rPr>
        <w:tab/>
        <w:t>liquid substances filled below 50 °C but intended to be heated above 50 °C during the carriage operation, and</w:t>
      </w:r>
    </w:p>
    <w:p w14:paraId="3689CBE3" w14:textId="77777777" w:rsidR="00504F90" w:rsidRPr="00DE3550" w:rsidRDefault="00504F90" w:rsidP="00DE3550">
      <w:pPr>
        <w:pStyle w:val="SingleTxtG"/>
        <w:ind w:left="1985"/>
        <w:rPr>
          <w:i/>
        </w:rPr>
      </w:pPr>
      <w:r w:rsidRPr="00DE3550">
        <w:rPr>
          <w:i/>
        </w:rPr>
        <w:t>-</w:t>
      </w:r>
      <w:r w:rsidRPr="00DE3550">
        <w:rPr>
          <w:i/>
        </w:rPr>
        <w:tab/>
        <w:t xml:space="preserve">solids carried above their melting point, </w:t>
      </w:r>
    </w:p>
    <w:p w14:paraId="5F5F9A61" w14:textId="77777777" w:rsidR="00504F90" w:rsidRPr="00DE3550" w:rsidRDefault="00504F90" w:rsidP="00DE3550">
      <w:pPr>
        <w:pStyle w:val="SingleTxtG"/>
        <w:ind w:left="1985"/>
        <w:rPr>
          <w:i/>
        </w:rPr>
      </w:pPr>
      <w:r w:rsidRPr="00DE3550">
        <w:rPr>
          <w:i/>
        </w:rPr>
        <w:t xml:space="preserve">shall at the outset be such that the tank is not more than 95 % full at any time during carriage. </w:t>
      </w:r>
    </w:p>
    <w:p w14:paraId="71B2700C" w14:textId="276E442F" w:rsidR="00504F90" w:rsidRPr="00DE3550" w:rsidRDefault="00504F90" w:rsidP="00DE3550">
      <w:pPr>
        <w:pStyle w:val="SingleTxtG"/>
        <w:ind w:left="1985"/>
        <w:rPr>
          <w:i/>
        </w:rPr>
      </w:pPr>
      <w:r w:rsidRPr="00DE3550">
        <w:rPr>
          <w:i/>
        </w:rPr>
        <w:t>The maximum degree of filling shall be determined by the following formula:</w:t>
      </w:r>
    </w:p>
    <w:p w14:paraId="65818361" w14:textId="7F4797FB" w:rsidR="00504F90" w:rsidRPr="00DE3550" w:rsidRDefault="00504F90" w:rsidP="00DE3550">
      <w:pPr>
        <w:keepNext/>
        <w:keepLines/>
        <w:tabs>
          <w:tab w:val="left" w:pos="1076"/>
          <w:tab w:val="left" w:pos="1700"/>
          <w:tab w:val="left" w:pos="2835"/>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ind w:left="1985"/>
        <w:rPr>
          <w:i/>
        </w:rPr>
      </w:pPr>
      <w:r w:rsidRPr="00DE3550">
        <w:rPr>
          <w:iCs/>
          <w:position w:val="-28"/>
        </w:rPr>
        <w:object w:dxaOrig="2260" w:dyaOrig="639" w14:anchorId="08833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8.5pt" o:ole="">
            <v:imagedata r:id="rId12" o:title=""/>
          </v:shape>
          <o:OLEObject Type="Embed" ProgID="Equation.3" ShapeID="_x0000_i1025" DrawAspect="Content" ObjectID="_1709014685" r:id="rId13"/>
        </w:object>
      </w:r>
      <w:r w:rsidR="00DA4334">
        <w:rPr>
          <w:iCs/>
        </w:rPr>
        <w:t>%</w:t>
      </w:r>
      <w:r w:rsidR="00D008A1">
        <w:rPr>
          <w:iCs/>
        </w:rPr>
        <w:t xml:space="preserve"> </w:t>
      </w:r>
      <w:proofErr w:type="gramStart"/>
      <w:r w:rsidR="00D008A1">
        <w:rPr>
          <w:iCs/>
        </w:rPr>
        <w:t>of</w:t>
      </w:r>
      <w:proofErr w:type="gramEnd"/>
      <w:r w:rsidR="00D008A1">
        <w:rPr>
          <w:iCs/>
        </w:rPr>
        <w:t xml:space="preserve"> capacity</w:t>
      </w:r>
    </w:p>
    <w:p w14:paraId="349A065E" w14:textId="77777777" w:rsidR="00504F90" w:rsidRPr="00DE3550" w:rsidRDefault="00504F90" w:rsidP="00DE3550">
      <w:pPr>
        <w:pStyle w:val="SingleTxtG"/>
        <w:ind w:left="1985"/>
        <w:rPr>
          <w:b/>
          <w:bCs/>
          <w:i/>
        </w:rPr>
      </w:pPr>
      <w:r w:rsidRPr="00DE3550">
        <w:rPr>
          <w:bCs/>
          <w:i/>
        </w:rPr>
        <w:t>in which d</w:t>
      </w:r>
      <w:r w:rsidRPr="00DE3550">
        <w:rPr>
          <w:bCs/>
          <w:i/>
          <w:vertAlign w:val="subscript"/>
        </w:rPr>
        <w:t>f</w:t>
      </w:r>
      <w:r w:rsidRPr="00DE3550">
        <w:rPr>
          <w:bCs/>
          <w:i/>
        </w:rPr>
        <w:t xml:space="preserve"> and </w:t>
      </w:r>
      <w:proofErr w:type="spellStart"/>
      <w:r w:rsidRPr="00DE3550">
        <w:rPr>
          <w:bCs/>
          <w:i/>
        </w:rPr>
        <w:t>d</w:t>
      </w:r>
      <w:r w:rsidRPr="00DE3550">
        <w:rPr>
          <w:bCs/>
          <w:i/>
          <w:vertAlign w:val="subscript"/>
        </w:rPr>
        <w:t>r</w:t>
      </w:r>
      <w:proofErr w:type="spellEnd"/>
      <w:r w:rsidRPr="00DE3550">
        <w:rPr>
          <w:bCs/>
          <w:i/>
        </w:rPr>
        <w:t xml:space="preserve"> are the densities of the substance at the mean temperature during filling and the maximum mean bulk temperature during carriage respectively.</w:t>
      </w:r>
    </w:p>
    <w:p w14:paraId="13F30DBB" w14:textId="5BE2A12E" w:rsidR="00504F90" w:rsidRDefault="00504F90" w:rsidP="00DE3550">
      <w:pPr>
        <w:tabs>
          <w:tab w:val="left" w:pos="284"/>
        </w:tabs>
        <w:ind w:left="1985"/>
      </w:pPr>
      <w:r w:rsidRPr="00DE3550">
        <w:rPr>
          <w:i/>
        </w:rPr>
        <w:t xml:space="preserve">Tanks with a heating device shall have the temperature so regulated that the maximum degree of filling of 95 % </w:t>
      </w:r>
      <w:r w:rsidR="007252A5">
        <w:rPr>
          <w:i/>
        </w:rPr>
        <w:t xml:space="preserve">of capacity </w:t>
      </w:r>
      <w:r w:rsidRPr="00DE3550">
        <w:rPr>
          <w:i/>
        </w:rPr>
        <w:t>is not exceeded at any time during carriage.”</w:t>
      </w:r>
      <w:r>
        <w:tab/>
      </w:r>
    </w:p>
    <w:p w14:paraId="7F62A885" w14:textId="77777777" w:rsidR="00504F90" w:rsidRDefault="00504F90" w:rsidP="00357C76">
      <w:pPr>
        <w:keepLines/>
        <w:tabs>
          <w:tab w:val="left" w:pos="2977"/>
        </w:tabs>
        <w:spacing w:after="120"/>
        <w:ind w:left="2964" w:hanging="1830"/>
      </w:pPr>
    </w:p>
    <w:p w14:paraId="02FFAF12" w14:textId="06595CB3" w:rsidR="00C43CA9" w:rsidRPr="0054133B" w:rsidRDefault="00C43CA9" w:rsidP="00357C76">
      <w:pPr>
        <w:keepLines/>
        <w:tabs>
          <w:tab w:val="left" w:pos="2977"/>
        </w:tabs>
        <w:spacing w:after="120"/>
        <w:ind w:left="2964" w:hanging="1830"/>
        <w:rPr>
          <w:b/>
          <w:bCs/>
          <w:sz w:val="22"/>
          <w:szCs w:val="22"/>
        </w:rPr>
      </w:pPr>
      <w:r w:rsidRPr="0054133B">
        <w:rPr>
          <w:b/>
          <w:bCs/>
          <w:sz w:val="22"/>
          <w:szCs w:val="22"/>
        </w:rPr>
        <w:t xml:space="preserve">Section 3: </w:t>
      </w:r>
      <w:r w:rsidR="009373F4">
        <w:rPr>
          <w:b/>
          <w:bCs/>
          <w:sz w:val="22"/>
          <w:szCs w:val="22"/>
        </w:rPr>
        <w:t>Results of discussions on other d</w:t>
      </w:r>
      <w:r w:rsidRPr="0054133B">
        <w:rPr>
          <w:b/>
          <w:bCs/>
          <w:sz w:val="22"/>
          <w:szCs w:val="22"/>
        </w:rPr>
        <w:t>ocuments.</w:t>
      </w:r>
    </w:p>
    <w:p w14:paraId="5865F36D" w14:textId="4FE40107" w:rsidR="00DD3C64" w:rsidRPr="00F941BA" w:rsidRDefault="0054133B" w:rsidP="00357C76">
      <w:pPr>
        <w:keepLines/>
        <w:tabs>
          <w:tab w:val="left" w:pos="2977"/>
        </w:tabs>
        <w:spacing w:after="120"/>
        <w:ind w:left="2964" w:hanging="1830"/>
        <w:rPr>
          <w:b/>
          <w:bCs/>
        </w:rPr>
      </w:pPr>
      <w:r w:rsidRPr="00F941BA">
        <w:rPr>
          <w:b/>
          <w:bCs/>
        </w:rPr>
        <w:t xml:space="preserve">Item 4 – </w:t>
      </w:r>
      <w:r w:rsidR="004144EE" w:rsidRPr="00F941BA">
        <w:rPr>
          <w:b/>
          <w:bCs/>
        </w:rPr>
        <w:t>Validity of the provisions on the holding time</w:t>
      </w:r>
      <w:r w:rsidR="00D1397D" w:rsidRPr="00F941BA">
        <w:rPr>
          <w:b/>
          <w:bCs/>
        </w:rPr>
        <w:t xml:space="preserve"> for refrigerated liquefied gases</w:t>
      </w:r>
      <w:r w:rsidR="00F941BA">
        <w:rPr>
          <w:b/>
          <w:bCs/>
        </w:rPr>
        <w:t>.</w:t>
      </w:r>
    </w:p>
    <w:p w14:paraId="584218E7" w14:textId="40195F89" w:rsidR="00D1397D" w:rsidRPr="003C693B" w:rsidRDefault="00D1397D" w:rsidP="00357C76">
      <w:pPr>
        <w:keepLines/>
        <w:tabs>
          <w:tab w:val="left" w:pos="2977"/>
        </w:tabs>
        <w:spacing w:after="120"/>
        <w:ind w:left="2964" w:hanging="1830"/>
        <w:rPr>
          <w:bCs/>
          <w:lang w:val="fr-FR"/>
        </w:rPr>
      </w:pPr>
      <w:proofErr w:type="gramStart"/>
      <w:r w:rsidRPr="003C693B">
        <w:rPr>
          <w:lang w:val="fr-FR"/>
        </w:rPr>
        <w:t>Document:</w:t>
      </w:r>
      <w:proofErr w:type="gramEnd"/>
      <w:r w:rsidRPr="003C693B">
        <w:rPr>
          <w:lang w:val="fr-FR"/>
        </w:rPr>
        <w:t xml:space="preserve"> </w:t>
      </w:r>
      <w:r w:rsidRPr="003C693B">
        <w:rPr>
          <w:bCs/>
          <w:lang w:val="fr-FR"/>
        </w:rPr>
        <w:t>ECE/TRANS/WP.15/AC.1/202</w:t>
      </w:r>
      <w:r w:rsidR="005A168F" w:rsidRPr="003C693B">
        <w:rPr>
          <w:bCs/>
          <w:lang w:val="fr-FR"/>
        </w:rPr>
        <w:t>1</w:t>
      </w:r>
      <w:r w:rsidRPr="003C693B">
        <w:rPr>
          <w:bCs/>
          <w:lang w:val="fr-FR"/>
        </w:rPr>
        <w:t>/</w:t>
      </w:r>
      <w:r w:rsidR="00F941BA" w:rsidRPr="003C693B">
        <w:rPr>
          <w:bCs/>
          <w:lang w:val="fr-FR"/>
        </w:rPr>
        <w:t>29</w:t>
      </w:r>
      <w:r w:rsidR="00B67D48" w:rsidRPr="003C693B">
        <w:rPr>
          <w:bCs/>
          <w:lang w:val="fr-FR"/>
        </w:rPr>
        <w:t xml:space="preserve"> (UIC).</w:t>
      </w:r>
    </w:p>
    <w:p w14:paraId="01B5A182" w14:textId="3C8E2ECE" w:rsidR="00B67D48" w:rsidRDefault="003348AF" w:rsidP="004066E5">
      <w:pPr>
        <w:pStyle w:val="ListParagraph"/>
        <w:keepLines/>
        <w:numPr>
          <w:ilvl w:val="0"/>
          <w:numId w:val="42"/>
        </w:numPr>
        <w:tabs>
          <w:tab w:val="left" w:pos="1701"/>
        </w:tabs>
        <w:spacing w:after="120"/>
        <w:ind w:left="1134" w:firstLine="0"/>
      </w:pPr>
      <w:r>
        <w:t>It was questioned by UIC if the holding time would also be applicable to empty uncleaned tanks</w:t>
      </w:r>
      <w:r w:rsidR="00834AA2">
        <w:t xml:space="preserve">. </w:t>
      </w:r>
      <w:r w:rsidR="00246A08">
        <w:t xml:space="preserve">Initial discussions revealed that holding time </w:t>
      </w:r>
      <w:r w:rsidR="00507297">
        <w:t>i</w:t>
      </w:r>
      <w:r w:rsidR="00445178">
        <w:t xml:space="preserve">s </w:t>
      </w:r>
      <w:r w:rsidR="00246A08">
        <w:t xml:space="preserve">only </w:t>
      </w:r>
      <w:r w:rsidR="00445178">
        <w:t>determined for f</w:t>
      </w:r>
      <w:r w:rsidR="003D7F4D">
        <w:t xml:space="preserve">ull </w:t>
      </w:r>
      <w:r w:rsidR="00246A08">
        <w:t>tank</w:t>
      </w:r>
      <w:r w:rsidR="003D7F4D">
        <w:t>s</w:t>
      </w:r>
      <w:r w:rsidR="00006666">
        <w:t xml:space="preserve">. It was said that it is very difficult to </w:t>
      </w:r>
      <w:r w:rsidR="00BE2EB7">
        <w:t xml:space="preserve">determine </w:t>
      </w:r>
      <w:r w:rsidR="00006666">
        <w:t>a holding time if only</w:t>
      </w:r>
      <w:r w:rsidR="0071280C">
        <w:t xml:space="preserve"> a limited amount of refrigerated </w:t>
      </w:r>
      <w:r w:rsidR="00950B71">
        <w:t>liquefied</w:t>
      </w:r>
      <w:r w:rsidR="0071280C">
        <w:t xml:space="preserve"> gas </w:t>
      </w:r>
      <w:r w:rsidR="002A046B">
        <w:t xml:space="preserve">remains </w:t>
      </w:r>
      <w:r w:rsidR="003D7F4D">
        <w:t>in an empty uncleaned tank</w:t>
      </w:r>
      <w:r w:rsidR="0071280C">
        <w:t>.</w:t>
      </w:r>
      <w:r w:rsidR="00950B71">
        <w:t xml:space="preserve"> </w:t>
      </w:r>
    </w:p>
    <w:p w14:paraId="5570E526" w14:textId="788408F3" w:rsidR="0087090F" w:rsidRPr="004066E5" w:rsidRDefault="00DE34B8" w:rsidP="004066E5">
      <w:pPr>
        <w:pStyle w:val="ListParagraph"/>
        <w:keepLines/>
        <w:numPr>
          <w:ilvl w:val="0"/>
          <w:numId w:val="42"/>
        </w:numPr>
        <w:shd w:val="clear" w:color="auto" w:fill="FFFFFF"/>
        <w:tabs>
          <w:tab w:val="left" w:pos="1701"/>
        </w:tabs>
        <w:spacing w:after="120" w:line="240" w:lineRule="auto"/>
        <w:ind w:left="1134" w:firstLine="0"/>
        <w:rPr>
          <w:color w:val="222222"/>
          <w:lang w:eastAsia="nl-NL"/>
        </w:rPr>
      </w:pPr>
      <w:r w:rsidRPr="004066E5">
        <w:t xml:space="preserve">It </w:t>
      </w:r>
      <w:r w:rsidR="0087090F" w:rsidRPr="004066E5">
        <w:rPr>
          <w:color w:val="222222"/>
          <w:lang w:eastAsia="nl-NL"/>
        </w:rPr>
        <w:t xml:space="preserve">was mentioned that </w:t>
      </w:r>
      <w:r w:rsidR="00124449" w:rsidRPr="004066E5">
        <w:rPr>
          <w:color w:val="222222"/>
          <w:lang w:eastAsia="nl-NL"/>
        </w:rPr>
        <w:t xml:space="preserve">currently </w:t>
      </w:r>
      <w:r w:rsidR="0087090F" w:rsidRPr="004066E5">
        <w:rPr>
          <w:color w:val="222222"/>
          <w:lang w:eastAsia="nl-NL"/>
        </w:rPr>
        <w:t xml:space="preserve">work is </w:t>
      </w:r>
      <w:r w:rsidR="000D7C88" w:rsidRPr="004066E5">
        <w:rPr>
          <w:color w:val="222222"/>
          <w:lang w:eastAsia="nl-NL"/>
        </w:rPr>
        <w:t xml:space="preserve">ongoing </w:t>
      </w:r>
      <w:r w:rsidR="0087090F" w:rsidRPr="004066E5">
        <w:rPr>
          <w:color w:val="222222"/>
          <w:lang w:eastAsia="nl-NL"/>
        </w:rPr>
        <w:t>on the guidance document by EIGA</w:t>
      </w:r>
      <w:r w:rsidR="002802C4" w:rsidRPr="004066E5">
        <w:rPr>
          <w:color w:val="222222"/>
          <w:lang w:eastAsia="nl-NL"/>
        </w:rPr>
        <w:t xml:space="preserve"> that is referenced in </w:t>
      </w:r>
      <w:r w:rsidR="003A3527" w:rsidRPr="004066E5">
        <w:rPr>
          <w:color w:val="222222"/>
          <w:lang w:eastAsia="nl-NL"/>
        </w:rPr>
        <w:t>footnote 4 to 4.3.</w:t>
      </w:r>
      <w:r w:rsidR="001A4152" w:rsidRPr="004066E5">
        <w:rPr>
          <w:color w:val="222222"/>
          <w:lang w:eastAsia="nl-NL"/>
        </w:rPr>
        <w:t xml:space="preserve">3.5 (e). </w:t>
      </w:r>
      <w:r w:rsidR="003A5C53" w:rsidRPr="004066E5">
        <w:rPr>
          <w:color w:val="222222"/>
          <w:lang w:eastAsia="nl-NL"/>
        </w:rPr>
        <w:t xml:space="preserve"> </w:t>
      </w:r>
      <w:r w:rsidR="00124449" w:rsidRPr="004066E5">
        <w:rPr>
          <w:color w:val="222222"/>
          <w:lang w:eastAsia="nl-NL"/>
        </w:rPr>
        <w:t>I</w:t>
      </w:r>
      <w:r w:rsidR="003A5C53" w:rsidRPr="004066E5">
        <w:rPr>
          <w:color w:val="222222"/>
          <w:lang w:eastAsia="nl-NL"/>
        </w:rPr>
        <w:t xml:space="preserve">t was said that </w:t>
      </w:r>
      <w:r w:rsidR="0087090F" w:rsidRPr="004066E5">
        <w:rPr>
          <w:color w:val="222222"/>
          <w:lang w:eastAsia="nl-NL"/>
        </w:rPr>
        <w:t xml:space="preserve">UIC and EIGA will work </w:t>
      </w:r>
      <w:r w:rsidR="00124449" w:rsidRPr="004066E5">
        <w:rPr>
          <w:color w:val="222222"/>
          <w:lang w:eastAsia="nl-NL"/>
        </w:rPr>
        <w:t xml:space="preserve">together </w:t>
      </w:r>
      <w:r w:rsidR="003A5C53" w:rsidRPr="004066E5">
        <w:rPr>
          <w:color w:val="222222"/>
          <w:lang w:eastAsia="nl-NL"/>
        </w:rPr>
        <w:t>on this topic</w:t>
      </w:r>
      <w:r w:rsidR="00A46350">
        <w:rPr>
          <w:color w:val="222222"/>
          <w:lang w:eastAsia="nl-NL"/>
        </w:rPr>
        <w:t xml:space="preserve"> that will be revis</w:t>
      </w:r>
      <w:r w:rsidR="00FE7EB4">
        <w:rPr>
          <w:color w:val="222222"/>
          <w:lang w:eastAsia="nl-NL"/>
        </w:rPr>
        <w:t>i</w:t>
      </w:r>
      <w:r w:rsidR="00A46350">
        <w:rPr>
          <w:color w:val="222222"/>
          <w:lang w:eastAsia="nl-NL"/>
        </w:rPr>
        <w:t>ted in a future session.</w:t>
      </w:r>
      <w:r w:rsidR="000E655A">
        <w:rPr>
          <w:color w:val="222222"/>
          <w:lang w:eastAsia="nl-NL"/>
        </w:rPr>
        <w:t xml:space="preserve"> UIC will set up a meeting</w:t>
      </w:r>
      <w:r w:rsidR="00CF3037">
        <w:rPr>
          <w:color w:val="222222"/>
          <w:lang w:eastAsia="nl-NL"/>
        </w:rPr>
        <w:t xml:space="preserve"> </w:t>
      </w:r>
      <w:r w:rsidR="00FE7EB4" w:rsidRPr="004066E5">
        <w:rPr>
          <w:color w:val="222222"/>
          <w:lang w:eastAsia="nl-NL"/>
        </w:rPr>
        <w:t xml:space="preserve">with </w:t>
      </w:r>
      <w:r w:rsidR="00FE7EB4">
        <w:rPr>
          <w:color w:val="222222"/>
          <w:lang w:eastAsia="nl-NL"/>
        </w:rPr>
        <w:t xml:space="preserve">EIGA and </w:t>
      </w:r>
      <w:r w:rsidR="00FE7EB4" w:rsidRPr="004066E5">
        <w:rPr>
          <w:color w:val="222222"/>
          <w:lang w:eastAsia="nl-NL"/>
        </w:rPr>
        <w:t>other concerned organizations</w:t>
      </w:r>
      <w:r w:rsidR="0087090F" w:rsidRPr="004066E5">
        <w:rPr>
          <w:color w:val="222222"/>
          <w:lang w:eastAsia="nl-NL"/>
        </w:rPr>
        <w:t xml:space="preserve">.   </w:t>
      </w:r>
    </w:p>
    <w:p w14:paraId="61013029" w14:textId="036686FD" w:rsidR="0054133B" w:rsidRDefault="0054133B" w:rsidP="00357C76">
      <w:pPr>
        <w:keepLines/>
        <w:tabs>
          <w:tab w:val="left" w:pos="2977"/>
        </w:tabs>
        <w:spacing w:after="120"/>
        <w:ind w:left="2964" w:hanging="1830"/>
      </w:pPr>
    </w:p>
    <w:p w14:paraId="4183C2D2" w14:textId="11311B9D" w:rsidR="0091056B" w:rsidRPr="0002484C" w:rsidRDefault="0091056B" w:rsidP="0091056B">
      <w:pPr>
        <w:ind w:left="1134"/>
        <w:rPr>
          <w:b/>
          <w:bCs/>
        </w:rPr>
      </w:pPr>
      <w:r w:rsidRPr="0002484C">
        <w:rPr>
          <w:b/>
          <w:bCs/>
        </w:rPr>
        <w:t>Item</w:t>
      </w:r>
      <w:r w:rsidR="0002484C" w:rsidRPr="0002484C">
        <w:rPr>
          <w:b/>
          <w:bCs/>
        </w:rPr>
        <w:t xml:space="preserve"> 5 </w:t>
      </w:r>
      <w:r w:rsidRPr="0002484C">
        <w:rPr>
          <w:b/>
          <w:bCs/>
        </w:rPr>
        <w:t>– Interpretation of RID/ADR 6.8.2.2.11 on level-gauges.</w:t>
      </w:r>
    </w:p>
    <w:p w14:paraId="75CBC858" w14:textId="7C7304B0" w:rsidR="0091056B" w:rsidRDefault="004066E5" w:rsidP="0091056B">
      <w:pPr>
        <w:ind w:left="1134"/>
      </w:pPr>
      <w:r w:rsidRPr="004066E5">
        <w:rPr>
          <w:b/>
          <w:bCs/>
        </w:rPr>
        <w:t>Document</w:t>
      </w:r>
      <w:r>
        <w:t xml:space="preserve">: </w:t>
      </w:r>
      <w:r w:rsidR="0091056B" w:rsidRPr="00FB17A3">
        <w:t>ECE/TRANS/WP.15/AC.1/202</w:t>
      </w:r>
      <w:r w:rsidR="0091056B">
        <w:t>2</w:t>
      </w:r>
      <w:r w:rsidR="0091056B" w:rsidRPr="00FB17A3">
        <w:t>/</w:t>
      </w:r>
      <w:r w:rsidR="0091056B">
        <w:t>3 (United Kingdom) and INF 9</w:t>
      </w:r>
      <w:r>
        <w:rPr>
          <w:b/>
          <w:bCs/>
        </w:rPr>
        <w:t xml:space="preserve"> </w:t>
      </w:r>
      <w:r w:rsidRPr="004066E5">
        <w:t>(United Kingdom)</w:t>
      </w:r>
      <w:r>
        <w:t>.</w:t>
      </w:r>
    </w:p>
    <w:p w14:paraId="6387BBA3" w14:textId="77777777" w:rsidR="004066E5" w:rsidRPr="00FB17A3" w:rsidRDefault="004066E5" w:rsidP="0091056B">
      <w:pPr>
        <w:ind w:left="1134"/>
      </w:pPr>
    </w:p>
    <w:p w14:paraId="25D1C717" w14:textId="74051CBB" w:rsidR="0091056B" w:rsidRDefault="00B30C68" w:rsidP="00400290">
      <w:pPr>
        <w:pStyle w:val="ListParagraph"/>
        <w:numPr>
          <w:ilvl w:val="0"/>
          <w:numId w:val="42"/>
        </w:numPr>
        <w:tabs>
          <w:tab w:val="left" w:pos="1701"/>
        </w:tabs>
        <w:spacing w:after="160" w:line="259" w:lineRule="auto"/>
        <w:ind w:left="1134" w:firstLine="0"/>
        <w:contextualSpacing/>
      </w:pPr>
      <w:r>
        <w:t xml:space="preserve">Clarification was sought on </w:t>
      </w:r>
      <w:r w:rsidR="0091056B">
        <w:t>the application of level gauges</w:t>
      </w:r>
      <w:r w:rsidR="004F3F68">
        <w:t xml:space="preserve"> </w:t>
      </w:r>
      <w:r w:rsidR="00E7789C">
        <w:t>t</w:t>
      </w:r>
      <w:r w:rsidR="004F3F68">
        <w:t xml:space="preserve">o </w:t>
      </w:r>
      <w:r w:rsidR="00207F39">
        <w:t xml:space="preserve">RID/ADR </w:t>
      </w:r>
      <w:r w:rsidR="004F3F68">
        <w:t>6.8 tanks</w:t>
      </w:r>
      <w:r w:rsidR="0091056B">
        <w:t xml:space="preserve">. Level gauges </w:t>
      </w:r>
      <w:r w:rsidR="00E67EC7">
        <w:t xml:space="preserve">are permitted by </w:t>
      </w:r>
      <w:r w:rsidR="0091056B">
        <w:t xml:space="preserve">6.8.2.2.11 </w:t>
      </w:r>
      <w:r w:rsidR="00F0585D">
        <w:t xml:space="preserve">if </w:t>
      </w:r>
      <w:r w:rsidR="0091056B">
        <w:t xml:space="preserve">not of fragile material. As </w:t>
      </w:r>
      <w:r w:rsidR="006F6D3E">
        <w:t>certain</w:t>
      </w:r>
      <w:r w:rsidR="0091056B">
        <w:t xml:space="preserve"> transparent materials </w:t>
      </w:r>
      <w:r w:rsidR="00654B56">
        <w:t xml:space="preserve">are </w:t>
      </w:r>
      <w:r w:rsidR="0091056B">
        <w:t>not fragile</w:t>
      </w:r>
      <w:r w:rsidR="00654B56">
        <w:t>,</w:t>
      </w:r>
      <w:r w:rsidR="0091056B">
        <w:t xml:space="preserve"> </w:t>
      </w:r>
      <w:r w:rsidR="001E50BC">
        <w:t>un</w:t>
      </w:r>
      <w:r w:rsidR="0091056B">
        <w:t>like glass</w:t>
      </w:r>
      <w:r w:rsidR="00654B56">
        <w:t>,</w:t>
      </w:r>
      <w:r w:rsidR="0091056B">
        <w:t xml:space="preserve"> it was questioned </w:t>
      </w:r>
      <w:r w:rsidR="002753C2">
        <w:t xml:space="preserve">whether </w:t>
      </w:r>
      <w:r w:rsidR="0091056B">
        <w:t xml:space="preserve">the use of </w:t>
      </w:r>
      <w:r w:rsidR="002753C2">
        <w:t xml:space="preserve">such materials </w:t>
      </w:r>
      <w:r w:rsidR="0091056B">
        <w:t xml:space="preserve">was </w:t>
      </w:r>
      <w:r w:rsidR="00F62446">
        <w:t>the</w:t>
      </w:r>
      <w:r w:rsidR="0091056B">
        <w:t xml:space="preserve"> intention.</w:t>
      </w:r>
      <w:r w:rsidR="0091056B">
        <w:br/>
      </w:r>
    </w:p>
    <w:p w14:paraId="65E2AD6F" w14:textId="71289226" w:rsidR="00761D11" w:rsidRPr="00C44AA1" w:rsidRDefault="0091056B" w:rsidP="00C44AA1">
      <w:pPr>
        <w:pStyle w:val="ListParagraph"/>
        <w:numPr>
          <w:ilvl w:val="0"/>
          <w:numId w:val="42"/>
        </w:numPr>
        <w:ind w:left="1134" w:firstLine="0"/>
        <w:rPr>
          <w:b/>
          <w:bCs/>
        </w:rPr>
      </w:pPr>
      <w:r>
        <w:t xml:space="preserve">Most experts that took the floor expressed </w:t>
      </w:r>
      <w:r w:rsidR="00527023">
        <w:t xml:space="preserve">the view </w:t>
      </w:r>
      <w:r>
        <w:t xml:space="preserve">that </w:t>
      </w:r>
      <w:r w:rsidR="00A64219">
        <w:t xml:space="preserve">level gauges </w:t>
      </w:r>
      <w:r w:rsidR="001B4ED4">
        <w:t>of the sight glass type</w:t>
      </w:r>
      <w:r w:rsidR="00EC7C34">
        <w:t xml:space="preserve"> </w:t>
      </w:r>
      <w:r w:rsidR="001F73BC">
        <w:t>sh</w:t>
      </w:r>
      <w:r w:rsidR="00ED27D0">
        <w:t>ould</w:t>
      </w:r>
      <w:r w:rsidR="001F73BC">
        <w:t xml:space="preserve"> </w:t>
      </w:r>
      <w:r>
        <w:t xml:space="preserve">not </w:t>
      </w:r>
      <w:r w:rsidR="001F73BC">
        <w:t xml:space="preserve">be </w:t>
      </w:r>
      <w:r>
        <w:t xml:space="preserve">allowed on tanks according to 6.8 but accepted on tanks according to 6.10 (vacuum operated waste tanks). </w:t>
      </w:r>
      <w:r w:rsidR="003813E2">
        <w:t xml:space="preserve">The </w:t>
      </w:r>
      <w:r w:rsidR="00FA64C6">
        <w:t>U</w:t>
      </w:r>
      <w:r w:rsidR="00932BF9">
        <w:t xml:space="preserve">nited </w:t>
      </w:r>
      <w:r w:rsidR="00FA64C6">
        <w:t>K</w:t>
      </w:r>
      <w:r w:rsidR="00932BF9">
        <w:t>ingdom</w:t>
      </w:r>
      <w:r w:rsidR="00FA64C6">
        <w:t xml:space="preserve"> </w:t>
      </w:r>
      <w:r w:rsidR="00830B59">
        <w:t xml:space="preserve">was invited to come back with </w:t>
      </w:r>
      <w:r w:rsidR="00FA64C6">
        <w:t xml:space="preserve">a </w:t>
      </w:r>
      <w:r w:rsidR="00830B59">
        <w:t xml:space="preserve">proposal for </w:t>
      </w:r>
      <w:r w:rsidR="00FA64C6">
        <w:t xml:space="preserve">a </w:t>
      </w:r>
      <w:r w:rsidR="00830B59">
        <w:t>future session.</w:t>
      </w:r>
      <w:r w:rsidR="00761D11">
        <w:br/>
      </w:r>
      <w:r w:rsidR="00761D11">
        <w:br/>
      </w:r>
      <w:r w:rsidR="00761D11" w:rsidRPr="00C44AA1">
        <w:rPr>
          <w:b/>
          <w:bCs/>
        </w:rPr>
        <w:t xml:space="preserve">Item 6 – </w:t>
      </w:r>
      <w:r w:rsidR="00C44AA1" w:rsidRPr="00C44AA1">
        <w:rPr>
          <w:b/>
          <w:bCs/>
        </w:rPr>
        <w:t>Clarification on using tanks after the deadline specified for the next test or inspection.</w:t>
      </w:r>
      <w:r w:rsidR="00C93BD2" w:rsidRPr="00C44AA1">
        <w:rPr>
          <w:b/>
          <w:bCs/>
        </w:rPr>
        <w:br/>
        <w:t>Document</w:t>
      </w:r>
      <w:r w:rsidR="00C44AA1" w:rsidRPr="00C44AA1">
        <w:rPr>
          <w:b/>
          <w:bCs/>
        </w:rPr>
        <w:t xml:space="preserve">: </w:t>
      </w:r>
      <w:r w:rsidR="00C93BD2" w:rsidRPr="00C44AA1">
        <w:rPr>
          <w:b/>
          <w:bCs/>
        </w:rPr>
        <w:t xml:space="preserve"> </w:t>
      </w:r>
      <w:r w:rsidR="00C44AA1" w:rsidRPr="00FB17A3">
        <w:t>ECE/TRANS/WP.15/AC.1/202</w:t>
      </w:r>
      <w:r w:rsidR="00C44AA1">
        <w:t>2</w:t>
      </w:r>
      <w:r w:rsidR="00C44AA1" w:rsidRPr="00FB17A3">
        <w:t>/</w:t>
      </w:r>
      <w:r w:rsidR="00C44AA1">
        <w:t>5 (United Kingdom).</w:t>
      </w:r>
      <w:r w:rsidR="00C93BD2" w:rsidRPr="00C44AA1">
        <w:rPr>
          <w:b/>
          <w:bCs/>
        </w:rPr>
        <w:br/>
      </w:r>
    </w:p>
    <w:p w14:paraId="3A85A660" w14:textId="034D2FA3" w:rsidR="00C44AA1" w:rsidRDefault="00C44AA1" w:rsidP="00F84AE0">
      <w:pPr>
        <w:pStyle w:val="ListParagraph"/>
        <w:numPr>
          <w:ilvl w:val="0"/>
          <w:numId w:val="42"/>
        </w:numPr>
        <w:tabs>
          <w:tab w:val="left" w:pos="284"/>
        </w:tabs>
        <w:spacing w:after="160" w:line="259" w:lineRule="auto"/>
        <w:ind w:left="1134" w:firstLine="0"/>
        <w:contextualSpacing/>
      </w:pPr>
      <w:r>
        <w:t xml:space="preserve">Three different </w:t>
      </w:r>
      <w:r w:rsidR="009B4597">
        <w:t xml:space="preserve">but related </w:t>
      </w:r>
      <w:r>
        <w:t>issues were identified on which clarification</w:t>
      </w:r>
      <w:r w:rsidR="0054563F">
        <w:t xml:space="preserve"> was </w:t>
      </w:r>
      <w:r w:rsidR="00E13005">
        <w:t>sought</w:t>
      </w:r>
      <w:r>
        <w:t xml:space="preserve">. </w:t>
      </w:r>
      <w:r>
        <w:br/>
      </w:r>
    </w:p>
    <w:p w14:paraId="344C730A" w14:textId="4AD66FE6" w:rsidR="00C44AA1" w:rsidRDefault="00C44AA1" w:rsidP="00F84AE0">
      <w:pPr>
        <w:pStyle w:val="ListParagraph"/>
        <w:numPr>
          <w:ilvl w:val="0"/>
          <w:numId w:val="42"/>
        </w:numPr>
        <w:tabs>
          <w:tab w:val="left" w:pos="284"/>
        </w:tabs>
        <w:spacing w:after="160" w:line="259" w:lineRule="auto"/>
        <w:ind w:left="1134" w:firstLine="0"/>
        <w:contextualSpacing/>
      </w:pPr>
      <w:r>
        <w:t xml:space="preserve">Issue 1 - </w:t>
      </w:r>
      <w:r w:rsidR="008D1B72">
        <w:t>P</w:t>
      </w:r>
      <w:r>
        <w:t>eriodic inspection</w:t>
      </w:r>
      <w:r w:rsidR="005233BA">
        <w:t>s</w:t>
      </w:r>
      <w:r>
        <w:t xml:space="preserve"> </w:t>
      </w:r>
      <w:r w:rsidR="008D1B72">
        <w:t xml:space="preserve">performed </w:t>
      </w:r>
      <w:r>
        <w:t xml:space="preserve">up to one month before the due date </w:t>
      </w:r>
      <w:r w:rsidR="008D1B72">
        <w:t>wo</w:t>
      </w:r>
      <w:r>
        <w:t xml:space="preserve">uld retain the date for the next inspection as if performed on the actual due date. Most experts </w:t>
      </w:r>
      <w:r w:rsidR="00A64402">
        <w:t xml:space="preserve">did not </w:t>
      </w:r>
      <w:r>
        <w:t xml:space="preserve">support this </w:t>
      </w:r>
      <w:r w:rsidR="00A64402">
        <w:t xml:space="preserve">proposal as it may </w:t>
      </w:r>
      <w:r>
        <w:t>lead to confusion for inspectors and control authorities.</w:t>
      </w:r>
      <w:r>
        <w:br/>
        <w:t xml:space="preserve"> </w:t>
      </w:r>
    </w:p>
    <w:p w14:paraId="73E60904" w14:textId="7FC133EE" w:rsidR="00C44AA1" w:rsidRDefault="00C44AA1" w:rsidP="00F84AE0">
      <w:pPr>
        <w:pStyle w:val="ListParagraph"/>
        <w:numPr>
          <w:ilvl w:val="0"/>
          <w:numId w:val="42"/>
        </w:numPr>
        <w:tabs>
          <w:tab w:val="left" w:pos="284"/>
        </w:tabs>
        <w:spacing w:after="160" w:line="259" w:lineRule="auto"/>
        <w:ind w:left="1134" w:firstLine="0"/>
        <w:contextualSpacing/>
      </w:pPr>
      <w:r>
        <w:t xml:space="preserve">Issue 2 - Missing one or more periodic inspections of a tank would lead to an exceptional inspection with extra items to be checked </w:t>
      </w:r>
      <w:r w:rsidR="00574105">
        <w:t xml:space="preserve">in addition to </w:t>
      </w:r>
      <w:r w:rsidR="00625C1E">
        <w:t xml:space="preserve">a </w:t>
      </w:r>
      <w:r w:rsidR="00574105">
        <w:t xml:space="preserve">periodic </w:t>
      </w:r>
      <w:r>
        <w:t xml:space="preserve">inspection.  Delegations that spoke felt </w:t>
      </w:r>
      <w:r>
        <w:lastRenderedPageBreak/>
        <w:t xml:space="preserve">that a normal </w:t>
      </w:r>
      <w:r w:rsidR="000D0B52">
        <w:t xml:space="preserve">periodic </w:t>
      </w:r>
      <w:r>
        <w:t xml:space="preserve">inspection would contain all </w:t>
      </w:r>
      <w:r w:rsidR="00772391">
        <w:t xml:space="preserve">the </w:t>
      </w:r>
      <w:r>
        <w:t>necessary checks</w:t>
      </w:r>
      <w:r w:rsidR="005518AE">
        <w:t>.</w:t>
      </w:r>
      <w:r>
        <w:t xml:space="preserve"> </w:t>
      </w:r>
      <w:r>
        <w:br/>
      </w:r>
    </w:p>
    <w:p w14:paraId="34E27B48" w14:textId="2D2F5A53" w:rsidR="00E9085E" w:rsidRDefault="00C44AA1" w:rsidP="00F84AE0">
      <w:pPr>
        <w:pStyle w:val="ListParagraph"/>
        <w:numPr>
          <w:ilvl w:val="0"/>
          <w:numId w:val="42"/>
        </w:numPr>
        <w:tabs>
          <w:tab w:val="left" w:pos="284"/>
        </w:tabs>
        <w:spacing w:after="160" w:line="259" w:lineRule="auto"/>
        <w:ind w:left="1134" w:firstLine="0"/>
        <w:contextualSpacing/>
      </w:pPr>
      <w:r>
        <w:t xml:space="preserve">Issue 3 – </w:t>
      </w:r>
      <w:r w:rsidR="003F694D">
        <w:t xml:space="preserve">It was proposed that the hydraulic pressure test of the initial inspection would be used to determine the periodic inspection dates. </w:t>
      </w:r>
      <w:r w:rsidR="007F1EC6">
        <w:t>This was not supported</w:t>
      </w:r>
      <w:r w:rsidR="00C22E62">
        <w:t xml:space="preserve">, but </w:t>
      </w:r>
      <w:r w:rsidR="00E85F64">
        <w:t xml:space="preserve">a </w:t>
      </w:r>
      <w:r w:rsidR="00863C97">
        <w:t>verification</w:t>
      </w:r>
      <w:r w:rsidR="00847138">
        <w:t xml:space="preserve"> of the </w:t>
      </w:r>
      <w:r w:rsidR="00634479">
        <w:t xml:space="preserve">fitness </w:t>
      </w:r>
      <w:r w:rsidR="00847138">
        <w:t xml:space="preserve">of the tank may be </w:t>
      </w:r>
      <w:r w:rsidR="00634479">
        <w:t>performed</w:t>
      </w:r>
      <w:r w:rsidR="005435FA">
        <w:t xml:space="preserve"> if the </w:t>
      </w:r>
      <w:r w:rsidR="00A46F2E">
        <w:t xml:space="preserve">completion </w:t>
      </w:r>
      <w:r w:rsidR="002D28B9">
        <w:t xml:space="preserve">of the initial inspection </w:t>
      </w:r>
      <w:r w:rsidR="00E67BA6">
        <w:t>takes plac</w:t>
      </w:r>
      <w:r w:rsidR="00FE6F4A">
        <w:t xml:space="preserve">e, for example, </w:t>
      </w:r>
      <w:r w:rsidR="004034EF">
        <w:t xml:space="preserve">after one year. </w:t>
      </w:r>
      <w:r w:rsidR="000B4342">
        <w:t xml:space="preserve"> </w:t>
      </w:r>
      <w:r w:rsidR="007F1EC6">
        <w:br/>
      </w:r>
    </w:p>
    <w:p w14:paraId="566628E8" w14:textId="34199332" w:rsidR="00531878" w:rsidRDefault="00C44AA1" w:rsidP="00AE07AC">
      <w:pPr>
        <w:pStyle w:val="ListParagraph"/>
        <w:numPr>
          <w:ilvl w:val="0"/>
          <w:numId w:val="42"/>
        </w:numPr>
        <w:ind w:left="1134" w:firstLine="0"/>
      </w:pPr>
      <w:r>
        <w:t>The U</w:t>
      </w:r>
      <w:r w:rsidR="001E0669">
        <w:t xml:space="preserve">nited </w:t>
      </w:r>
      <w:r>
        <w:t>K</w:t>
      </w:r>
      <w:r w:rsidR="001E0669">
        <w:t>ingdom</w:t>
      </w:r>
      <w:r>
        <w:t xml:space="preserve"> thanked the experts for their opinion</w:t>
      </w:r>
      <w:r w:rsidR="00D02153">
        <w:t>s</w:t>
      </w:r>
      <w:r>
        <w:t xml:space="preserve"> and informed that guidance may be </w:t>
      </w:r>
      <w:r w:rsidR="00C52670">
        <w:t xml:space="preserve">prepared </w:t>
      </w:r>
      <w:r>
        <w:t xml:space="preserve">to help the national inspection bodies with </w:t>
      </w:r>
      <w:r w:rsidR="00E75282">
        <w:t>a</w:t>
      </w:r>
      <w:r>
        <w:t xml:space="preserve"> </w:t>
      </w:r>
      <w:r w:rsidR="00E73FA2">
        <w:t>common</w:t>
      </w:r>
      <w:r>
        <w:t xml:space="preserve"> approach</w:t>
      </w:r>
      <w:r w:rsidR="009E1791">
        <w:t xml:space="preserve">. </w:t>
      </w:r>
      <w:r w:rsidR="00EF1CFD">
        <w:br/>
      </w:r>
      <w:r w:rsidR="00EF1CFD">
        <w:br/>
      </w:r>
      <w:r w:rsidR="00EF1CFD" w:rsidRPr="00531878">
        <w:rPr>
          <w:b/>
          <w:bCs/>
        </w:rPr>
        <w:t xml:space="preserve">Item </w:t>
      </w:r>
      <w:r w:rsidR="00E75282" w:rsidRPr="00531878">
        <w:rPr>
          <w:b/>
          <w:bCs/>
        </w:rPr>
        <w:t xml:space="preserve">7 </w:t>
      </w:r>
      <w:r w:rsidR="0034386D" w:rsidRPr="00531878">
        <w:rPr>
          <w:b/>
          <w:bCs/>
        </w:rPr>
        <w:t>– Qualification</w:t>
      </w:r>
      <w:r w:rsidR="00E9085E" w:rsidRPr="00531878">
        <w:rPr>
          <w:b/>
          <w:bCs/>
        </w:rPr>
        <w:t xml:space="preserve"> for welding-Interpretation of EN 14025</w:t>
      </w:r>
      <w:r w:rsidR="00E9085E">
        <w:t>.</w:t>
      </w:r>
      <w:r w:rsidR="00531878">
        <w:br/>
      </w:r>
      <w:r w:rsidR="00531878" w:rsidRPr="007923C0">
        <w:rPr>
          <w:b/>
          <w:bCs/>
        </w:rPr>
        <w:t>Document:</w:t>
      </w:r>
      <w:r w:rsidR="00531878">
        <w:t xml:space="preserve"> </w:t>
      </w:r>
      <w:r w:rsidR="00AE07AC" w:rsidRPr="00FB17A3">
        <w:t xml:space="preserve"> ECE/TRANS/WP.15/AC.1/202</w:t>
      </w:r>
      <w:r w:rsidR="00AE07AC">
        <w:t>2</w:t>
      </w:r>
      <w:r w:rsidR="00AE07AC" w:rsidRPr="00FB17A3">
        <w:t>/</w:t>
      </w:r>
      <w:r w:rsidR="00AE07AC">
        <w:t>10 (UIP)</w:t>
      </w:r>
      <w:r w:rsidR="00531878">
        <w:br/>
      </w:r>
    </w:p>
    <w:p w14:paraId="1FE81880" w14:textId="26009CE6" w:rsidR="000E4A8A" w:rsidRDefault="003B4EB3" w:rsidP="00457EA1">
      <w:pPr>
        <w:pStyle w:val="ListParagraph"/>
        <w:numPr>
          <w:ilvl w:val="0"/>
          <w:numId w:val="42"/>
        </w:numPr>
        <w:ind w:left="1134" w:firstLine="0"/>
      </w:pPr>
      <w:r>
        <w:t xml:space="preserve">Most of the delegations that spoke </w:t>
      </w:r>
      <w:r w:rsidR="00753657">
        <w:t xml:space="preserve">were in favour of level 2. </w:t>
      </w:r>
      <w:proofErr w:type="gramStart"/>
      <w:r w:rsidR="00753657">
        <w:t>However</w:t>
      </w:r>
      <w:proofErr w:type="gramEnd"/>
      <w:r w:rsidR="007404CD">
        <w:t xml:space="preserve"> </w:t>
      </w:r>
      <w:r w:rsidR="000D1F2E">
        <w:t xml:space="preserve">there was a sustained </w:t>
      </w:r>
      <w:r w:rsidR="00922ECE">
        <w:t>opinion that le</w:t>
      </w:r>
      <w:r w:rsidR="007404CD">
        <w:t>vel 1 would also be sufficient.</w:t>
      </w:r>
      <w:r w:rsidR="00922ECE">
        <w:t xml:space="preserve"> </w:t>
      </w:r>
      <w:r w:rsidR="001313CA">
        <w:t>It was agreed that this issue would be re</w:t>
      </w:r>
      <w:r w:rsidR="009F6A31">
        <w:t xml:space="preserve">turned </w:t>
      </w:r>
      <w:r w:rsidR="001313CA">
        <w:t>to CEN</w:t>
      </w:r>
      <w:r w:rsidR="009F6A31">
        <w:t>/</w:t>
      </w:r>
      <w:r w:rsidR="001313CA">
        <w:t>TC 296</w:t>
      </w:r>
      <w:r w:rsidR="009F6A31">
        <w:t>/WG</w:t>
      </w:r>
      <w:r w:rsidR="001313CA">
        <w:t>3. An overview of the differences between the level</w:t>
      </w:r>
      <w:r w:rsidR="00937A2E">
        <w:t>s</w:t>
      </w:r>
      <w:r w:rsidR="001313CA">
        <w:t xml:space="preserve"> </w:t>
      </w:r>
      <w:r w:rsidR="00230357">
        <w:t>s</w:t>
      </w:r>
      <w:r w:rsidR="00937A2E">
        <w:t>h</w:t>
      </w:r>
      <w:r w:rsidR="00230357">
        <w:t>ould be provided for consideration.</w:t>
      </w:r>
      <w:r w:rsidR="000E4A8A">
        <w:br/>
      </w:r>
      <w:r w:rsidR="00230357">
        <w:t xml:space="preserve"> </w:t>
      </w:r>
    </w:p>
    <w:p w14:paraId="0EC5C5C4" w14:textId="359C0B98" w:rsidR="00351DB9" w:rsidRDefault="006275A1" w:rsidP="00457EA1">
      <w:pPr>
        <w:pStyle w:val="ListParagraph"/>
        <w:numPr>
          <w:ilvl w:val="0"/>
          <w:numId w:val="42"/>
        </w:numPr>
        <w:ind w:left="1134" w:firstLine="0"/>
      </w:pPr>
      <w:r>
        <w:t xml:space="preserve">The </w:t>
      </w:r>
      <w:r w:rsidR="007937A3">
        <w:t xml:space="preserve">working group </w:t>
      </w:r>
      <w:r w:rsidR="00217795">
        <w:t xml:space="preserve">deferred the decision pending the further consideration on </w:t>
      </w:r>
      <w:r w:rsidR="00B85140">
        <w:t>CEN/TC 296/WG3</w:t>
      </w:r>
      <w:r w:rsidR="00CA6ABD">
        <w:t>.</w:t>
      </w:r>
      <w:r w:rsidR="00230357">
        <w:br/>
      </w:r>
      <w:r w:rsidR="00155E8D">
        <w:br/>
      </w:r>
      <w:r w:rsidR="00155E8D" w:rsidRPr="00457EA1">
        <w:rPr>
          <w:b/>
          <w:bCs/>
        </w:rPr>
        <w:t>Item 8</w:t>
      </w:r>
      <w:r w:rsidR="007923C0" w:rsidRPr="00457EA1">
        <w:rPr>
          <w:b/>
          <w:bCs/>
        </w:rPr>
        <w:t xml:space="preserve"> - Vacuum-operated waste tanks: </w:t>
      </w:r>
      <w:r w:rsidR="000E6F18" w:rsidRPr="00457EA1">
        <w:rPr>
          <w:b/>
          <w:bCs/>
        </w:rPr>
        <w:t>non-electrical</w:t>
      </w:r>
      <w:r w:rsidR="007923C0" w:rsidRPr="00457EA1">
        <w:rPr>
          <w:b/>
          <w:bCs/>
        </w:rPr>
        <w:t xml:space="preserve"> explosion protection.</w:t>
      </w:r>
      <w:r w:rsidR="00155E8D" w:rsidRPr="00457EA1">
        <w:rPr>
          <w:b/>
          <w:bCs/>
        </w:rPr>
        <w:br/>
      </w:r>
      <w:r w:rsidR="007923C0" w:rsidRPr="00457EA1">
        <w:rPr>
          <w:b/>
          <w:bCs/>
        </w:rPr>
        <w:t>Document</w:t>
      </w:r>
      <w:r w:rsidR="00351DB9" w:rsidRPr="00457EA1">
        <w:rPr>
          <w:b/>
          <w:bCs/>
        </w:rPr>
        <w:t>:</w:t>
      </w:r>
      <w:r w:rsidR="00351DB9">
        <w:t xml:space="preserve"> </w:t>
      </w:r>
      <w:r w:rsidR="00351DB9" w:rsidRPr="00FB17A3">
        <w:t>ECE/TRANS/WP.15/AC.1/202</w:t>
      </w:r>
      <w:r w:rsidR="00351DB9">
        <w:t>2</w:t>
      </w:r>
      <w:r w:rsidR="00351DB9" w:rsidRPr="00FB17A3">
        <w:t>/</w:t>
      </w:r>
      <w:r w:rsidR="00351DB9">
        <w:t>13 (Germany).</w:t>
      </w:r>
      <w:r w:rsidR="00351DB9">
        <w:br/>
      </w:r>
    </w:p>
    <w:p w14:paraId="64FDF7E5" w14:textId="20FC5FF4" w:rsidR="00B50655" w:rsidRDefault="00351DB9" w:rsidP="00351DB9">
      <w:pPr>
        <w:pStyle w:val="ListParagraph"/>
        <w:numPr>
          <w:ilvl w:val="0"/>
          <w:numId w:val="42"/>
        </w:numPr>
        <w:ind w:left="1134" w:firstLine="0"/>
      </w:pPr>
      <w:r>
        <w:t xml:space="preserve"> </w:t>
      </w:r>
      <w:r w:rsidRPr="00FB17A3">
        <w:t xml:space="preserve"> </w:t>
      </w:r>
      <w:r w:rsidR="00B50655">
        <w:t xml:space="preserve">One measure to prevent ignition of flammable wastes </w:t>
      </w:r>
      <w:r w:rsidR="0040572C">
        <w:t xml:space="preserve">by a vacuum pump </w:t>
      </w:r>
      <w:r w:rsidR="00B50655">
        <w:t>is the use of a liquid ring vacuum pump that is safe by design</w:t>
      </w:r>
      <w:r w:rsidR="00BA4C0A">
        <w:t xml:space="preserve"> in normal operation</w:t>
      </w:r>
      <w:r w:rsidR="00B50655">
        <w:t xml:space="preserve">. The safe design is based on the presence of water as a sealant between the moving parts. These pumps can </w:t>
      </w:r>
      <w:r w:rsidR="004A7B0D">
        <w:t xml:space="preserve">be designed to </w:t>
      </w:r>
      <w:r w:rsidR="00B50655">
        <w:t>comply with standard ISO 80079-parts 36 and 37.</w:t>
      </w:r>
      <w:r w:rsidR="00B50655">
        <w:br/>
      </w:r>
    </w:p>
    <w:p w14:paraId="4635FDE3" w14:textId="22C83496" w:rsidR="00616AD3" w:rsidRDefault="00B50655" w:rsidP="00B50655">
      <w:pPr>
        <w:pStyle w:val="ListParagraph"/>
        <w:numPr>
          <w:ilvl w:val="0"/>
          <w:numId w:val="42"/>
        </w:numPr>
        <w:tabs>
          <w:tab w:val="left" w:pos="284"/>
        </w:tabs>
        <w:spacing w:after="160" w:line="259" w:lineRule="auto"/>
        <w:ind w:left="1134" w:firstLine="0"/>
        <w:contextualSpacing/>
      </w:pPr>
      <w:r>
        <w:t xml:space="preserve">Experts that took the floor said that these pumps were already in use for a long time. In this time </w:t>
      </w:r>
      <w:r w:rsidR="000E6F18">
        <w:t>no problems</w:t>
      </w:r>
      <w:r>
        <w:t xml:space="preserve"> with ignition were experienced without compliance to the standard. As proof of compliance with the standard would bring additional costs and </w:t>
      </w:r>
      <w:r w:rsidR="000E6F18">
        <w:t>burdens,</w:t>
      </w:r>
      <w:r>
        <w:t xml:space="preserve"> the</w:t>
      </w:r>
      <w:r w:rsidR="0068273B">
        <w:t xml:space="preserve"> experts </w:t>
      </w:r>
      <w:r>
        <w:t xml:space="preserve">could not support the proposal. </w:t>
      </w:r>
      <w:r w:rsidR="003A564A">
        <w:t xml:space="preserve">An </w:t>
      </w:r>
      <w:r>
        <w:t xml:space="preserve">expert mentioned that in his country </w:t>
      </w:r>
      <w:r w:rsidR="00FB1C14">
        <w:t xml:space="preserve">a </w:t>
      </w:r>
      <w:r>
        <w:t xml:space="preserve">manufacturer of vacuum operated waste tanks </w:t>
      </w:r>
      <w:r w:rsidR="0030697E">
        <w:t xml:space="preserve">used </w:t>
      </w:r>
      <w:r>
        <w:t>these pumps fitted with sensors to monitor water supply</w:t>
      </w:r>
      <w:r w:rsidR="00B24DA3">
        <w:t>. The equipment with sensors could be implemented in the regulation</w:t>
      </w:r>
      <w:r>
        <w:t>.</w:t>
      </w:r>
    </w:p>
    <w:p w14:paraId="1925574B" w14:textId="19BCE4FF" w:rsidR="009371EE" w:rsidRPr="009371EE" w:rsidRDefault="00616AD3" w:rsidP="009371EE">
      <w:pPr>
        <w:pStyle w:val="ListParagraph"/>
        <w:tabs>
          <w:tab w:val="left" w:pos="284"/>
        </w:tabs>
        <w:spacing w:after="160" w:line="259" w:lineRule="auto"/>
        <w:ind w:left="1134"/>
        <w:contextualSpacing/>
        <w:rPr>
          <w:b/>
          <w:bCs/>
        </w:rPr>
      </w:pPr>
      <w:r>
        <w:br/>
      </w:r>
      <w:r w:rsidRPr="009371EE">
        <w:rPr>
          <w:b/>
          <w:bCs/>
        </w:rPr>
        <w:t xml:space="preserve">Item 9 - </w:t>
      </w:r>
      <w:r w:rsidR="00996BBF" w:rsidRPr="009371EE">
        <w:rPr>
          <w:b/>
          <w:bCs/>
        </w:rPr>
        <w:t>Special provision TT4 of 6.8.4.(d) of RID.</w:t>
      </w:r>
    </w:p>
    <w:p w14:paraId="32F638A5" w14:textId="77777777" w:rsidR="009371EE" w:rsidRDefault="00996BBF" w:rsidP="009371EE">
      <w:pPr>
        <w:pStyle w:val="ListParagraph"/>
        <w:tabs>
          <w:tab w:val="left" w:pos="284"/>
        </w:tabs>
        <w:spacing w:after="160" w:line="259" w:lineRule="auto"/>
        <w:ind w:left="1134"/>
        <w:contextualSpacing/>
      </w:pPr>
      <w:r w:rsidRPr="009371EE">
        <w:rPr>
          <w:b/>
          <w:bCs/>
        </w:rPr>
        <w:t>Document:</w:t>
      </w:r>
      <w:r>
        <w:t xml:space="preserve"> INF 3 (Netherlands)</w:t>
      </w:r>
      <w:r w:rsidR="009371EE">
        <w:t>.</w:t>
      </w:r>
      <w:r w:rsidRPr="00FB17A3">
        <w:t xml:space="preserve"> </w:t>
      </w:r>
    </w:p>
    <w:p w14:paraId="1E86A6BE" w14:textId="77777777" w:rsidR="009371EE" w:rsidRDefault="009371EE" w:rsidP="009371EE">
      <w:pPr>
        <w:pStyle w:val="ListParagraph"/>
        <w:tabs>
          <w:tab w:val="left" w:pos="284"/>
        </w:tabs>
        <w:spacing w:after="160" w:line="259" w:lineRule="auto"/>
        <w:ind w:left="1134"/>
        <w:contextualSpacing/>
      </w:pPr>
    </w:p>
    <w:p w14:paraId="31D7AC5D" w14:textId="39FC40D4" w:rsidR="00BE4F32" w:rsidRDefault="00996BBF" w:rsidP="00243FA6">
      <w:pPr>
        <w:pStyle w:val="ListParagraph"/>
        <w:numPr>
          <w:ilvl w:val="0"/>
          <w:numId w:val="42"/>
        </w:numPr>
        <w:tabs>
          <w:tab w:val="left" w:pos="284"/>
        </w:tabs>
        <w:spacing w:after="160" w:line="259" w:lineRule="auto"/>
        <w:ind w:left="1134" w:firstLine="0"/>
        <w:contextualSpacing/>
      </w:pPr>
      <w:r>
        <w:t>Special provision TT4 appears only in RID for tank wagons and tank-containers. However, it does not apply in ADR. The document contained two questions.</w:t>
      </w:r>
      <w:r w:rsidR="00BE4F32">
        <w:br/>
      </w:r>
    </w:p>
    <w:p w14:paraId="68158D4F" w14:textId="6833C68E" w:rsidR="00BE4F32" w:rsidRDefault="00996BBF" w:rsidP="00243FA6">
      <w:pPr>
        <w:pStyle w:val="ListParagraph"/>
        <w:numPr>
          <w:ilvl w:val="0"/>
          <w:numId w:val="42"/>
        </w:numPr>
        <w:tabs>
          <w:tab w:val="left" w:pos="284"/>
        </w:tabs>
        <w:spacing w:after="160" w:line="259" w:lineRule="auto"/>
        <w:ind w:left="1134" w:firstLine="0"/>
        <w:contextualSpacing/>
      </w:pPr>
      <w:r>
        <w:t>On the first question it was confirmed that no rationale could be re</w:t>
      </w:r>
      <w:r w:rsidR="00FF6A34">
        <w:t>called</w:t>
      </w:r>
      <w:r w:rsidR="006A1A7B">
        <w:t xml:space="preserve"> for </w:t>
      </w:r>
      <w:r>
        <w:t xml:space="preserve">the provision TT4 and why it was only applied </w:t>
      </w:r>
      <w:r w:rsidR="006A1A7B">
        <w:t>by</w:t>
      </w:r>
      <w:r>
        <w:t xml:space="preserve"> RID.</w:t>
      </w:r>
      <w:r w:rsidR="00BE4F32">
        <w:br/>
      </w:r>
    </w:p>
    <w:p w14:paraId="7BCF7F37" w14:textId="09900EFB" w:rsidR="0091056B" w:rsidRDefault="00996BBF" w:rsidP="00243FA6">
      <w:pPr>
        <w:pStyle w:val="ListParagraph"/>
        <w:numPr>
          <w:ilvl w:val="0"/>
          <w:numId w:val="42"/>
        </w:numPr>
        <w:tabs>
          <w:tab w:val="left" w:pos="284"/>
        </w:tabs>
        <w:spacing w:after="160" w:line="259" w:lineRule="auto"/>
        <w:ind w:left="1134" w:firstLine="0"/>
        <w:contextualSpacing/>
      </w:pPr>
      <w:r>
        <w:t xml:space="preserve">On question two it was said that tanks were either equipped with an internal liner or constructed of mild steel and that exposure to hydrofluoric acid would create a </w:t>
      </w:r>
      <w:r w:rsidR="00FE552C">
        <w:t xml:space="preserve">protective </w:t>
      </w:r>
      <w:r>
        <w:t xml:space="preserve">layer of </w:t>
      </w:r>
      <w:r w:rsidR="00FE552C">
        <w:t>iron fluoride</w:t>
      </w:r>
      <w:r>
        <w:t>. Th</w:t>
      </w:r>
      <w:r w:rsidR="008D3666">
        <w:t xml:space="preserve">is way of protection is also described in </w:t>
      </w:r>
      <w:r w:rsidRPr="00243FA6">
        <w:t xml:space="preserve">6.7.2.2.2 (b). For both construction methods no problems with corrosion were experienced. It was felt that safety would not be enhanced by introducing TT4 in ADR and that deletion from RID would not create safety issues. </w:t>
      </w:r>
      <w:r w:rsidR="00222CE8">
        <w:t xml:space="preserve">It was generally felt </w:t>
      </w:r>
      <w:r w:rsidR="003A17DA">
        <w:t xml:space="preserve">that the general compatibility requirements between substances </w:t>
      </w:r>
      <w:proofErr w:type="gramStart"/>
      <w:r w:rsidR="003A17DA">
        <w:t>carried</w:t>
      </w:r>
      <w:proofErr w:type="gramEnd"/>
      <w:r w:rsidR="003A17DA">
        <w:t xml:space="preserve"> and </w:t>
      </w:r>
      <w:r w:rsidR="00047192">
        <w:t>tank</w:t>
      </w:r>
      <w:r w:rsidR="003A17DA">
        <w:t xml:space="preserve"> material</w:t>
      </w:r>
      <w:r w:rsidR="00047192">
        <w:t xml:space="preserve">s would be sufficient. </w:t>
      </w:r>
      <w:r w:rsidRPr="00243FA6">
        <w:t xml:space="preserve">As </w:t>
      </w:r>
      <w:r w:rsidR="00090133">
        <w:t>TT</w:t>
      </w:r>
      <w:r w:rsidR="00047192">
        <w:t>4</w:t>
      </w:r>
      <w:r w:rsidR="00090133">
        <w:t xml:space="preserve"> </w:t>
      </w:r>
      <w:proofErr w:type="gramStart"/>
      <w:r w:rsidR="003A1CBD">
        <w:t xml:space="preserve">is </w:t>
      </w:r>
      <w:r w:rsidR="00090133">
        <w:t xml:space="preserve"> a</w:t>
      </w:r>
      <w:proofErr w:type="gramEnd"/>
      <w:r w:rsidRPr="00243FA6">
        <w:t xml:space="preserve"> RID issue this should be considered further at the RID standing working group</w:t>
      </w:r>
      <w:r w:rsidR="00BE4F32" w:rsidRPr="00243FA6">
        <w:t>.</w:t>
      </w:r>
    </w:p>
    <w:p w14:paraId="39169888" w14:textId="1B89FE3E" w:rsidR="00090133" w:rsidRPr="004C6A1F" w:rsidRDefault="00727D63" w:rsidP="00727D63">
      <w:pPr>
        <w:tabs>
          <w:tab w:val="left" w:pos="284"/>
        </w:tabs>
        <w:spacing w:after="160" w:line="259" w:lineRule="auto"/>
        <w:ind w:left="1134"/>
        <w:contextualSpacing/>
        <w:rPr>
          <w:b/>
          <w:bCs/>
        </w:rPr>
      </w:pPr>
      <w:r w:rsidRPr="004C6A1F">
        <w:rPr>
          <w:b/>
          <w:bCs/>
        </w:rPr>
        <w:t xml:space="preserve">Item 10 </w:t>
      </w:r>
      <w:r w:rsidR="00505A5A" w:rsidRPr="004C6A1F">
        <w:rPr>
          <w:b/>
          <w:bCs/>
        </w:rPr>
        <w:t>–</w:t>
      </w:r>
      <w:r w:rsidRPr="004C6A1F">
        <w:rPr>
          <w:b/>
          <w:bCs/>
        </w:rPr>
        <w:t xml:space="preserve"> </w:t>
      </w:r>
      <w:r w:rsidR="00505A5A" w:rsidRPr="004C6A1F">
        <w:rPr>
          <w:b/>
          <w:bCs/>
        </w:rPr>
        <w:t xml:space="preserve">Potential environmental restriction of </w:t>
      </w:r>
      <w:r w:rsidR="00F722A7" w:rsidRPr="004C6A1F">
        <w:rPr>
          <w:b/>
          <w:bCs/>
        </w:rPr>
        <w:t>polytetrafluoroethylene</w:t>
      </w:r>
      <w:r w:rsidR="00CB52F4" w:rsidRPr="004C6A1F">
        <w:rPr>
          <w:b/>
          <w:bCs/>
        </w:rPr>
        <w:t xml:space="preserve"> used for the manufactu</w:t>
      </w:r>
      <w:r w:rsidR="0067791D">
        <w:rPr>
          <w:b/>
          <w:bCs/>
        </w:rPr>
        <w:t>r</w:t>
      </w:r>
      <w:r w:rsidR="00CB52F4" w:rsidRPr="004C6A1F">
        <w:rPr>
          <w:b/>
          <w:bCs/>
        </w:rPr>
        <w:t xml:space="preserve">e of tank service equipment </w:t>
      </w:r>
      <w:r w:rsidR="003C6679" w:rsidRPr="004C6A1F">
        <w:rPr>
          <w:b/>
          <w:bCs/>
        </w:rPr>
        <w:t>seals and gaskets.</w:t>
      </w:r>
    </w:p>
    <w:p w14:paraId="03AEFDBF" w14:textId="77777777" w:rsidR="003C6679" w:rsidRDefault="003C6679" w:rsidP="003C6679">
      <w:pPr>
        <w:tabs>
          <w:tab w:val="left" w:pos="284"/>
        </w:tabs>
        <w:spacing w:after="160" w:line="259" w:lineRule="auto"/>
        <w:ind w:left="1134"/>
        <w:contextualSpacing/>
      </w:pPr>
      <w:r w:rsidRPr="004C6A1F">
        <w:rPr>
          <w:b/>
          <w:bCs/>
        </w:rPr>
        <w:t>Document:</w:t>
      </w:r>
      <w:r>
        <w:t xml:space="preserve"> INF 6 (ITCO).</w:t>
      </w:r>
    </w:p>
    <w:p w14:paraId="640B44B0" w14:textId="77777777" w:rsidR="00132B85" w:rsidRDefault="00AA1CAE" w:rsidP="00111A74">
      <w:pPr>
        <w:pStyle w:val="ListParagraph"/>
        <w:numPr>
          <w:ilvl w:val="0"/>
          <w:numId w:val="42"/>
        </w:numPr>
        <w:tabs>
          <w:tab w:val="left" w:pos="284"/>
        </w:tabs>
        <w:spacing w:after="160" w:line="259" w:lineRule="auto"/>
        <w:ind w:left="1134" w:firstLine="0"/>
        <w:contextualSpacing/>
      </w:pPr>
      <w:r>
        <w:t xml:space="preserve">It was brought to the attention that </w:t>
      </w:r>
      <w:r w:rsidR="00190B6A">
        <w:t>The European Chemicals Agency (ECHA) consultation process is considering the REACH proposal to limit risks to the environment and human health that might result from the manufacture and use of perfluoroalkyl and polyfluoroalkyl substances (PFAS). ECHA estimate 4700 substances are within the scope of PFAS which includes PTFE.</w:t>
      </w:r>
      <w:r w:rsidR="00132B85">
        <w:br/>
      </w:r>
    </w:p>
    <w:p w14:paraId="1A4E3647" w14:textId="4E3C7EF8" w:rsidR="00CA3F2F" w:rsidRDefault="00132B85" w:rsidP="00111A74">
      <w:pPr>
        <w:pStyle w:val="ListParagraph"/>
        <w:numPr>
          <w:ilvl w:val="0"/>
          <w:numId w:val="42"/>
        </w:numPr>
        <w:tabs>
          <w:tab w:val="left" w:pos="284"/>
        </w:tabs>
        <w:spacing w:after="160" w:line="259" w:lineRule="auto"/>
        <w:ind w:left="1134" w:firstLine="0"/>
        <w:contextualSpacing/>
      </w:pPr>
      <w:r>
        <w:lastRenderedPageBreak/>
        <w:t xml:space="preserve">A ban on the use </w:t>
      </w:r>
      <w:r w:rsidR="00DF547B">
        <w:t>of P</w:t>
      </w:r>
      <w:r w:rsidR="00960C25">
        <w:t>T</w:t>
      </w:r>
      <w:r w:rsidR="00DF547B">
        <w:t xml:space="preserve">FE </w:t>
      </w:r>
      <w:r w:rsidR="00763F5D">
        <w:t xml:space="preserve">and other similar materials </w:t>
      </w:r>
      <w:r w:rsidR="00C91D69">
        <w:t xml:space="preserve">would have serious consequences for the </w:t>
      </w:r>
      <w:r w:rsidR="00C07EC7">
        <w:t xml:space="preserve">safe transport of dangerous goods. </w:t>
      </w:r>
      <w:r w:rsidR="00453DDB">
        <w:t xml:space="preserve">The material is </w:t>
      </w:r>
      <w:r w:rsidR="007559A6">
        <w:t xml:space="preserve">used due </w:t>
      </w:r>
      <w:r w:rsidR="00ED3A52">
        <w:t xml:space="preserve">to </w:t>
      </w:r>
      <w:r w:rsidR="00453DDB">
        <w:t xml:space="preserve">its superior </w:t>
      </w:r>
      <w:r w:rsidR="00305D8F">
        <w:t xml:space="preserve">properties </w:t>
      </w:r>
      <w:r w:rsidR="00DF547B">
        <w:t xml:space="preserve">in </w:t>
      </w:r>
      <w:r w:rsidR="00473B28">
        <w:t>providing a tight seal and chemical resistance</w:t>
      </w:r>
      <w:r w:rsidR="008110A4">
        <w:t>,</w:t>
      </w:r>
      <w:r w:rsidR="00EE514F">
        <w:t xml:space="preserve"> </w:t>
      </w:r>
      <w:r w:rsidR="007559A6">
        <w:t xml:space="preserve">performs better </w:t>
      </w:r>
      <w:r w:rsidR="00C0135C">
        <w:t xml:space="preserve">than the asbestos seals it </w:t>
      </w:r>
      <w:proofErr w:type="gramStart"/>
      <w:r w:rsidR="00C0135C">
        <w:t>replaced</w:t>
      </w:r>
      <w:proofErr w:type="gramEnd"/>
      <w:r w:rsidR="008110A4" w:rsidRPr="008110A4">
        <w:t xml:space="preserve"> </w:t>
      </w:r>
      <w:r w:rsidR="008110A4">
        <w:t>and no equivalent alternative exists.</w:t>
      </w:r>
      <w:r w:rsidR="00CA3F2F">
        <w:br/>
      </w:r>
      <w:r w:rsidR="00473B28">
        <w:t xml:space="preserve"> </w:t>
      </w:r>
    </w:p>
    <w:p w14:paraId="3E2960AC" w14:textId="1084EF03" w:rsidR="009E4AF6" w:rsidRDefault="00C0135C" w:rsidP="00111A74">
      <w:pPr>
        <w:pStyle w:val="ListParagraph"/>
        <w:numPr>
          <w:ilvl w:val="0"/>
          <w:numId w:val="42"/>
        </w:numPr>
        <w:tabs>
          <w:tab w:val="left" w:pos="284"/>
        </w:tabs>
        <w:spacing w:after="160" w:line="259" w:lineRule="auto"/>
        <w:ind w:left="1134" w:firstLine="0"/>
        <w:contextualSpacing/>
      </w:pPr>
      <w:r>
        <w:t xml:space="preserve"> </w:t>
      </w:r>
      <w:r w:rsidR="00CA3F2F">
        <w:t xml:space="preserve">It was </w:t>
      </w:r>
      <w:r w:rsidR="00675CD1">
        <w:t>strongly advised</w:t>
      </w:r>
      <w:r w:rsidR="00CA3F2F">
        <w:t xml:space="preserve"> that </w:t>
      </w:r>
      <w:r w:rsidR="00952D53">
        <w:t xml:space="preserve">concerned parties </w:t>
      </w:r>
      <w:r w:rsidR="00D406AB">
        <w:t xml:space="preserve">should respond </w:t>
      </w:r>
      <w:r w:rsidR="008559FC">
        <w:t>to</w:t>
      </w:r>
      <w:r w:rsidR="00952D53">
        <w:t xml:space="preserve"> the consul</w:t>
      </w:r>
      <w:r w:rsidR="00675CD1">
        <w:t>t</w:t>
      </w:r>
      <w:r w:rsidR="00952D53">
        <w:t xml:space="preserve">ation that would </w:t>
      </w:r>
      <w:r w:rsidR="00791FEB">
        <w:t xml:space="preserve">close around </w:t>
      </w:r>
      <w:r w:rsidR="00952D53">
        <w:t xml:space="preserve">June/July 2022. </w:t>
      </w:r>
      <w:r w:rsidR="008F70D8">
        <w:t>Environmental</w:t>
      </w:r>
      <w:r w:rsidR="00390A1D">
        <w:t>ly</w:t>
      </w:r>
      <w:r w:rsidR="008F70D8">
        <w:t xml:space="preserve"> sound recycling </w:t>
      </w:r>
      <w:r w:rsidR="009E4AF6">
        <w:t xml:space="preserve">was also </w:t>
      </w:r>
      <w:r w:rsidR="008559FC">
        <w:t>to be encouraged</w:t>
      </w:r>
      <w:r w:rsidR="009E4AF6">
        <w:t>.</w:t>
      </w:r>
    </w:p>
    <w:p w14:paraId="2EF0878D" w14:textId="7D89A097" w:rsidR="00BB7F62" w:rsidRDefault="009E4AF6" w:rsidP="00111A74">
      <w:pPr>
        <w:tabs>
          <w:tab w:val="left" w:pos="284"/>
        </w:tabs>
        <w:spacing w:after="160" w:line="259" w:lineRule="auto"/>
        <w:ind w:left="1134"/>
        <w:contextualSpacing/>
        <w:rPr>
          <w:b/>
          <w:bCs/>
        </w:rPr>
      </w:pPr>
      <w:r w:rsidRPr="00111A74">
        <w:rPr>
          <w:b/>
          <w:bCs/>
        </w:rPr>
        <w:t xml:space="preserve">Item 11- </w:t>
      </w:r>
      <w:r w:rsidR="00111A74" w:rsidRPr="00111A74">
        <w:rPr>
          <w:b/>
          <w:bCs/>
        </w:rPr>
        <w:t>Proposal to develop a standard for relief valves on tank-vehicles carrying dangerous goods other than petroleum products and LPG.</w:t>
      </w:r>
      <w:r w:rsidR="00132B85" w:rsidRPr="00111A74">
        <w:rPr>
          <w:b/>
          <w:bCs/>
        </w:rPr>
        <w:br/>
      </w:r>
      <w:r w:rsidR="00111A74">
        <w:rPr>
          <w:b/>
          <w:bCs/>
        </w:rPr>
        <w:t xml:space="preserve">Document: </w:t>
      </w:r>
      <w:r w:rsidR="00111A74" w:rsidRPr="00A40310">
        <w:t xml:space="preserve">INF </w:t>
      </w:r>
      <w:r w:rsidR="008B096E" w:rsidRPr="00A40310">
        <w:t>29 (United Kingdom).</w:t>
      </w:r>
    </w:p>
    <w:p w14:paraId="3327DB19" w14:textId="58A59524" w:rsidR="008B096E" w:rsidRDefault="008B01B8" w:rsidP="00087F27">
      <w:pPr>
        <w:pStyle w:val="ListParagraph"/>
        <w:numPr>
          <w:ilvl w:val="0"/>
          <w:numId w:val="42"/>
        </w:numPr>
        <w:tabs>
          <w:tab w:val="left" w:pos="284"/>
        </w:tabs>
        <w:spacing w:after="160" w:line="259" w:lineRule="auto"/>
        <w:ind w:left="1134" w:firstLine="0"/>
        <w:contextualSpacing/>
      </w:pPr>
      <w:r>
        <w:t xml:space="preserve">A </w:t>
      </w:r>
      <w:r w:rsidR="008238A9">
        <w:t xml:space="preserve">suggestion for </w:t>
      </w:r>
      <w:r w:rsidR="006B10E9">
        <w:t xml:space="preserve">a </w:t>
      </w:r>
      <w:r>
        <w:t xml:space="preserve">new </w:t>
      </w:r>
      <w:r w:rsidR="005B0906">
        <w:t xml:space="preserve">EN </w:t>
      </w:r>
      <w:r>
        <w:t xml:space="preserve">standard for </w:t>
      </w:r>
      <w:r w:rsidR="0056368E">
        <w:t xml:space="preserve">pressure relief devices </w:t>
      </w:r>
      <w:r w:rsidR="008238A9">
        <w:t xml:space="preserve">was </w:t>
      </w:r>
      <w:r w:rsidR="00FC0E32">
        <w:t xml:space="preserve">presented </w:t>
      </w:r>
      <w:r w:rsidR="007721A8">
        <w:t>a</w:t>
      </w:r>
      <w:r w:rsidR="00A40310">
        <w:t xml:space="preserve">t the CEN TC 296 meeting </w:t>
      </w:r>
      <w:r w:rsidR="007721A8">
        <w:t xml:space="preserve">last November. </w:t>
      </w:r>
      <w:r w:rsidR="00FA19F7">
        <w:t xml:space="preserve">It was said that </w:t>
      </w:r>
      <w:r w:rsidR="003E7FCB">
        <w:t xml:space="preserve">the </w:t>
      </w:r>
      <w:r w:rsidR="00A43100">
        <w:t>I</w:t>
      </w:r>
      <w:r w:rsidR="003E7FCB">
        <w:t>SO</w:t>
      </w:r>
      <w:r w:rsidR="00F87538">
        <w:t xml:space="preserve"> </w:t>
      </w:r>
      <w:r w:rsidR="00255C02">
        <w:t xml:space="preserve">4126 </w:t>
      </w:r>
      <w:r w:rsidR="003E7FCB">
        <w:t xml:space="preserve">series </w:t>
      </w:r>
      <w:r w:rsidR="00FA19F7">
        <w:t xml:space="preserve">is </w:t>
      </w:r>
      <w:r w:rsidR="006220FE">
        <w:t xml:space="preserve">already </w:t>
      </w:r>
      <w:r w:rsidR="00A43100">
        <w:t>available</w:t>
      </w:r>
      <w:r w:rsidR="00197E2B">
        <w:t>,</w:t>
      </w:r>
      <w:r w:rsidR="006B10E9">
        <w:t xml:space="preserve"> that the </w:t>
      </w:r>
      <w:r w:rsidR="001E757D">
        <w:t>s</w:t>
      </w:r>
      <w:r w:rsidR="006B10E9">
        <w:t xml:space="preserve">cope of </w:t>
      </w:r>
      <w:proofErr w:type="gramStart"/>
      <w:r w:rsidR="006B10E9">
        <w:t xml:space="preserve">this </w:t>
      </w:r>
      <w:r w:rsidR="00F245E1">
        <w:t xml:space="preserve"> standard</w:t>
      </w:r>
      <w:proofErr w:type="gramEnd"/>
      <w:r w:rsidR="00F245E1">
        <w:t xml:space="preserve"> should be checked to see if the new standard </w:t>
      </w:r>
      <w:r w:rsidR="00D31899">
        <w:t>would be useful</w:t>
      </w:r>
      <w:r w:rsidR="00197E2B">
        <w:t xml:space="preserve"> a</w:t>
      </w:r>
      <w:r w:rsidR="00C616FE">
        <w:t>n</w:t>
      </w:r>
      <w:r w:rsidR="00197E2B">
        <w:t xml:space="preserve">d the subject raised </w:t>
      </w:r>
      <w:r w:rsidR="00C616FE">
        <w:t xml:space="preserve">at the spring session </w:t>
      </w:r>
      <w:r w:rsidR="00B50CAE">
        <w:t>of the Joint Meeting</w:t>
      </w:r>
      <w:r w:rsidR="00D31899">
        <w:t>.</w:t>
      </w:r>
      <w:r w:rsidR="003E7FCB">
        <w:br/>
      </w:r>
      <w:r w:rsidR="00D901EC">
        <w:t xml:space="preserve"> </w:t>
      </w:r>
    </w:p>
    <w:p w14:paraId="1CD7B693" w14:textId="79EB6183" w:rsidR="00D901EC" w:rsidRDefault="008B352B" w:rsidP="00087F27">
      <w:pPr>
        <w:pStyle w:val="ListParagraph"/>
        <w:numPr>
          <w:ilvl w:val="0"/>
          <w:numId w:val="42"/>
        </w:numPr>
        <w:tabs>
          <w:tab w:val="left" w:pos="284"/>
        </w:tabs>
        <w:spacing w:after="160" w:line="259" w:lineRule="auto"/>
        <w:ind w:left="1134" w:firstLine="0"/>
        <w:contextualSpacing/>
      </w:pPr>
      <w:r>
        <w:t xml:space="preserve">Similar views were expressed </w:t>
      </w:r>
      <w:r w:rsidR="00BC0BB5">
        <w:t>in the working group, but a</w:t>
      </w:r>
      <w:r w:rsidR="00D31899">
        <w:t xml:space="preserve">s the scope of the </w:t>
      </w:r>
      <w:r w:rsidR="00A9190A">
        <w:t xml:space="preserve">ISO </w:t>
      </w:r>
      <w:r w:rsidR="00D31899">
        <w:t xml:space="preserve">standard was not clarified </w:t>
      </w:r>
      <w:r w:rsidR="001E757D">
        <w:t>the</w:t>
      </w:r>
      <w:r w:rsidR="00113AC1">
        <w:t xml:space="preserve"> advice from the working group on </w:t>
      </w:r>
      <w:r w:rsidR="00087F27">
        <w:t>t</w:t>
      </w:r>
      <w:r w:rsidR="00113AC1">
        <w:t>anks was not possible. It was sa</w:t>
      </w:r>
      <w:r w:rsidR="00062AA8">
        <w:t>i</w:t>
      </w:r>
      <w:r w:rsidR="00113AC1">
        <w:t>d however that duplication sh</w:t>
      </w:r>
      <w:r w:rsidR="00062AA8">
        <w:t>all</w:t>
      </w:r>
      <w:r w:rsidR="00113AC1">
        <w:t xml:space="preserve"> be prevented</w:t>
      </w:r>
      <w:r w:rsidR="00087F27">
        <w:t>.</w:t>
      </w:r>
      <w:r w:rsidR="009B4E9F">
        <w:t xml:space="preserve"> </w:t>
      </w:r>
      <w:r w:rsidR="00241CE6">
        <w:t xml:space="preserve">The UK </w:t>
      </w:r>
      <w:r w:rsidR="00D01AF7">
        <w:t>offered to</w:t>
      </w:r>
      <w:r w:rsidR="00241CE6">
        <w:t xml:space="preserve"> provide an explanatory document</w:t>
      </w:r>
      <w:r w:rsidR="00D01AF7">
        <w:t xml:space="preserve"> for discussion at the </w:t>
      </w:r>
      <w:r w:rsidR="009D5F69">
        <w:t xml:space="preserve">autumn session </w:t>
      </w:r>
      <w:r w:rsidR="00D01AF7">
        <w:t xml:space="preserve">before </w:t>
      </w:r>
      <w:r w:rsidR="009D5F69">
        <w:t>the next TC meeting</w:t>
      </w:r>
      <w:r w:rsidR="00D01AF7">
        <w:t>.</w:t>
      </w:r>
    </w:p>
    <w:p w14:paraId="0358F1C9" w14:textId="19C47263" w:rsidR="00087F27" w:rsidRPr="00C818CE" w:rsidRDefault="00087F27" w:rsidP="00087F27">
      <w:pPr>
        <w:tabs>
          <w:tab w:val="left" w:pos="284"/>
        </w:tabs>
        <w:spacing w:after="160" w:line="259" w:lineRule="auto"/>
        <w:contextualSpacing/>
        <w:jc w:val="center"/>
      </w:pPr>
      <w:r>
        <w:t>----</w:t>
      </w:r>
      <w:r w:rsidR="00ED337E">
        <w:t>-</w:t>
      </w:r>
    </w:p>
    <w:p w14:paraId="45214178" w14:textId="4C2A489A" w:rsidR="00DD3C64" w:rsidRPr="008B096E" w:rsidRDefault="00DD3C64" w:rsidP="008B096E">
      <w:pPr>
        <w:pStyle w:val="ListParagraph"/>
        <w:tabs>
          <w:tab w:val="left" w:pos="284"/>
        </w:tabs>
        <w:spacing w:after="160" w:line="259" w:lineRule="auto"/>
        <w:ind w:left="1353"/>
        <w:contextualSpacing/>
      </w:pPr>
    </w:p>
    <w:sectPr w:rsidR="00DD3C64" w:rsidRPr="008B096E" w:rsidSect="002E480D">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B1D8" w14:textId="77777777" w:rsidR="00CA7337" w:rsidRDefault="00CA7337"/>
  </w:endnote>
  <w:endnote w:type="continuationSeparator" w:id="0">
    <w:p w14:paraId="64403BB2" w14:textId="77777777" w:rsidR="00CA7337" w:rsidRDefault="00CA7337"/>
  </w:endnote>
  <w:endnote w:type="continuationNotice" w:id="1">
    <w:p w14:paraId="02A9EA7F" w14:textId="77777777" w:rsidR="00CA7337" w:rsidRDefault="00CA7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3A2" w14:textId="24FDF0FB"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3C693B">
      <w:rPr>
        <w:b/>
        <w:noProof/>
        <w:sz w:val="18"/>
      </w:rPr>
      <w:t>4</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BB2" w14:textId="0A65BEFE"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3C693B">
      <w:rPr>
        <w:b/>
        <w:noProof/>
        <w:sz w:val="18"/>
      </w:rPr>
      <w:t>5</w:t>
    </w:r>
    <w:r w:rsidRPr="002E48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BAB1" w14:textId="77777777" w:rsidR="00CA7337" w:rsidRPr="000B175B" w:rsidRDefault="00CA7337" w:rsidP="000B175B">
      <w:pPr>
        <w:tabs>
          <w:tab w:val="right" w:pos="2155"/>
        </w:tabs>
        <w:spacing w:after="80"/>
        <w:ind w:left="680"/>
        <w:rPr>
          <w:u w:val="single"/>
        </w:rPr>
      </w:pPr>
      <w:r>
        <w:rPr>
          <w:u w:val="single"/>
        </w:rPr>
        <w:tab/>
      </w:r>
    </w:p>
  </w:footnote>
  <w:footnote w:type="continuationSeparator" w:id="0">
    <w:p w14:paraId="62302923" w14:textId="77777777" w:rsidR="00CA7337" w:rsidRPr="00FC68B7" w:rsidRDefault="00CA7337" w:rsidP="00FC68B7">
      <w:pPr>
        <w:tabs>
          <w:tab w:val="left" w:pos="2155"/>
        </w:tabs>
        <w:spacing w:after="80"/>
        <w:ind w:left="680"/>
        <w:rPr>
          <w:u w:val="single"/>
        </w:rPr>
      </w:pPr>
      <w:r>
        <w:rPr>
          <w:u w:val="single"/>
        </w:rPr>
        <w:tab/>
      </w:r>
    </w:p>
  </w:footnote>
  <w:footnote w:type="continuationNotice" w:id="1">
    <w:p w14:paraId="61EECD7E" w14:textId="77777777" w:rsidR="00CA7337" w:rsidRDefault="00CA7337"/>
  </w:footnote>
  <w:footnote w:id="2">
    <w:p w14:paraId="083D4163" w14:textId="3180FE2E" w:rsidR="00C91FEC" w:rsidRPr="0079541D" w:rsidRDefault="00C91FEC" w:rsidP="00FC4ACF">
      <w:pPr>
        <w:pStyle w:val="FootnoteText"/>
      </w:pPr>
      <w:r w:rsidRPr="0079541D">
        <w:rPr>
          <w:rStyle w:val="FootnoteReference"/>
        </w:rPr>
        <w:tab/>
      </w:r>
      <w:r w:rsidRPr="0079541D">
        <w:rPr>
          <w:rStyle w:val="FootnoteReference"/>
          <w:sz w:val="20"/>
          <w:vertAlign w:val="baseline"/>
        </w:rPr>
        <w:t>*</w:t>
      </w:r>
      <w:r w:rsidRPr="0079541D">
        <w:rPr>
          <w:rStyle w:val="FootnoteReference"/>
          <w:sz w:val="20"/>
          <w:vertAlign w:val="baseline"/>
        </w:rPr>
        <w:tab/>
      </w:r>
      <w:r w:rsidRPr="0079541D">
        <w:rPr>
          <w:szCs w:val="18"/>
        </w:rPr>
        <w:t>Circulated by the Intergovernmental Organisation for International Carriage by Rail (OTIF) under the symbol OTIF/RID/RC/202</w:t>
      </w:r>
      <w:r w:rsidR="00367CC3">
        <w:rPr>
          <w:szCs w:val="18"/>
        </w:rPr>
        <w:t>1</w:t>
      </w:r>
      <w:r w:rsidRPr="0079541D">
        <w:rPr>
          <w:szCs w:val="18"/>
        </w:rPr>
        <w:t>-A. Unless otherwise indicated, the other documents referred to in this report under the symbol ECE/TRANS/WP.15/AC.1/ followed by the year and a serial number were circulated by OTIF under the symbol OTIF/RID/RC/ followed by the year and the same serial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D7A" w14:textId="7DD95731" w:rsidR="00B44E24" w:rsidRDefault="003C693B">
    <w:pPr>
      <w:pStyle w:val="Header"/>
    </w:pPr>
    <w:fldSimple w:instr=" TITLE  \* MERGEFORMAT ">
      <w:r w:rsidR="00B44E24">
        <w:t>INF</w:t>
      </w:r>
    </w:fldSimple>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1F6" w14:textId="43FC8222" w:rsidR="00C91FEC" w:rsidRPr="003C693B" w:rsidRDefault="003C693B" w:rsidP="002E480D">
    <w:pPr>
      <w:pStyle w:val="Header"/>
      <w:jc w:val="right"/>
      <w:rPr>
        <w:lang w:val="de-CH"/>
      </w:rPr>
    </w:pPr>
    <w:r>
      <w:rPr>
        <w:lang w:val="de-CH"/>
      </w:rPr>
      <w:t>INF.36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5"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0"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584B6D"/>
    <w:multiLevelType w:val="hybridMultilevel"/>
    <w:tmpl w:val="D0A2652E"/>
    <w:lvl w:ilvl="0" w:tplc="20163CE0">
      <w:start w:val="5"/>
      <w:numFmt w:val="decimal"/>
      <w:lvlText w:val="%1."/>
      <w:lvlJc w:val="left"/>
      <w:pPr>
        <w:ind w:left="1778" w:hanging="360"/>
      </w:pPr>
      <w:rPr>
        <w:rFonts w:hint="default"/>
      </w:rPr>
    </w:lvl>
    <w:lvl w:ilvl="1" w:tplc="04130019" w:tentative="1">
      <w:start w:val="1"/>
      <w:numFmt w:val="lowerLetter"/>
      <w:lvlText w:val="%2."/>
      <w:lvlJc w:val="left"/>
      <w:pPr>
        <w:ind w:left="2203" w:hanging="360"/>
      </w:pPr>
    </w:lvl>
    <w:lvl w:ilvl="2" w:tplc="0413001B" w:tentative="1">
      <w:start w:val="1"/>
      <w:numFmt w:val="lowerRoman"/>
      <w:lvlText w:val="%3."/>
      <w:lvlJc w:val="right"/>
      <w:pPr>
        <w:ind w:left="2923" w:hanging="180"/>
      </w:pPr>
    </w:lvl>
    <w:lvl w:ilvl="3" w:tplc="0413000F" w:tentative="1">
      <w:start w:val="1"/>
      <w:numFmt w:val="decimal"/>
      <w:lvlText w:val="%4."/>
      <w:lvlJc w:val="left"/>
      <w:pPr>
        <w:ind w:left="3643" w:hanging="360"/>
      </w:pPr>
    </w:lvl>
    <w:lvl w:ilvl="4" w:tplc="04130019" w:tentative="1">
      <w:start w:val="1"/>
      <w:numFmt w:val="lowerLetter"/>
      <w:lvlText w:val="%5."/>
      <w:lvlJc w:val="left"/>
      <w:pPr>
        <w:ind w:left="4363" w:hanging="360"/>
      </w:pPr>
    </w:lvl>
    <w:lvl w:ilvl="5" w:tplc="0413001B" w:tentative="1">
      <w:start w:val="1"/>
      <w:numFmt w:val="lowerRoman"/>
      <w:lvlText w:val="%6."/>
      <w:lvlJc w:val="right"/>
      <w:pPr>
        <w:ind w:left="5083" w:hanging="180"/>
      </w:pPr>
    </w:lvl>
    <w:lvl w:ilvl="6" w:tplc="0413000F" w:tentative="1">
      <w:start w:val="1"/>
      <w:numFmt w:val="decimal"/>
      <w:lvlText w:val="%7."/>
      <w:lvlJc w:val="left"/>
      <w:pPr>
        <w:ind w:left="5803" w:hanging="360"/>
      </w:pPr>
    </w:lvl>
    <w:lvl w:ilvl="7" w:tplc="04130019" w:tentative="1">
      <w:start w:val="1"/>
      <w:numFmt w:val="lowerLetter"/>
      <w:lvlText w:val="%8."/>
      <w:lvlJc w:val="left"/>
      <w:pPr>
        <w:ind w:left="6523" w:hanging="360"/>
      </w:pPr>
    </w:lvl>
    <w:lvl w:ilvl="8" w:tplc="0413001B" w:tentative="1">
      <w:start w:val="1"/>
      <w:numFmt w:val="lowerRoman"/>
      <w:lvlText w:val="%9."/>
      <w:lvlJc w:val="right"/>
      <w:pPr>
        <w:ind w:left="7243" w:hanging="180"/>
      </w:pPr>
    </w:lvl>
  </w:abstractNum>
  <w:abstractNum w:abstractNumId="23" w15:restartNumberingAfterBreak="0">
    <w:nsid w:val="2FB032B4"/>
    <w:multiLevelType w:val="hybridMultilevel"/>
    <w:tmpl w:val="A016FD72"/>
    <w:lvl w:ilvl="0" w:tplc="D5E2DCC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B53AB4"/>
    <w:multiLevelType w:val="hybridMultilevel"/>
    <w:tmpl w:val="E286D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6A4B0C"/>
    <w:multiLevelType w:val="hybridMultilevel"/>
    <w:tmpl w:val="4F049BBA"/>
    <w:lvl w:ilvl="0" w:tplc="80444A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1"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781209"/>
    <w:multiLevelType w:val="hybridMultilevel"/>
    <w:tmpl w:val="9F3EC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201E83"/>
    <w:multiLevelType w:val="hybridMultilevel"/>
    <w:tmpl w:val="B5667C7E"/>
    <w:lvl w:ilvl="0" w:tplc="453EC30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14626"/>
    <w:multiLevelType w:val="hybridMultilevel"/>
    <w:tmpl w:val="71203B14"/>
    <w:lvl w:ilvl="0" w:tplc="0413000F">
      <w:start w:val="4"/>
      <w:numFmt w:val="decimal"/>
      <w:lvlText w:val="%1."/>
      <w:lvlJc w:val="left"/>
      <w:pPr>
        <w:ind w:left="1483" w:hanging="360"/>
      </w:pPr>
      <w:rPr>
        <w:rFonts w:hint="default"/>
      </w:rPr>
    </w:lvl>
    <w:lvl w:ilvl="1" w:tplc="04130019" w:tentative="1">
      <w:start w:val="1"/>
      <w:numFmt w:val="lowerLetter"/>
      <w:lvlText w:val="%2."/>
      <w:lvlJc w:val="left"/>
      <w:pPr>
        <w:ind w:left="2203" w:hanging="360"/>
      </w:pPr>
    </w:lvl>
    <w:lvl w:ilvl="2" w:tplc="0413001B" w:tentative="1">
      <w:start w:val="1"/>
      <w:numFmt w:val="lowerRoman"/>
      <w:lvlText w:val="%3."/>
      <w:lvlJc w:val="right"/>
      <w:pPr>
        <w:ind w:left="2923" w:hanging="180"/>
      </w:pPr>
    </w:lvl>
    <w:lvl w:ilvl="3" w:tplc="0413000F" w:tentative="1">
      <w:start w:val="1"/>
      <w:numFmt w:val="decimal"/>
      <w:lvlText w:val="%4."/>
      <w:lvlJc w:val="left"/>
      <w:pPr>
        <w:ind w:left="3643" w:hanging="360"/>
      </w:pPr>
    </w:lvl>
    <w:lvl w:ilvl="4" w:tplc="04130019" w:tentative="1">
      <w:start w:val="1"/>
      <w:numFmt w:val="lowerLetter"/>
      <w:lvlText w:val="%5."/>
      <w:lvlJc w:val="left"/>
      <w:pPr>
        <w:ind w:left="4363" w:hanging="360"/>
      </w:pPr>
    </w:lvl>
    <w:lvl w:ilvl="5" w:tplc="0413001B" w:tentative="1">
      <w:start w:val="1"/>
      <w:numFmt w:val="lowerRoman"/>
      <w:lvlText w:val="%6."/>
      <w:lvlJc w:val="right"/>
      <w:pPr>
        <w:ind w:left="5083" w:hanging="180"/>
      </w:pPr>
    </w:lvl>
    <w:lvl w:ilvl="6" w:tplc="0413000F" w:tentative="1">
      <w:start w:val="1"/>
      <w:numFmt w:val="decimal"/>
      <w:lvlText w:val="%7."/>
      <w:lvlJc w:val="left"/>
      <w:pPr>
        <w:ind w:left="5803" w:hanging="360"/>
      </w:pPr>
    </w:lvl>
    <w:lvl w:ilvl="7" w:tplc="04130019" w:tentative="1">
      <w:start w:val="1"/>
      <w:numFmt w:val="lowerLetter"/>
      <w:lvlText w:val="%8."/>
      <w:lvlJc w:val="left"/>
      <w:pPr>
        <w:ind w:left="6523" w:hanging="360"/>
      </w:pPr>
    </w:lvl>
    <w:lvl w:ilvl="8" w:tplc="0413001B" w:tentative="1">
      <w:start w:val="1"/>
      <w:numFmt w:val="lowerRoman"/>
      <w:lvlText w:val="%9."/>
      <w:lvlJc w:val="right"/>
      <w:pPr>
        <w:ind w:left="7243"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40"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6"/>
  </w:num>
  <w:num w:numId="16">
    <w:abstractNumId w:val="17"/>
  </w:num>
  <w:num w:numId="17">
    <w:abstractNumId w:val="34"/>
  </w:num>
  <w:num w:numId="18">
    <w:abstractNumId w:val="36"/>
  </w:num>
  <w:num w:numId="19">
    <w:abstractNumId w:val="13"/>
  </w:num>
  <w:num w:numId="20">
    <w:abstractNumId w:val="13"/>
  </w:num>
  <w:num w:numId="21">
    <w:abstractNumId w:val="39"/>
  </w:num>
  <w:num w:numId="22">
    <w:abstractNumId w:val="29"/>
  </w:num>
  <w:num w:numId="23">
    <w:abstractNumId w:val="20"/>
  </w:num>
  <w:num w:numId="24">
    <w:abstractNumId w:val="21"/>
  </w:num>
  <w:num w:numId="25">
    <w:abstractNumId w:val="37"/>
  </w:num>
  <w:num w:numId="26">
    <w:abstractNumId w:val="38"/>
  </w:num>
  <w:num w:numId="27">
    <w:abstractNumId w:val="31"/>
  </w:num>
  <w:num w:numId="28">
    <w:abstractNumId w:val="15"/>
  </w:num>
  <w:num w:numId="29">
    <w:abstractNumId w:val="11"/>
  </w:num>
  <w:num w:numId="30">
    <w:abstractNumId w:val="25"/>
  </w:num>
  <w:num w:numId="31">
    <w:abstractNumId w:val="40"/>
  </w:num>
  <w:num w:numId="32">
    <w:abstractNumId w:val="19"/>
  </w:num>
  <w:num w:numId="33">
    <w:abstractNumId w:val="30"/>
  </w:num>
  <w:num w:numId="34">
    <w:abstractNumId w:val="14"/>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2"/>
  </w:num>
  <w:num w:numId="39">
    <w:abstractNumId w:val="27"/>
  </w:num>
  <w:num w:numId="40">
    <w:abstractNumId w:val="33"/>
  </w:num>
  <w:num w:numId="41">
    <w:abstractNumId w:val="35"/>
  </w:num>
  <w:num w:numId="4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de-CH" w:vendorID="64" w:dllVersion="6" w:nlCheck="1" w:checkStyle="0"/>
  <w:activeWritingStyle w:appName="MSWord" w:lang="fr-FR"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7D"/>
    <w:rsid w:val="000038A8"/>
    <w:rsid w:val="00006666"/>
    <w:rsid w:val="00006790"/>
    <w:rsid w:val="000107A1"/>
    <w:rsid w:val="00010940"/>
    <w:rsid w:val="00021018"/>
    <w:rsid w:val="0002484C"/>
    <w:rsid w:val="00027624"/>
    <w:rsid w:val="00031988"/>
    <w:rsid w:val="0003213C"/>
    <w:rsid w:val="00032F80"/>
    <w:rsid w:val="00033031"/>
    <w:rsid w:val="00046618"/>
    <w:rsid w:val="00047192"/>
    <w:rsid w:val="00050F6B"/>
    <w:rsid w:val="00056C1C"/>
    <w:rsid w:val="00062AA8"/>
    <w:rsid w:val="00062D40"/>
    <w:rsid w:val="000678CD"/>
    <w:rsid w:val="00072C8C"/>
    <w:rsid w:val="0007532D"/>
    <w:rsid w:val="00076E07"/>
    <w:rsid w:val="00080072"/>
    <w:rsid w:val="0008092D"/>
    <w:rsid w:val="00081CE0"/>
    <w:rsid w:val="00084D30"/>
    <w:rsid w:val="00087F27"/>
    <w:rsid w:val="00090133"/>
    <w:rsid w:val="00090320"/>
    <w:rsid w:val="00090591"/>
    <w:rsid w:val="000931C0"/>
    <w:rsid w:val="0009732C"/>
    <w:rsid w:val="000A0188"/>
    <w:rsid w:val="000A01F9"/>
    <w:rsid w:val="000A2E09"/>
    <w:rsid w:val="000A332D"/>
    <w:rsid w:val="000A37AB"/>
    <w:rsid w:val="000B175B"/>
    <w:rsid w:val="000B3A0F"/>
    <w:rsid w:val="000B4342"/>
    <w:rsid w:val="000B501D"/>
    <w:rsid w:val="000B6279"/>
    <w:rsid w:val="000C4767"/>
    <w:rsid w:val="000D0715"/>
    <w:rsid w:val="000D0B52"/>
    <w:rsid w:val="000D1F2E"/>
    <w:rsid w:val="000D38EF"/>
    <w:rsid w:val="000D7C88"/>
    <w:rsid w:val="000D7F0B"/>
    <w:rsid w:val="000E0415"/>
    <w:rsid w:val="000E12AE"/>
    <w:rsid w:val="000E4A8A"/>
    <w:rsid w:val="000E655A"/>
    <w:rsid w:val="000E6939"/>
    <w:rsid w:val="000E6F18"/>
    <w:rsid w:val="000F60DA"/>
    <w:rsid w:val="000F7715"/>
    <w:rsid w:val="00100259"/>
    <w:rsid w:val="00103557"/>
    <w:rsid w:val="00111A74"/>
    <w:rsid w:val="00113AC1"/>
    <w:rsid w:val="00124449"/>
    <w:rsid w:val="001313CA"/>
    <w:rsid w:val="00132493"/>
    <w:rsid w:val="00132B85"/>
    <w:rsid w:val="001335F1"/>
    <w:rsid w:val="00140B0B"/>
    <w:rsid w:val="00153333"/>
    <w:rsid w:val="00155E8D"/>
    <w:rsid w:val="00156B99"/>
    <w:rsid w:val="00161CF3"/>
    <w:rsid w:val="00166124"/>
    <w:rsid w:val="001701EB"/>
    <w:rsid w:val="00172A98"/>
    <w:rsid w:val="00174446"/>
    <w:rsid w:val="00184DDA"/>
    <w:rsid w:val="001900CD"/>
    <w:rsid w:val="00190B6A"/>
    <w:rsid w:val="00196A6E"/>
    <w:rsid w:val="00197E2B"/>
    <w:rsid w:val="001A0452"/>
    <w:rsid w:val="001A4152"/>
    <w:rsid w:val="001B4B04"/>
    <w:rsid w:val="001B4ED4"/>
    <w:rsid w:val="001B5875"/>
    <w:rsid w:val="001C4B9C"/>
    <w:rsid w:val="001C6663"/>
    <w:rsid w:val="001C7895"/>
    <w:rsid w:val="001D26DF"/>
    <w:rsid w:val="001E0669"/>
    <w:rsid w:val="001E50BC"/>
    <w:rsid w:val="001E6A05"/>
    <w:rsid w:val="001E757D"/>
    <w:rsid w:val="001E7C6E"/>
    <w:rsid w:val="001F1599"/>
    <w:rsid w:val="001F19C4"/>
    <w:rsid w:val="001F1F74"/>
    <w:rsid w:val="001F73BC"/>
    <w:rsid w:val="001F7C6B"/>
    <w:rsid w:val="001F7EF5"/>
    <w:rsid w:val="002043F0"/>
    <w:rsid w:val="00207F39"/>
    <w:rsid w:val="00211E0B"/>
    <w:rsid w:val="00212748"/>
    <w:rsid w:val="002169DB"/>
    <w:rsid w:val="00217795"/>
    <w:rsid w:val="00222CE8"/>
    <w:rsid w:val="00224A9E"/>
    <w:rsid w:val="00230357"/>
    <w:rsid w:val="00232575"/>
    <w:rsid w:val="00235029"/>
    <w:rsid w:val="00236028"/>
    <w:rsid w:val="00241CE6"/>
    <w:rsid w:val="00243FA6"/>
    <w:rsid w:val="00245407"/>
    <w:rsid w:val="00246A08"/>
    <w:rsid w:val="00247258"/>
    <w:rsid w:val="00255C02"/>
    <w:rsid w:val="00257CAC"/>
    <w:rsid w:val="00260B30"/>
    <w:rsid w:val="00262A6E"/>
    <w:rsid w:val="002643B1"/>
    <w:rsid w:val="00264441"/>
    <w:rsid w:val="002652C6"/>
    <w:rsid w:val="0027237A"/>
    <w:rsid w:val="002753C2"/>
    <w:rsid w:val="002776AD"/>
    <w:rsid w:val="002802C4"/>
    <w:rsid w:val="00281584"/>
    <w:rsid w:val="002974E9"/>
    <w:rsid w:val="002A046B"/>
    <w:rsid w:val="002A08B3"/>
    <w:rsid w:val="002A7F13"/>
    <w:rsid w:val="002A7F94"/>
    <w:rsid w:val="002B109A"/>
    <w:rsid w:val="002B14C4"/>
    <w:rsid w:val="002B3CB8"/>
    <w:rsid w:val="002B5D0E"/>
    <w:rsid w:val="002C133B"/>
    <w:rsid w:val="002C1410"/>
    <w:rsid w:val="002C6D45"/>
    <w:rsid w:val="002D22DE"/>
    <w:rsid w:val="002D28B9"/>
    <w:rsid w:val="002D3BF1"/>
    <w:rsid w:val="002D6E53"/>
    <w:rsid w:val="002E3B74"/>
    <w:rsid w:val="002E480D"/>
    <w:rsid w:val="002F046D"/>
    <w:rsid w:val="002F3023"/>
    <w:rsid w:val="002F483A"/>
    <w:rsid w:val="002F6964"/>
    <w:rsid w:val="00301764"/>
    <w:rsid w:val="00303F95"/>
    <w:rsid w:val="00305D8F"/>
    <w:rsid w:val="0030697E"/>
    <w:rsid w:val="003229D8"/>
    <w:rsid w:val="003250A9"/>
    <w:rsid w:val="003348AF"/>
    <w:rsid w:val="00336C97"/>
    <w:rsid w:val="003373D6"/>
    <w:rsid w:val="00337F88"/>
    <w:rsid w:val="00342432"/>
    <w:rsid w:val="0034386D"/>
    <w:rsid w:val="00351DB9"/>
    <w:rsid w:val="0035223F"/>
    <w:rsid w:val="00352D4B"/>
    <w:rsid w:val="0035638C"/>
    <w:rsid w:val="00357C76"/>
    <w:rsid w:val="00367CC3"/>
    <w:rsid w:val="003813E2"/>
    <w:rsid w:val="00390A1D"/>
    <w:rsid w:val="003928C2"/>
    <w:rsid w:val="003A1552"/>
    <w:rsid w:val="003A17DA"/>
    <w:rsid w:val="003A1CBD"/>
    <w:rsid w:val="003A3527"/>
    <w:rsid w:val="003A46BB"/>
    <w:rsid w:val="003A4EC7"/>
    <w:rsid w:val="003A564A"/>
    <w:rsid w:val="003A5C53"/>
    <w:rsid w:val="003A6F15"/>
    <w:rsid w:val="003A7295"/>
    <w:rsid w:val="003B1F60"/>
    <w:rsid w:val="003B4EB3"/>
    <w:rsid w:val="003B595B"/>
    <w:rsid w:val="003C0246"/>
    <w:rsid w:val="003C12AA"/>
    <w:rsid w:val="003C2582"/>
    <w:rsid w:val="003C2CC4"/>
    <w:rsid w:val="003C6679"/>
    <w:rsid w:val="003C693B"/>
    <w:rsid w:val="003D261B"/>
    <w:rsid w:val="003D4B23"/>
    <w:rsid w:val="003D51C0"/>
    <w:rsid w:val="003D5D7E"/>
    <w:rsid w:val="003D7E94"/>
    <w:rsid w:val="003D7F4D"/>
    <w:rsid w:val="003E278A"/>
    <w:rsid w:val="003E7FCB"/>
    <w:rsid w:val="003F0663"/>
    <w:rsid w:val="003F694D"/>
    <w:rsid w:val="00400290"/>
    <w:rsid w:val="00403350"/>
    <w:rsid w:val="004034EF"/>
    <w:rsid w:val="00404D1C"/>
    <w:rsid w:val="0040572C"/>
    <w:rsid w:val="004066E5"/>
    <w:rsid w:val="00413520"/>
    <w:rsid w:val="004139C4"/>
    <w:rsid w:val="004144EE"/>
    <w:rsid w:val="00415C1F"/>
    <w:rsid w:val="0042590B"/>
    <w:rsid w:val="004325CB"/>
    <w:rsid w:val="00440A07"/>
    <w:rsid w:val="00443256"/>
    <w:rsid w:val="00445178"/>
    <w:rsid w:val="004532DE"/>
    <w:rsid w:val="00453DDB"/>
    <w:rsid w:val="00457EA1"/>
    <w:rsid w:val="0046221A"/>
    <w:rsid w:val="00462880"/>
    <w:rsid w:val="00473B28"/>
    <w:rsid w:val="0047430E"/>
    <w:rsid w:val="00475C1B"/>
    <w:rsid w:val="00476F24"/>
    <w:rsid w:val="00497BC5"/>
    <w:rsid w:val="004A7B0D"/>
    <w:rsid w:val="004A7C87"/>
    <w:rsid w:val="004C55B0"/>
    <w:rsid w:val="004C6A1F"/>
    <w:rsid w:val="004C7E77"/>
    <w:rsid w:val="004F010D"/>
    <w:rsid w:val="004F2822"/>
    <w:rsid w:val="004F3F68"/>
    <w:rsid w:val="004F6BA0"/>
    <w:rsid w:val="005027D5"/>
    <w:rsid w:val="00503BEA"/>
    <w:rsid w:val="00504F90"/>
    <w:rsid w:val="00505412"/>
    <w:rsid w:val="00505A5A"/>
    <w:rsid w:val="00507297"/>
    <w:rsid w:val="00513005"/>
    <w:rsid w:val="0051330C"/>
    <w:rsid w:val="00514DDE"/>
    <w:rsid w:val="00523094"/>
    <w:rsid w:val="005233BA"/>
    <w:rsid w:val="00527023"/>
    <w:rsid w:val="00531878"/>
    <w:rsid w:val="00533616"/>
    <w:rsid w:val="00535ABA"/>
    <w:rsid w:val="005367E9"/>
    <w:rsid w:val="0053768B"/>
    <w:rsid w:val="0054133B"/>
    <w:rsid w:val="00541E11"/>
    <w:rsid w:val="005420F2"/>
    <w:rsid w:val="0054285C"/>
    <w:rsid w:val="0054349F"/>
    <w:rsid w:val="005435FA"/>
    <w:rsid w:val="00544B93"/>
    <w:rsid w:val="00545418"/>
    <w:rsid w:val="0054563F"/>
    <w:rsid w:val="005518AE"/>
    <w:rsid w:val="00551DA1"/>
    <w:rsid w:val="005560A8"/>
    <w:rsid w:val="005613C9"/>
    <w:rsid w:val="0056368E"/>
    <w:rsid w:val="00563FB9"/>
    <w:rsid w:val="005677B6"/>
    <w:rsid w:val="00570F7B"/>
    <w:rsid w:val="005716A4"/>
    <w:rsid w:val="00574105"/>
    <w:rsid w:val="00584173"/>
    <w:rsid w:val="0059056B"/>
    <w:rsid w:val="005927FD"/>
    <w:rsid w:val="00595520"/>
    <w:rsid w:val="005A0C69"/>
    <w:rsid w:val="005A168F"/>
    <w:rsid w:val="005A44B9"/>
    <w:rsid w:val="005B0906"/>
    <w:rsid w:val="005B1BA0"/>
    <w:rsid w:val="005B2468"/>
    <w:rsid w:val="005B3605"/>
    <w:rsid w:val="005B3DB3"/>
    <w:rsid w:val="005C59F1"/>
    <w:rsid w:val="005D15CA"/>
    <w:rsid w:val="005D38E4"/>
    <w:rsid w:val="005D7969"/>
    <w:rsid w:val="005E18C8"/>
    <w:rsid w:val="005E2688"/>
    <w:rsid w:val="005E32A3"/>
    <w:rsid w:val="005E638E"/>
    <w:rsid w:val="005F08DF"/>
    <w:rsid w:val="005F3066"/>
    <w:rsid w:val="005F3568"/>
    <w:rsid w:val="005F3E61"/>
    <w:rsid w:val="0060043A"/>
    <w:rsid w:val="006010A5"/>
    <w:rsid w:val="00601C45"/>
    <w:rsid w:val="006039AC"/>
    <w:rsid w:val="00604DDD"/>
    <w:rsid w:val="0060681E"/>
    <w:rsid w:val="006115CC"/>
    <w:rsid w:val="00611FC4"/>
    <w:rsid w:val="00612687"/>
    <w:rsid w:val="0061575C"/>
    <w:rsid w:val="00616AD3"/>
    <w:rsid w:val="006176FB"/>
    <w:rsid w:val="006220FE"/>
    <w:rsid w:val="00622774"/>
    <w:rsid w:val="00625C1E"/>
    <w:rsid w:val="006275A1"/>
    <w:rsid w:val="00630FCB"/>
    <w:rsid w:val="00634479"/>
    <w:rsid w:val="00640B26"/>
    <w:rsid w:val="0064201E"/>
    <w:rsid w:val="006430B2"/>
    <w:rsid w:val="0064317F"/>
    <w:rsid w:val="00654B56"/>
    <w:rsid w:val="0065766B"/>
    <w:rsid w:val="00661049"/>
    <w:rsid w:val="006655A0"/>
    <w:rsid w:val="006716F4"/>
    <w:rsid w:val="00672B6C"/>
    <w:rsid w:val="00675CD1"/>
    <w:rsid w:val="006770B2"/>
    <w:rsid w:val="0067791D"/>
    <w:rsid w:val="0068010D"/>
    <w:rsid w:val="0068273B"/>
    <w:rsid w:val="00683908"/>
    <w:rsid w:val="00686A48"/>
    <w:rsid w:val="006940E1"/>
    <w:rsid w:val="006A0DE7"/>
    <w:rsid w:val="006A1A7B"/>
    <w:rsid w:val="006A3C72"/>
    <w:rsid w:val="006A60CA"/>
    <w:rsid w:val="006A7392"/>
    <w:rsid w:val="006B03A1"/>
    <w:rsid w:val="006B10E9"/>
    <w:rsid w:val="006B292B"/>
    <w:rsid w:val="006B67D9"/>
    <w:rsid w:val="006C301D"/>
    <w:rsid w:val="006C5535"/>
    <w:rsid w:val="006C6F92"/>
    <w:rsid w:val="006C719B"/>
    <w:rsid w:val="006D0589"/>
    <w:rsid w:val="006E3DE2"/>
    <w:rsid w:val="006E564B"/>
    <w:rsid w:val="006E5DB7"/>
    <w:rsid w:val="006E7154"/>
    <w:rsid w:val="006E7CB8"/>
    <w:rsid w:val="006F52A9"/>
    <w:rsid w:val="006F6D3E"/>
    <w:rsid w:val="007003CD"/>
    <w:rsid w:val="00701EEA"/>
    <w:rsid w:val="0070701E"/>
    <w:rsid w:val="007116C4"/>
    <w:rsid w:val="00711BF4"/>
    <w:rsid w:val="0071280C"/>
    <w:rsid w:val="00713875"/>
    <w:rsid w:val="00717E47"/>
    <w:rsid w:val="007250F8"/>
    <w:rsid w:val="007252A5"/>
    <w:rsid w:val="0072632A"/>
    <w:rsid w:val="00726571"/>
    <w:rsid w:val="00727D63"/>
    <w:rsid w:val="00732FE5"/>
    <w:rsid w:val="00734FE2"/>
    <w:rsid w:val="007358E8"/>
    <w:rsid w:val="00736ECE"/>
    <w:rsid w:val="007404CD"/>
    <w:rsid w:val="0074533B"/>
    <w:rsid w:val="00751736"/>
    <w:rsid w:val="00753657"/>
    <w:rsid w:val="007559A6"/>
    <w:rsid w:val="00755BF3"/>
    <w:rsid w:val="00756253"/>
    <w:rsid w:val="00761D11"/>
    <w:rsid w:val="00763F5D"/>
    <w:rsid w:val="007643BC"/>
    <w:rsid w:val="007645F6"/>
    <w:rsid w:val="00771C8A"/>
    <w:rsid w:val="007721A8"/>
    <w:rsid w:val="00772391"/>
    <w:rsid w:val="0077479B"/>
    <w:rsid w:val="00780C68"/>
    <w:rsid w:val="00790231"/>
    <w:rsid w:val="00791FEB"/>
    <w:rsid w:val="007923C0"/>
    <w:rsid w:val="007937A3"/>
    <w:rsid w:val="0079541D"/>
    <w:rsid w:val="007959FE"/>
    <w:rsid w:val="00796289"/>
    <w:rsid w:val="007963E8"/>
    <w:rsid w:val="007A0CF1"/>
    <w:rsid w:val="007A17DC"/>
    <w:rsid w:val="007A478E"/>
    <w:rsid w:val="007B0FBB"/>
    <w:rsid w:val="007B4CA4"/>
    <w:rsid w:val="007B6BA5"/>
    <w:rsid w:val="007C2320"/>
    <w:rsid w:val="007C3390"/>
    <w:rsid w:val="007C42D8"/>
    <w:rsid w:val="007C4F4B"/>
    <w:rsid w:val="007D1A05"/>
    <w:rsid w:val="007D1B29"/>
    <w:rsid w:val="007D7362"/>
    <w:rsid w:val="007D7FE2"/>
    <w:rsid w:val="007E0CF5"/>
    <w:rsid w:val="007F1EC6"/>
    <w:rsid w:val="007F5CE2"/>
    <w:rsid w:val="007F6611"/>
    <w:rsid w:val="007F70F2"/>
    <w:rsid w:val="007F7870"/>
    <w:rsid w:val="00800522"/>
    <w:rsid w:val="00801AA9"/>
    <w:rsid w:val="00810BAC"/>
    <w:rsid w:val="008110A4"/>
    <w:rsid w:val="00815B97"/>
    <w:rsid w:val="008175E9"/>
    <w:rsid w:val="008238A9"/>
    <w:rsid w:val="008242D7"/>
    <w:rsid w:val="0082577B"/>
    <w:rsid w:val="008272DD"/>
    <w:rsid w:val="00830B59"/>
    <w:rsid w:val="00832ADC"/>
    <w:rsid w:val="00834AA2"/>
    <w:rsid w:val="00847138"/>
    <w:rsid w:val="008559FC"/>
    <w:rsid w:val="00863C97"/>
    <w:rsid w:val="00866893"/>
    <w:rsid w:val="00866F02"/>
    <w:rsid w:val="00867D18"/>
    <w:rsid w:val="0087090F"/>
    <w:rsid w:val="00871F9A"/>
    <w:rsid w:val="00871FD5"/>
    <w:rsid w:val="00874193"/>
    <w:rsid w:val="0088172E"/>
    <w:rsid w:val="00881EFA"/>
    <w:rsid w:val="00882E43"/>
    <w:rsid w:val="008836C8"/>
    <w:rsid w:val="008879CB"/>
    <w:rsid w:val="008906BB"/>
    <w:rsid w:val="008918D1"/>
    <w:rsid w:val="00893042"/>
    <w:rsid w:val="00897860"/>
    <w:rsid w:val="008979B1"/>
    <w:rsid w:val="008A06B3"/>
    <w:rsid w:val="008A1348"/>
    <w:rsid w:val="008A291D"/>
    <w:rsid w:val="008A6B25"/>
    <w:rsid w:val="008A6C4F"/>
    <w:rsid w:val="008A77AE"/>
    <w:rsid w:val="008B01B8"/>
    <w:rsid w:val="008B096E"/>
    <w:rsid w:val="008B352B"/>
    <w:rsid w:val="008B389E"/>
    <w:rsid w:val="008B39D3"/>
    <w:rsid w:val="008C2086"/>
    <w:rsid w:val="008D0317"/>
    <w:rsid w:val="008D045E"/>
    <w:rsid w:val="008D1B72"/>
    <w:rsid w:val="008D3666"/>
    <w:rsid w:val="008D3F25"/>
    <w:rsid w:val="008D4B42"/>
    <w:rsid w:val="008D4D82"/>
    <w:rsid w:val="008D5968"/>
    <w:rsid w:val="008E0E46"/>
    <w:rsid w:val="008E179B"/>
    <w:rsid w:val="008E4034"/>
    <w:rsid w:val="008E7116"/>
    <w:rsid w:val="008E78CD"/>
    <w:rsid w:val="008F143B"/>
    <w:rsid w:val="008F1C30"/>
    <w:rsid w:val="008F3882"/>
    <w:rsid w:val="008F3BD9"/>
    <w:rsid w:val="008F4B7C"/>
    <w:rsid w:val="008F70D8"/>
    <w:rsid w:val="00907265"/>
    <w:rsid w:val="00907548"/>
    <w:rsid w:val="0091056B"/>
    <w:rsid w:val="009134BB"/>
    <w:rsid w:val="009135A6"/>
    <w:rsid w:val="00922ECE"/>
    <w:rsid w:val="00925359"/>
    <w:rsid w:val="00925373"/>
    <w:rsid w:val="009254CC"/>
    <w:rsid w:val="00926E47"/>
    <w:rsid w:val="00931D39"/>
    <w:rsid w:val="00932BF9"/>
    <w:rsid w:val="009343A5"/>
    <w:rsid w:val="009351AE"/>
    <w:rsid w:val="009371EE"/>
    <w:rsid w:val="009373F4"/>
    <w:rsid w:val="00937A2E"/>
    <w:rsid w:val="00937BE0"/>
    <w:rsid w:val="00941AF2"/>
    <w:rsid w:val="00944191"/>
    <w:rsid w:val="00947162"/>
    <w:rsid w:val="009478A8"/>
    <w:rsid w:val="00950B71"/>
    <w:rsid w:val="00952D53"/>
    <w:rsid w:val="0095411A"/>
    <w:rsid w:val="00960C25"/>
    <w:rsid w:val="009610D0"/>
    <w:rsid w:val="0096375C"/>
    <w:rsid w:val="009662E6"/>
    <w:rsid w:val="00967561"/>
    <w:rsid w:val="0097095E"/>
    <w:rsid w:val="00973560"/>
    <w:rsid w:val="00974BBF"/>
    <w:rsid w:val="009836EE"/>
    <w:rsid w:val="0098592B"/>
    <w:rsid w:val="00985FC4"/>
    <w:rsid w:val="00987789"/>
    <w:rsid w:val="00990766"/>
    <w:rsid w:val="009909CD"/>
    <w:rsid w:val="00991261"/>
    <w:rsid w:val="0099533F"/>
    <w:rsid w:val="009964C4"/>
    <w:rsid w:val="00996BBF"/>
    <w:rsid w:val="009A0C06"/>
    <w:rsid w:val="009A58C5"/>
    <w:rsid w:val="009A7B56"/>
    <w:rsid w:val="009A7B81"/>
    <w:rsid w:val="009B1E94"/>
    <w:rsid w:val="009B4597"/>
    <w:rsid w:val="009B4E9F"/>
    <w:rsid w:val="009C5F8E"/>
    <w:rsid w:val="009D01C0"/>
    <w:rsid w:val="009D404E"/>
    <w:rsid w:val="009D5CDA"/>
    <w:rsid w:val="009D5F69"/>
    <w:rsid w:val="009D6A08"/>
    <w:rsid w:val="009E0A16"/>
    <w:rsid w:val="009E1791"/>
    <w:rsid w:val="009E31E5"/>
    <w:rsid w:val="009E4AF6"/>
    <w:rsid w:val="009E6CB7"/>
    <w:rsid w:val="009E7970"/>
    <w:rsid w:val="009F2EAC"/>
    <w:rsid w:val="009F326F"/>
    <w:rsid w:val="009F57E3"/>
    <w:rsid w:val="009F6A31"/>
    <w:rsid w:val="00A10F4F"/>
    <w:rsid w:val="00A11067"/>
    <w:rsid w:val="00A120EE"/>
    <w:rsid w:val="00A139ED"/>
    <w:rsid w:val="00A1608E"/>
    <w:rsid w:val="00A1704A"/>
    <w:rsid w:val="00A22613"/>
    <w:rsid w:val="00A22FBF"/>
    <w:rsid w:val="00A2469F"/>
    <w:rsid w:val="00A275EC"/>
    <w:rsid w:val="00A316D2"/>
    <w:rsid w:val="00A34ED0"/>
    <w:rsid w:val="00A34F87"/>
    <w:rsid w:val="00A40310"/>
    <w:rsid w:val="00A425EB"/>
    <w:rsid w:val="00A43100"/>
    <w:rsid w:val="00A46350"/>
    <w:rsid w:val="00A46F2E"/>
    <w:rsid w:val="00A5574F"/>
    <w:rsid w:val="00A55C3B"/>
    <w:rsid w:val="00A64219"/>
    <w:rsid w:val="00A64402"/>
    <w:rsid w:val="00A646A2"/>
    <w:rsid w:val="00A70D6E"/>
    <w:rsid w:val="00A719AE"/>
    <w:rsid w:val="00A72F22"/>
    <w:rsid w:val="00A733BC"/>
    <w:rsid w:val="00A748A6"/>
    <w:rsid w:val="00A76A69"/>
    <w:rsid w:val="00A774A1"/>
    <w:rsid w:val="00A77540"/>
    <w:rsid w:val="00A80D24"/>
    <w:rsid w:val="00A80FA4"/>
    <w:rsid w:val="00A879A4"/>
    <w:rsid w:val="00A9190A"/>
    <w:rsid w:val="00A92605"/>
    <w:rsid w:val="00A96F59"/>
    <w:rsid w:val="00A97A98"/>
    <w:rsid w:val="00AA0FF8"/>
    <w:rsid w:val="00AA134B"/>
    <w:rsid w:val="00AA1CAE"/>
    <w:rsid w:val="00AA2223"/>
    <w:rsid w:val="00AC0F2C"/>
    <w:rsid w:val="00AC0FEA"/>
    <w:rsid w:val="00AC502A"/>
    <w:rsid w:val="00AC6F01"/>
    <w:rsid w:val="00AE07AC"/>
    <w:rsid w:val="00AE2D16"/>
    <w:rsid w:val="00AF31A5"/>
    <w:rsid w:val="00AF58C1"/>
    <w:rsid w:val="00AF7485"/>
    <w:rsid w:val="00B01E1E"/>
    <w:rsid w:val="00B01EDD"/>
    <w:rsid w:val="00B04A3F"/>
    <w:rsid w:val="00B06643"/>
    <w:rsid w:val="00B15055"/>
    <w:rsid w:val="00B20551"/>
    <w:rsid w:val="00B24DA3"/>
    <w:rsid w:val="00B30179"/>
    <w:rsid w:val="00B30C68"/>
    <w:rsid w:val="00B33FC7"/>
    <w:rsid w:val="00B3428B"/>
    <w:rsid w:val="00B3735A"/>
    <w:rsid w:val="00B3761E"/>
    <w:rsid w:val="00B37B15"/>
    <w:rsid w:val="00B40B76"/>
    <w:rsid w:val="00B44E24"/>
    <w:rsid w:val="00B45403"/>
    <w:rsid w:val="00B45C02"/>
    <w:rsid w:val="00B50655"/>
    <w:rsid w:val="00B50CAE"/>
    <w:rsid w:val="00B56D4F"/>
    <w:rsid w:val="00B575DB"/>
    <w:rsid w:val="00B60603"/>
    <w:rsid w:val="00B628E7"/>
    <w:rsid w:val="00B65DEB"/>
    <w:rsid w:val="00B66DE7"/>
    <w:rsid w:val="00B6710C"/>
    <w:rsid w:val="00B67D48"/>
    <w:rsid w:val="00B70B63"/>
    <w:rsid w:val="00B72A1E"/>
    <w:rsid w:val="00B81E12"/>
    <w:rsid w:val="00B84766"/>
    <w:rsid w:val="00B85140"/>
    <w:rsid w:val="00B9128C"/>
    <w:rsid w:val="00B935DE"/>
    <w:rsid w:val="00B93D12"/>
    <w:rsid w:val="00B945B3"/>
    <w:rsid w:val="00BA339B"/>
    <w:rsid w:val="00BA4C0A"/>
    <w:rsid w:val="00BB23CC"/>
    <w:rsid w:val="00BB4381"/>
    <w:rsid w:val="00BB6CE3"/>
    <w:rsid w:val="00BB7F62"/>
    <w:rsid w:val="00BC0BB5"/>
    <w:rsid w:val="00BC129E"/>
    <w:rsid w:val="00BC1E7E"/>
    <w:rsid w:val="00BC562E"/>
    <w:rsid w:val="00BC57B3"/>
    <w:rsid w:val="00BC74E9"/>
    <w:rsid w:val="00BD2423"/>
    <w:rsid w:val="00BD3411"/>
    <w:rsid w:val="00BD3F2E"/>
    <w:rsid w:val="00BD6F27"/>
    <w:rsid w:val="00BE2EB7"/>
    <w:rsid w:val="00BE36A9"/>
    <w:rsid w:val="00BE4F32"/>
    <w:rsid w:val="00BE618E"/>
    <w:rsid w:val="00BE7BEC"/>
    <w:rsid w:val="00BE7F47"/>
    <w:rsid w:val="00BF0A5A"/>
    <w:rsid w:val="00BF0CC9"/>
    <w:rsid w:val="00BF0E63"/>
    <w:rsid w:val="00BF12A3"/>
    <w:rsid w:val="00BF16D7"/>
    <w:rsid w:val="00BF2373"/>
    <w:rsid w:val="00BF2D6E"/>
    <w:rsid w:val="00BF76D5"/>
    <w:rsid w:val="00C0135C"/>
    <w:rsid w:val="00C0294F"/>
    <w:rsid w:val="00C044E2"/>
    <w:rsid w:val="00C048CB"/>
    <w:rsid w:val="00C066F3"/>
    <w:rsid w:val="00C07EC7"/>
    <w:rsid w:val="00C13785"/>
    <w:rsid w:val="00C13ECD"/>
    <w:rsid w:val="00C14FB8"/>
    <w:rsid w:val="00C20800"/>
    <w:rsid w:val="00C22E62"/>
    <w:rsid w:val="00C35008"/>
    <w:rsid w:val="00C3707F"/>
    <w:rsid w:val="00C408B7"/>
    <w:rsid w:val="00C411EB"/>
    <w:rsid w:val="00C43CA9"/>
    <w:rsid w:val="00C44AA1"/>
    <w:rsid w:val="00C463DD"/>
    <w:rsid w:val="00C51935"/>
    <w:rsid w:val="00C52670"/>
    <w:rsid w:val="00C616FE"/>
    <w:rsid w:val="00C64009"/>
    <w:rsid w:val="00C658B3"/>
    <w:rsid w:val="00C73933"/>
    <w:rsid w:val="00C745C3"/>
    <w:rsid w:val="00C818CE"/>
    <w:rsid w:val="00C91D69"/>
    <w:rsid w:val="00C91FEC"/>
    <w:rsid w:val="00C93BD2"/>
    <w:rsid w:val="00C93CCB"/>
    <w:rsid w:val="00C978F5"/>
    <w:rsid w:val="00CA24A4"/>
    <w:rsid w:val="00CA3F2F"/>
    <w:rsid w:val="00CA43BF"/>
    <w:rsid w:val="00CA61B6"/>
    <w:rsid w:val="00CA6ABD"/>
    <w:rsid w:val="00CA7337"/>
    <w:rsid w:val="00CB348D"/>
    <w:rsid w:val="00CB52F4"/>
    <w:rsid w:val="00CD1CFB"/>
    <w:rsid w:val="00CD46F5"/>
    <w:rsid w:val="00CD66C7"/>
    <w:rsid w:val="00CE4A8F"/>
    <w:rsid w:val="00CE7738"/>
    <w:rsid w:val="00CE78F6"/>
    <w:rsid w:val="00CF071D"/>
    <w:rsid w:val="00CF3037"/>
    <w:rsid w:val="00CF3533"/>
    <w:rsid w:val="00CF79E5"/>
    <w:rsid w:val="00D008A1"/>
    <w:rsid w:val="00D0123D"/>
    <w:rsid w:val="00D01AF7"/>
    <w:rsid w:val="00D02153"/>
    <w:rsid w:val="00D0600E"/>
    <w:rsid w:val="00D105DD"/>
    <w:rsid w:val="00D1155F"/>
    <w:rsid w:val="00D1397D"/>
    <w:rsid w:val="00D154C8"/>
    <w:rsid w:val="00D15B04"/>
    <w:rsid w:val="00D2031B"/>
    <w:rsid w:val="00D2413A"/>
    <w:rsid w:val="00D256B0"/>
    <w:rsid w:val="00D25FE2"/>
    <w:rsid w:val="00D31899"/>
    <w:rsid w:val="00D368BE"/>
    <w:rsid w:val="00D37159"/>
    <w:rsid w:val="00D37DA9"/>
    <w:rsid w:val="00D406A7"/>
    <w:rsid w:val="00D406AB"/>
    <w:rsid w:val="00D40765"/>
    <w:rsid w:val="00D418D5"/>
    <w:rsid w:val="00D43252"/>
    <w:rsid w:val="00D44D86"/>
    <w:rsid w:val="00D50B7D"/>
    <w:rsid w:val="00D52012"/>
    <w:rsid w:val="00D52B76"/>
    <w:rsid w:val="00D618F5"/>
    <w:rsid w:val="00D6197B"/>
    <w:rsid w:val="00D704E5"/>
    <w:rsid w:val="00D72727"/>
    <w:rsid w:val="00D80BCD"/>
    <w:rsid w:val="00D901EC"/>
    <w:rsid w:val="00D936D6"/>
    <w:rsid w:val="00D978C6"/>
    <w:rsid w:val="00DA0956"/>
    <w:rsid w:val="00DA112D"/>
    <w:rsid w:val="00DA357F"/>
    <w:rsid w:val="00DA3E12"/>
    <w:rsid w:val="00DA4334"/>
    <w:rsid w:val="00DA74B7"/>
    <w:rsid w:val="00DB558C"/>
    <w:rsid w:val="00DC08D3"/>
    <w:rsid w:val="00DC18AD"/>
    <w:rsid w:val="00DD3C64"/>
    <w:rsid w:val="00DD4A47"/>
    <w:rsid w:val="00DE218C"/>
    <w:rsid w:val="00DE34B8"/>
    <w:rsid w:val="00DE3550"/>
    <w:rsid w:val="00DE4E9E"/>
    <w:rsid w:val="00DF170E"/>
    <w:rsid w:val="00DF4D33"/>
    <w:rsid w:val="00DF547B"/>
    <w:rsid w:val="00DF6792"/>
    <w:rsid w:val="00DF7CAE"/>
    <w:rsid w:val="00E06790"/>
    <w:rsid w:val="00E10AF7"/>
    <w:rsid w:val="00E11301"/>
    <w:rsid w:val="00E13005"/>
    <w:rsid w:val="00E305EC"/>
    <w:rsid w:val="00E3356C"/>
    <w:rsid w:val="00E37FFE"/>
    <w:rsid w:val="00E423C0"/>
    <w:rsid w:val="00E43CA2"/>
    <w:rsid w:val="00E55DF0"/>
    <w:rsid w:val="00E60E62"/>
    <w:rsid w:val="00E63157"/>
    <w:rsid w:val="00E6414C"/>
    <w:rsid w:val="00E66387"/>
    <w:rsid w:val="00E67BA6"/>
    <w:rsid w:val="00E67EC7"/>
    <w:rsid w:val="00E71AB5"/>
    <w:rsid w:val="00E7260F"/>
    <w:rsid w:val="00E7329E"/>
    <w:rsid w:val="00E73FA2"/>
    <w:rsid w:val="00E7446F"/>
    <w:rsid w:val="00E75282"/>
    <w:rsid w:val="00E7789C"/>
    <w:rsid w:val="00E85F64"/>
    <w:rsid w:val="00E8702D"/>
    <w:rsid w:val="00E8720B"/>
    <w:rsid w:val="00E905F4"/>
    <w:rsid w:val="00E9085E"/>
    <w:rsid w:val="00E916A9"/>
    <w:rsid w:val="00E916DE"/>
    <w:rsid w:val="00E925AD"/>
    <w:rsid w:val="00E96630"/>
    <w:rsid w:val="00E97E9F"/>
    <w:rsid w:val="00EA1296"/>
    <w:rsid w:val="00EA7BE3"/>
    <w:rsid w:val="00EB052C"/>
    <w:rsid w:val="00EB2766"/>
    <w:rsid w:val="00EB74CA"/>
    <w:rsid w:val="00EC37A7"/>
    <w:rsid w:val="00EC7C34"/>
    <w:rsid w:val="00ED18DC"/>
    <w:rsid w:val="00ED27D0"/>
    <w:rsid w:val="00ED337E"/>
    <w:rsid w:val="00ED3A52"/>
    <w:rsid w:val="00ED5F1C"/>
    <w:rsid w:val="00ED6201"/>
    <w:rsid w:val="00ED7A2A"/>
    <w:rsid w:val="00ED7AA7"/>
    <w:rsid w:val="00EE514F"/>
    <w:rsid w:val="00EF1CFD"/>
    <w:rsid w:val="00EF1D7F"/>
    <w:rsid w:val="00EF338D"/>
    <w:rsid w:val="00EF45C8"/>
    <w:rsid w:val="00F00025"/>
    <w:rsid w:val="00F0137E"/>
    <w:rsid w:val="00F04FE2"/>
    <w:rsid w:val="00F0585D"/>
    <w:rsid w:val="00F12936"/>
    <w:rsid w:val="00F21786"/>
    <w:rsid w:val="00F21FC0"/>
    <w:rsid w:val="00F245E1"/>
    <w:rsid w:val="00F31CD9"/>
    <w:rsid w:val="00F3742B"/>
    <w:rsid w:val="00F37439"/>
    <w:rsid w:val="00F41364"/>
    <w:rsid w:val="00F41FDB"/>
    <w:rsid w:val="00F43C3C"/>
    <w:rsid w:val="00F465CE"/>
    <w:rsid w:val="00F5010E"/>
    <w:rsid w:val="00F50596"/>
    <w:rsid w:val="00F51A5A"/>
    <w:rsid w:val="00F56D63"/>
    <w:rsid w:val="00F609A9"/>
    <w:rsid w:val="00F620A0"/>
    <w:rsid w:val="00F62446"/>
    <w:rsid w:val="00F722A7"/>
    <w:rsid w:val="00F76E3D"/>
    <w:rsid w:val="00F806E6"/>
    <w:rsid w:val="00F80C99"/>
    <w:rsid w:val="00F84AE0"/>
    <w:rsid w:val="00F867EC"/>
    <w:rsid w:val="00F87538"/>
    <w:rsid w:val="00F918BD"/>
    <w:rsid w:val="00F91B2B"/>
    <w:rsid w:val="00F941BA"/>
    <w:rsid w:val="00FA19F7"/>
    <w:rsid w:val="00FA34CC"/>
    <w:rsid w:val="00FA64C6"/>
    <w:rsid w:val="00FB0CB4"/>
    <w:rsid w:val="00FB1C14"/>
    <w:rsid w:val="00FB27E9"/>
    <w:rsid w:val="00FC03CD"/>
    <w:rsid w:val="00FC0646"/>
    <w:rsid w:val="00FC0E32"/>
    <w:rsid w:val="00FC4ACF"/>
    <w:rsid w:val="00FC4FF0"/>
    <w:rsid w:val="00FC68B7"/>
    <w:rsid w:val="00FC7550"/>
    <w:rsid w:val="00FC76AB"/>
    <w:rsid w:val="00FD5D74"/>
    <w:rsid w:val="00FD750C"/>
    <w:rsid w:val="00FE552C"/>
    <w:rsid w:val="00FE6985"/>
    <w:rsid w:val="00FE6F4A"/>
    <w:rsid w:val="00FE7EB4"/>
    <w:rsid w:val="00FF0393"/>
    <w:rsid w:val="00FF6A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semiHidden/>
    <w:unhideWhenUsed/>
    <w:rsid w:val="00FC7550"/>
    <w:pPr>
      <w:spacing w:line="240" w:lineRule="auto"/>
    </w:pPr>
  </w:style>
  <w:style w:type="character" w:customStyle="1" w:styleId="CommentTextChar">
    <w:name w:val="Comment Text Char"/>
    <w:basedOn w:val="DefaultParagraphFont"/>
    <w:link w:val="CommentText"/>
    <w:semiHidden/>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 w:type="character" w:customStyle="1" w:styleId="Heading1Char">
    <w:name w:val="Heading 1 Char"/>
    <w:aliases w:val="Table_G Char"/>
    <w:basedOn w:val="DefaultParagraphFont"/>
    <w:link w:val="Heading1"/>
    <w:rsid w:val="00E06790"/>
    <w:rPr>
      <w:lang w:val="en-GB"/>
    </w:rPr>
  </w:style>
  <w:style w:type="character" w:customStyle="1" w:styleId="Heading2Char">
    <w:name w:val="Heading 2 Char"/>
    <w:basedOn w:val="DefaultParagraphFont"/>
    <w:link w:val="Heading2"/>
    <w:rsid w:val="00E06790"/>
    <w:rPr>
      <w:lang w:val="en-GB"/>
    </w:rPr>
  </w:style>
  <w:style w:type="character" w:customStyle="1" w:styleId="Heading3Char">
    <w:name w:val="Heading 3 Char"/>
    <w:basedOn w:val="DefaultParagraphFont"/>
    <w:link w:val="Heading3"/>
    <w:rsid w:val="00E06790"/>
    <w:rPr>
      <w:lang w:val="en-GB"/>
    </w:rPr>
  </w:style>
  <w:style w:type="character" w:customStyle="1" w:styleId="Heading4Char">
    <w:name w:val="Heading 4 Char"/>
    <w:basedOn w:val="DefaultParagraphFont"/>
    <w:link w:val="Heading4"/>
    <w:rsid w:val="00E06790"/>
    <w:rPr>
      <w:lang w:val="en-GB"/>
    </w:rPr>
  </w:style>
  <w:style w:type="character" w:customStyle="1" w:styleId="Heading5Char">
    <w:name w:val="Heading 5 Char"/>
    <w:basedOn w:val="DefaultParagraphFont"/>
    <w:link w:val="Heading5"/>
    <w:rsid w:val="00E06790"/>
    <w:rPr>
      <w:lang w:val="en-GB"/>
    </w:rPr>
  </w:style>
  <w:style w:type="character" w:customStyle="1" w:styleId="Heading6Char">
    <w:name w:val="Heading 6 Char"/>
    <w:basedOn w:val="DefaultParagraphFont"/>
    <w:link w:val="Heading6"/>
    <w:rsid w:val="00E06790"/>
    <w:rPr>
      <w:lang w:val="en-GB"/>
    </w:rPr>
  </w:style>
  <w:style w:type="character" w:customStyle="1" w:styleId="Heading7Char">
    <w:name w:val="Heading 7 Char"/>
    <w:basedOn w:val="DefaultParagraphFont"/>
    <w:link w:val="Heading7"/>
    <w:rsid w:val="00E06790"/>
    <w:rPr>
      <w:lang w:val="en-GB"/>
    </w:rPr>
  </w:style>
  <w:style w:type="character" w:customStyle="1" w:styleId="Heading8Char">
    <w:name w:val="Heading 8 Char"/>
    <w:basedOn w:val="DefaultParagraphFont"/>
    <w:link w:val="Heading8"/>
    <w:rsid w:val="00E06790"/>
    <w:rPr>
      <w:lang w:val="en-GB"/>
    </w:rPr>
  </w:style>
  <w:style w:type="character" w:customStyle="1" w:styleId="Heading9Char">
    <w:name w:val="Heading 9 Char"/>
    <w:basedOn w:val="DefaultParagraphFont"/>
    <w:link w:val="Heading9"/>
    <w:rsid w:val="00E06790"/>
    <w:rPr>
      <w:lang w:val="en-GB"/>
    </w:rPr>
  </w:style>
  <w:style w:type="character" w:customStyle="1" w:styleId="EndnoteTextChar">
    <w:name w:val="Endnote Text Char"/>
    <w:aliases w:val="2_G Char"/>
    <w:basedOn w:val="DefaultParagraphFont"/>
    <w:link w:val="EndnoteText"/>
    <w:rsid w:val="00E06790"/>
    <w:rPr>
      <w:sz w:val="18"/>
      <w:lang w:val="en-GB"/>
    </w:rPr>
  </w:style>
  <w:style w:type="character" w:customStyle="1" w:styleId="FooterChar">
    <w:name w:val="Footer Char"/>
    <w:aliases w:val="3_G Char"/>
    <w:basedOn w:val="DefaultParagraphFont"/>
    <w:link w:val="Footer"/>
    <w:rsid w:val="00E06790"/>
    <w:rPr>
      <w:sz w:val="16"/>
      <w:lang w:val="en-GB"/>
    </w:rPr>
  </w:style>
  <w:style w:type="character" w:customStyle="1" w:styleId="HeaderChar">
    <w:name w:val="Header Char"/>
    <w:aliases w:val="6_G Char"/>
    <w:basedOn w:val="DefaultParagraphFont"/>
    <w:link w:val="Header"/>
    <w:uiPriority w:val="99"/>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Simple2">
    <w:name w:val="Table Simple 2"/>
    <w:basedOn w:val="Table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6790"/>
    <w:pPr>
      <w:suppressAutoHyphens w:val="0"/>
      <w:ind w:left="720"/>
    </w:pPr>
    <w:rPr>
      <w:lang w:eastAsia="en-US"/>
    </w:rPr>
  </w:style>
  <w:style w:type="table" w:customStyle="1" w:styleId="Tabelraster1">
    <w:name w:val="Tabelraster1"/>
    <w:basedOn w:val="TableNormal"/>
    <w:next w:val="TableGrid"/>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E-mailSignature">
    <w:name w:val="E-mail Signature"/>
    <w:basedOn w:val="Normal"/>
    <w:link w:val="E-mailSignatureChar"/>
    <w:rsid w:val="00E06790"/>
    <w:pPr>
      <w:suppressAutoHyphens w:val="0"/>
    </w:pPr>
    <w:rPr>
      <w:lang w:eastAsia="en-US"/>
    </w:rPr>
  </w:style>
  <w:style w:type="character" w:customStyle="1" w:styleId="E-mailSignatureChar">
    <w:name w:val="E-mail Signature Char"/>
    <w:basedOn w:val="DefaultParagraphFont"/>
    <w:link w:val="E-mailSignature"/>
    <w:rsid w:val="00E06790"/>
    <w:rPr>
      <w:lang w:val="en-GB" w:eastAsia="en-US"/>
    </w:rPr>
  </w:style>
  <w:style w:type="table" w:customStyle="1" w:styleId="Tabelraster2">
    <w:name w:val="Tabelraster2"/>
    <w:basedOn w:val="TableNormal"/>
    <w:next w:val="TableGrid"/>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 w:type="character" w:customStyle="1" w:styleId="SingleTxtGCar">
    <w:name w:val="_ Single Txt_G Car"/>
    <w:rsid w:val="008E40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Local\Microsoft\Windows\INetCache\Content.MSO\1859BA8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D18DFE405D94BB357C975EF11C2D4" ma:contentTypeVersion="13" ma:contentTypeDescription="Een nieuw document maken." ma:contentTypeScope="" ma:versionID="89fe6610806d29a1c5461a7fb3b9ac22">
  <xsd:schema xmlns:xsd="http://www.w3.org/2001/XMLSchema" xmlns:xs="http://www.w3.org/2001/XMLSchema" xmlns:p="http://schemas.microsoft.com/office/2006/metadata/properties" xmlns:ns3="9406e896-9573-411b-9255-fe5d127138b3" xmlns:ns4="1f3e58c6-b017-4b98-bead-cd9d6d60bb0b" targetNamespace="http://schemas.microsoft.com/office/2006/metadata/properties" ma:root="true" ma:fieldsID="68d9de8fe088871ef84d843cfbe0cc5f" ns3:_="" ns4:_="">
    <xsd:import namespace="9406e896-9573-411b-9255-fe5d127138b3"/>
    <xsd:import namespace="1f3e58c6-b017-4b98-bead-cd9d6d60bb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6e896-9573-411b-9255-fe5d127138b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e58c6-b017-4b98-bead-cd9d6d60bb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6248-2348-43C8-BA2C-8C4A1907F38B}">
  <ds:schemaRefs>
    <ds:schemaRef ds:uri="http://purl.org/dc/terms/"/>
    <ds:schemaRef ds:uri="http://schemas.microsoft.com/office/2006/documentManagement/types"/>
    <ds:schemaRef ds:uri="http://schemas.microsoft.com/office/infopath/2007/PartnerControls"/>
    <ds:schemaRef ds:uri="http://purl.org/dc/elements/1.1/"/>
    <ds:schemaRef ds:uri="9406e896-9573-411b-9255-fe5d127138b3"/>
    <ds:schemaRef ds:uri="http://schemas.microsoft.com/office/2006/metadata/properties"/>
    <ds:schemaRef ds:uri="http://schemas.openxmlformats.org/package/2006/metadata/core-properties"/>
    <ds:schemaRef ds:uri="1f3e58c6-b017-4b98-bead-cd9d6d60bb0b"/>
    <ds:schemaRef ds:uri="http://www.w3.org/XML/1998/namespace"/>
    <ds:schemaRef ds:uri="http://purl.org/dc/dcmitype/"/>
  </ds:schemaRefs>
</ds:datastoreItem>
</file>

<file path=customXml/itemProps2.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3.xml><?xml version="1.0" encoding="utf-8"?>
<ds:datastoreItem xmlns:ds="http://schemas.openxmlformats.org/officeDocument/2006/customXml" ds:itemID="{FD2F1E9F-A4B9-429A-80A0-ACF59E996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6e896-9573-411b-9255-fe5d127138b3"/>
    <ds:schemaRef ds:uri="1f3e58c6-b017-4b98-bead-cd9d6d60b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7FD77-7675-4912-ACFF-EAD45FD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1859BA8C.dotm</Template>
  <TotalTime>1</TotalTime>
  <Pages>5</Pages>
  <Words>1900</Words>
  <Characters>10835</Characters>
  <Application>Microsoft Office Word</Application>
  <DocSecurity>4</DocSecurity>
  <Lines>90</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Christine Barrio-Champeau</cp:lastModifiedBy>
  <cp:revision>2</cp:revision>
  <cp:lastPrinted>2021-03-29T11:46:00Z</cp:lastPrinted>
  <dcterms:created xsi:type="dcterms:W3CDTF">2022-03-17T08:32:00Z</dcterms:created>
  <dcterms:modified xsi:type="dcterms:W3CDTF">2022-03-17T08:32:00Z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0x010100271D18DFE405D94BB357C975EF11C2D4</vt:lpwstr>
  </property>
  <property fmtid="{D5CDD505-2E9C-101B-9397-08002B2CF9AE}" pid="3" name="Order">
    <vt:r8>11810600</vt:r8>
  </property>
</Properties>
</file>