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F2F2DE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ABED9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C7A5A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2A0C85" w14:textId="2E60D375" w:rsidR="009E6CB7" w:rsidRPr="00011414" w:rsidRDefault="00011414" w:rsidP="009C5684">
            <w:pPr>
              <w:jc w:val="right"/>
              <w:rPr>
                <w:b/>
                <w:bCs/>
                <w:sz w:val="28"/>
                <w:szCs w:val="28"/>
              </w:rPr>
            </w:pPr>
            <w:r w:rsidRPr="00011414">
              <w:rPr>
                <w:b/>
                <w:bCs/>
                <w:sz w:val="28"/>
                <w:szCs w:val="28"/>
              </w:rPr>
              <w:t>INF</w:t>
            </w:r>
            <w:r w:rsidR="009C5684">
              <w:rPr>
                <w:b/>
                <w:bCs/>
                <w:sz w:val="28"/>
                <w:szCs w:val="28"/>
              </w:rPr>
              <w:t>.34</w:t>
            </w:r>
          </w:p>
        </w:tc>
      </w:tr>
      <w:tr w:rsidR="009E6CB7" w14:paraId="5756999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009377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4CC5107" wp14:editId="5D4D5D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261DE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29A71A" w14:textId="77777777" w:rsidR="009E6CB7" w:rsidRDefault="005B00F2" w:rsidP="005B00F2">
            <w:pPr>
              <w:spacing w:before="240" w:line="240" w:lineRule="exact"/>
            </w:pPr>
            <w:r>
              <w:t>Distr.: General</w:t>
            </w:r>
          </w:p>
          <w:p w14:paraId="4F492416" w14:textId="53AAB8D7" w:rsidR="005B00F2" w:rsidRDefault="00011414" w:rsidP="005B00F2">
            <w:pPr>
              <w:spacing w:line="240" w:lineRule="exact"/>
            </w:pPr>
            <w:r>
              <w:t>14</w:t>
            </w:r>
            <w:r w:rsidR="005B00F2">
              <w:t xml:space="preserve"> </w:t>
            </w:r>
            <w:r>
              <w:t xml:space="preserve">March </w:t>
            </w:r>
            <w:r w:rsidR="005B00F2">
              <w:t>202</w:t>
            </w:r>
            <w:r>
              <w:t>2</w:t>
            </w:r>
          </w:p>
          <w:p w14:paraId="733E5E64" w14:textId="77777777" w:rsidR="005B00F2" w:rsidRDefault="005B00F2" w:rsidP="005B00F2">
            <w:pPr>
              <w:spacing w:line="240" w:lineRule="exact"/>
            </w:pPr>
          </w:p>
          <w:p w14:paraId="5E5754A1" w14:textId="3AB8157E" w:rsidR="005B00F2" w:rsidRDefault="005B00F2" w:rsidP="005B00F2">
            <w:pPr>
              <w:spacing w:line="240" w:lineRule="exact"/>
            </w:pPr>
            <w:r>
              <w:t>Original: English</w:t>
            </w:r>
          </w:p>
        </w:tc>
      </w:tr>
    </w:tbl>
    <w:p w14:paraId="3F200D14" w14:textId="77777777" w:rsidR="00A77769" w:rsidRPr="000D2B9C" w:rsidRDefault="00A77769" w:rsidP="00A77769">
      <w:pPr>
        <w:spacing w:before="120"/>
        <w:rPr>
          <w:b/>
          <w:color w:val="000000" w:themeColor="text1"/>
          <w:sz w:val="28"/>
          <w:szCs w:val="28"/>
        </w:rPr>
      </w:pPr>
      <w:r w:rsidRPr="000D2B9C">
        <w:rPr>
          <w:b/>
          <w:color w:val="000000" w:themeColor="text1"/>
          <w:sz w:val="28"/>
          <w:szCs w:val="28"/>
        </w:rPr>
        <w:t>Economic Commission for Europe</w:t>
      </w:r>
    </w:p>
    <w:p w14:paraId="4BA2806C" w14:textId="77777777" w:rsidR="00A77769" w:rsidRPr="000D2B9C" w:rsidRDefault="00A77769" w:rsidP="00A77769">
      <w:pPr>
        <w:spacing w:before="120"/>
        <w:rPr>
          <w:color w:val="000000" w:themeColor="text1"/>
          <w:sz w:val="28"/>
          <w:szCs w:val="28"/>
        </w:rPr>
      </w:pPr>
      <w:r w:rsidRPr="000D2B9C">
        <w:rPr>
          <w:color w:val="000000" w:themeColor="text1"/>
          <w:sz w:val="28"/>
          <w:szCs w:val="28"/>
        </w:rPr>
        <w:t>Inland Transport Committee</w:t>
      </w:r>
    </w:p>
    <w:p w14:paraId="34258601" w14:textId="77777777" w:rsidR="00A77769" w:rsidRPr="000D2B9C" w:rsidRDefault="00A77769" w:rsidP="00A77769">
      <w:pPr>
        <w:spacing w:before="120"/>
        <w:rPr>
          <w:b/>
          <w:color w:val="000000" w:themeColor="text1"/>
          <w:sz w:val="24"/>
          <w:szCs w:val="24"/>
        </w:rPr>
      </w:pPr>
      <w:r w:rsidRPr="000D2B9C">
        <w:rPr>
          <w:b/>
          <w:color w:val="000000" w:themeColor="text1"/>
          <w:sz w:val="24"/>
          <w:szCs w:val="24"/>
        </w:rPr>
        <w:t>Working Party on the Transport of Dangerous Goods</w:t>
      </w:r>
    </w:p>
    <w:p w14:paraId="1E9294E1" w14:textId="77777777" w:rsidR="00A77769" w:rsidRPr="000D2B9C" w:rsidRDefault="00A77769" w:rsidP="00A77769">
      <w:pPr>
        <w:spacing w:before="120"/>
        <w:rPr>
          <w:b/>
          <w:color w:val="000000" w:themeColor="text1"/>
        </w:rPr>
      </w:pPr>
      <w:r w:rsidRPr="000D2B9C">
        <w:rPr>
          <w:b/>
          <w:color w:val="000000" w:themeColor="text1"/>
        </w:rPr>
        <w:t>Joint Meeting of the RID Committee of Experts and the</w:t>
      </w:r>
      <w:r w:rsidRPr="000D2B9C">
        <w:rPr>
          <w:b/>
          <w:color w:val="000000" w:themeColor="text1"/>
        </w:rPr>
        <w:br/>
        <w:t>Working Party on the Transport of Dangerous Goods</w:t>
      </w:r>
    </w:p>
    <w:p w14:paraId="78663E46" w14:textId="77777777" w:rsidR="00A77769" w:rsidRPr="000D2B9C" w:rsidRDefault="00A77769" w:rsidP="00A77769">
      <w:pPr>
        <w:rPr>
          <w:color w:val="000000" w:themeColor="text1"/>
        </w:rPr>
      </w:pPr>
      <w:r w:rsidRPr="000D2B9C">
        <w:rPr>
          <w:color w:val="000000" w:themeColor="text1"/>
        </w:rPr>
        <w:t>Bern, 14 – 18 March 2022</w:t>
      </w:r>
    </w:p>
    <w:p w14:paraId="056FE8A9" w14:textId="77777777" w:rsidR="00A77769" w:rsidRPr="000D2B9C" w:rsidRDefault="00A77769" w:rsidP="00A77769">
      <w:pPr>
        <w:rPr>
          <w:color w:val="000000" w:themeColor="text1"/>
        </w:rPr>
      </w:pPr>
      <w:r w:rsidRPr="000D2B9C">
        <w:rPr>
          <w:color w:val="000000" w:themeColor="text1"/>
        </w:rPr>
        <w:t>Item 2 of the provisional agenda</w:t>
      </w:r>
    </w:p>
    <w:p w14:paraId="313D5E28" w14:textId="77777777" w:rsidR="00A77769" w:rsidRPr="000D2B9C" w:rsidRDefault="00A77769" w:rsidP="00A77769">
      <w:pPr>
        <w:rPr>
          <w:b/>
          <w:bCs/>
          <w:color w:val="000000" w:themeColor="text1"/>
        </w:rPr>
      </w:pPr>
      <w:r w:rsidRPr="000D2B9C">
        <w:rPr>
          <w:b/>
          <w:bCs/>
          <w:color w:val="000000" w:themeColor="text1"/>
        </w:rPr>
        <w:t>Tanks</w:t>
      </w:r>
    </w:p>
    <w:p w14:paraId="3F1C7FD4" w14:textId="39E74CFC" w:rsidR="007F33D3" w:rsidRDefault="00A77769" w:rsidP="00A77769">
      <w:pPr>
        <w:pStyle w:val="HChG"/>
        <w:rPr>
          <w:color w:val="000000" w:themeColor="text1"/>
        </w:rPr>
      </w:pPr>
      <w:r w:rsidRPr="000D2B9C">
        <w:rPr>
          <w:color w:val="000000" w:themeColor="text1"/>
        </w:rPr>
        <w:tab/>
      </w:r>
    </w:p>
    <w:p w14:paraId="1A51F84E" w14:textId="73C564E0" w:rsidR="00A77769" w:rsidRPr="000D2B9C" w:rsidRDefault="00A77769" w:rsidP="00A77769">
      <w:pPr>
        <w:pStyle w:val="HChG"/>
        <w:rPr>
          <w:color w:val="000000" w:themeColor="text1"/>
        </w:rPr>
      </w:pPr>
      <w:r w:rsidRPr="000D2B9C">
        <w:t>Instant</w:t>
      </w:r>
      <w:r w:rsidRPr="000D2B9C">
        <w:rPr>
          <w:color w:val="000000" w:themeColor="text1"/>
        </w:rPr>
        <w:t>/</w:t>
      </w:r>
      <w:r w:rsidR="00C82422">
        <w:t>a</w:t>
      </w:r>
      <w:r w:rsidRPr="000D2B9C">
        <w:t>utomatic closing stop-valves on connections to the vapour phase on cryogenic tanks carrying flammable gases</w:t>
      </w:r>
    </w:p>
    <w:p w14:paraId="1597856F" w14:textId="77777777" w:rsidR="0080417C" w:rsidRPr="000D2B9C" w:rsidRDefault="00A77769" w:rsidP="0080417C">
      <w:pPr>
        <w:pStyle w:val="H1G"/>
      </w:pPr>
      <w:r w:rsidRPr="000D2B9C">
        <w:rPr>
          <w:color w:val="000000" w:themeColor="text1"/>
        </w:rPr>
        <w:tab/>
      </w:r>
      <w:r w:rsidRPr="000D2B9C">
        <w:rPr>
          <w:color w:val="000000" w:themeColor="text1"/>
        </w:rPr>
        <w:tab/>
        <w:t>Transmitted</w:t>
      </w:r>
      <w:r w:rsidRPr="000D2B9C">
        <w:rPr>
          <w:color w:val="000000" w:themeColor="text1"/>
          <w:spacing w:val="-3"/>
        </w:rPr>
        <w:t xml:space="preserve"> </w:t>
      </w:r>
      <w:r w:rsidRPr="000D2B9C">
        <w:rPr>
          <w:color w:val="000000" w:themeColor="text1"/>
        </w:rPr>
        <w:t>by</w:t>
      </w:r>
      <w:r w:rsidRPr="000D2B9C">
        <w:rPr>
          <w:color w:val="000000" w:themeColor="text1"/>
          <w:spacing w:val="-2"/>
        </w:rPr>
        <w:t xml:space="preserve"> </w:t>
      </w:r>
      <w:r w:rsidRPr="000D2B9C">
        <w:rPr>
          <w:color w:val="000000" w:themeColor="text1"/>
        </w:rPr>
        <w:t>the</w:t>
      </w:r>
      <w:r w:rsidRPr="000D2B9C">
        <w:rPr>
          <w:color w:val="000000" w:themeColor="text1"/>
          <w:spacing w:val="-2"/>
        </w:rPr>
        <w:t xml:space="preserve"> </w:t>
      </w:r>
      <w:r w:rsidRPr="000D2B9C">
        <w:rPr>
          <w:color w:val="000000" w:themeColor="text1"/>
        </w:rPr>
        <w:t>Government of the Netherlands</w:t>
      </w:r>
      <w:r w:rsidR="0080417C" w:rsidRPr="000D2B9C">
        <w:rPr>
          <w:rStyle w:val="FootnoteReference"/>
          <w:sz w:val="20"/>
        </w:rPr>
        <w:footnoteReference w:customMarkFollows="1" w:id="2"/>
        <w:t>*</w:t>
      </w:r>
      <w:r w:rsidR="0080417C" w:rsidRPr="000D2B9C">
        <w:rPr>
          <w:sz w:val="20"/>
          <w:vertAlign w:val="superscript"/>
        </w:rPr>
        <w:t xml:space="preserve">, </w:t>
      </w:r>
      <w:r w:rsidR="0080417C" w:rsidRPr="000D2B9C">
        <w:rPr>
          <w:rStyle w:val="FootnoteReference"/>
          <w:sz w:val="20"/>
        </w:rPr>
        <w:footnoteReference w:customMarkFollows="1" w:id="3"/>
        <w:t>**</w:t>
      </w:r>
      <w:r w:rsidR="0080417C" w:rsidRPr="000D2B9C">
        <w:rPr>
          <w:sz w:val="20"/>
          <w:vertAlign w:val="superscript"/>
        </w:rPr>
        <w:t>,</w:t>
      </w:r>
      <w:r w:rsidR="0080417C" w:rsidRPr="000D2B9C">
        <w:rPr>
          <w:sz w:val="20"/>
        </w:rPr>
        <w:t xml:space="preserve"> </w:t>
      </w:r>
      <w:r w:rsidR="0080417C" w:rsidRPr="000D2B9C">
        <w:rPr>
          <w:rStyle w:val="FootnoteReference"/>
          <w:sz w:val="20"/>
        </w:rPr>
        <w:footnoteReference w:customMarkFollows="1" w:id="4"/>
        <w:sym w:font="Symbol" w:char="F02A"/>
      </w:r>
      <w:r w:rsidR="0080417C" w:rsidRPr="000D2B9C">
        <w:rPr>
          <w:rStyle w:val="FootnoteReference"/>
          <w:sz w:val="20"/>
        </w:rPr>
        <w:sym w:font="Symbol" w:char="F02A"/>
      </w:r>
      <w:r w:rsidR="0080417C" w:rsidRPr="000D2B9C">
        <w:rPr>
          <w:rStyle w:val="FootnoteReference"/>
          <w:sz w:val="20"/>
        </w:rPr>
        <w:sym w:font="Symbol" w:char="F02A"/>
      </w:r>
    </w:p>
    <w:p w14:paraId="17AE2932" w14:textId="77777777" w:rsidR="00A77769" w:rsidRPr="000D2B9C" w:rsidRDefault="00A77769" w:rsidP="00A77769"/>
    <w:p w14:paraId="0F6F1991" w14:textId="77777777" w:rsidR="00A77769" w:rsidRPr="000D2B9C" w:rsidRDefault="00A77769" w:rsidP="0080417C">
      <w:pPr>
        <w:pStyle w:val="HChG"/>
        <w:spacing w:before="240" w:line="240" w:lineRule="auto"/>
      </w:pPr>
      <w:r w:rsidRPr="000D2B9C">
        <w:rPr>
          <w:color w:val="000000" w:themeColor="text1"/>
        </w:rPr>
        <w:tab/>
      </w:r>
      <w:r w:rsidRPr="000D2B9C">
        <w:rPr>
          <w:color w:val="000000" w:themeColor="text1"/>
        </w:rPr>
        <w:tab/>
      </w:r>
      <w:r w:rsidRPr="000D2B9C">
        <w:t>Introduction</w:t>
      </w:r>
    </w:p>
    <w:p w14:paraId="34347E35" w14:textId="770F169F" w:rsidR="00A77769" w:rsidRPr="000D2B9C" w:rsidRDefault="0080417C" w:rsidP="0080417C">
      <w:pPr>
        <w:pStyle w:val="SingleTxtG"/>
      </w:pPr>
      <w:r w:rsidRPr="000D2B9C">
        <w:t>1.</w:t>
      </w:r>
      <w:r w:rsidRPr="000D2B9C">
        <w:tab/>
      </w:r>
      <w:r w:rsidR="00A77769" w:rsidRPr="000D2B9C">
        <w:t xml:space="preserve">Based on </w:t>
      </w:r>
      <w:r w:rsidR="00212648">
        <w:t xml:space="preserve">suggestions made by the Joint Meeting the proposals of document 2022/16 are amended as follows. </w:t>
      </w:r>
    </w:p>
    <w:p w14:paraId="77AA21B3" w14:textId="54DBC1D8" w:rsidR="004C49FF" w:rsidRDefault="004C49FF" w:rsidP="0080417C">
      <w:pPr>
        <w:pStyle w:val="SingleTxtG"/>
      </w:pPr>
    </w:p>
    <w:p w14:paraId="0DA85204" w14:textId="599DA020" w:rsidR="004C49FF" w:rsidRDefault="004C49FF" w:rsidP="0080417C">
      <w:pPr>
        <w:pStyle w:val="SingleTxtG"/>
        <w:rPr>
          <w:b/>
          <w:bCs/>
          <w:sz w:val="28"/>
          <w:szCs w:val="28"/>
        </w:rPr>
      </w:pPr>
      <w:r w:rsidRPr="004C49FF">
        <w:rPr>
          <w:b/>
          <w:bCs/>
          <w:sz w:val="28"/>
          <w:szCs w:val="28"/>
        </w:rPr>
        <w:t>Proposal</w:t>
      </w:r>
    </w:p>
    <w:p w14:paraId="0F14E430" w14:textId="77777777" w:rsidR="00054310" w:rsidRDefault="00054310" w:rsidP="0080417C">
      <w:pPr>
        <w:pStyle w:val="SingleTxtG"/>
        <w:rPr>
          <w:b/>
          <w:bCs/>
          <w:sz w:val="28"/>
          <w:szCs w:val="28"/>
        </w:rPr>
      </w:pPr>
    </w:p>
    <w:p w14:paraId="13EA15EF" w14:textId="77777777" w:rsidR="004C49FF" w:rsidRPr="004C49FF" w:rsidRDefault="004C49FF" w:rsidP="0080417C">
      <w:pPr>
        <w:pStyle w:val="SingleTxtG"/>
        <w:rPr>
          <w:b/>
          <w:bCs/>
          <w:sz w:val="28"/>
          <w:szCs w:val="28"/>
        </w:rPr>
      </w:pPr>
    </w:p>
    <w:p w14:paraId="236EC45D" w14:textId="53337206" w:rsidR="00A77769" w:rsidRPr="000D2B9C" w:rsidRDefault="00A77769" w:rsidP="0080417C">
      <w:pPr>
        <w:pStyle w:val="SingleTxtG"/>
      </w:pPr>
      <w:r w:rsidRPr="000D2B9C">
        <w:t>In 6.8.4 (b) Items of equipment (TE)</w:t>
      </w:r>
      <w:r w:rsidR="001B5E50">
        <w:t>,</w:t>
      </w:r>
      <w:r w:rsidRPr="000D2B9C">
        <w:t xml:space="preserve"> insert a new </w:t>
      </w:r>
      <w:r w:rsidR="001B5E50">
        <w:t>s</w:t>
      </w:r>
      <w:r w:rsidRPr="000D2B9C">
        <w:t xml:space="preserve">pecial </w:t>
      </w:r>
      <w:r w:rsidR="00845E5E">
        <w:t>p</w:t>
      </w:r>
      <w:r w:rsidRPr="000D2B9C">
        <w:t>rovision TE to read as follows:</w:t>
      </w:r>
    </w:p>
    <w:p w14:paraId="3D73CD92" w14:textId="3E786A2D" w:rsidR="00A77769" w:rsidRPr="000D2B9C" w:rsidRDefault="00A77769" w:rsidP="00845E5E">
      <w:pPr>
        <w:tabs>
          <w:tab w:val="left" w:pos="1985"/>
          <w:tab w:val="left" w:pos="8505"/>
        </w:tabs>
        <w:snapToGrid w:val="0"/>
        <w:spacing w:before="120" w:after="120" w:line="240" w:lineRule="auto"/>
        <w:ind w:left="1985" w:right="1134" w:hanging="851"/>
        <w:jc w:val="both"/>
        <w:rPr>
          <w:i/>
        </w:rPr>
      </w:pPr>
      <w:r w:rsidRPr="001F60A8">
        <w:rPr>
          <w:iCs/>
        </w:rPr>
        <w:t>"</w:t>
      </w:r>
      <w:r w:rsidRPr="00180487">
        <w:rPr>
          <w:iCs/>
        </w:rPr>
        <w:t>TExy:</w:t>
      </w:r>
      <w:r w:rsidR="00845E5E" w:rsidRPr="00FE7AD8">
        <w:rPr>
          <w:i/>
        </w:rPr>
        <w:tab/>
      </w:r>
      <w:r w:rsidR="007D65E8" w:rsidRPr="00204229">
        <w:rPr>
          <w:i/>
          <w:u w:val="single"/>
        </w:rPr>
        <w:t>All filling and discharge connections, including those</w:t>
      </w:r>
      <w:r w:rsidR="007D65E8">
        <w:rPr>
          <w:i/>
        </w:rPr>
        <w:t xml:space="preserve"> </w:t>
      </w:r>
      <w:r w:rsidRPr="007D65E8">
        <w:rPr>
          <w:iCs/>
          <w:strike/>
        </w:rPr>
        <w:t>Connections of the tank</w:t>
      </w:r>
      <w:r w:rsidRPr="00180487">
        <w:rPr>
          <w:iCs/>
        </w:rPr>
        <w:t xml:space="preserve"> in the vapour phase</w:t>
      </w:r>
      <w:r w:rsidR="007D65E8">
        <w:rPr>
          <w:iCs/>
        </w:rPr>
        <w:t xml:space="preserve">, </w:t>
      </w:r>
      <w:r w:rsidR="00B13BE4">
        <w:rPr>
          <w:iCs/>
        </w:rPr>
        <w:t>o</w:t>
      </w:r>
      <w:r w:rsidR="007D65E8" w:rsidRPr="00204229">
        <w:rPr>
          <w:i/>
          <w:u w:val="single"/>
        </w:rPr>
        <w:t>f tanks</w:t>
      </w:r>
      <w:r w:rsidR="007D65E8">
        <w:rPr>
          <w:iCs/>
        </w:rPr>
        <w:t xml:space="preserve"> </w:t>
      </w:r>
      <w:r w:rsidRPr="00180487">
        <w:rPr>
          <w:iCs/>
        </w:rPr>
        <w:t xml:space="preserve"> </w:t>
      </w:r>
      <w:r w:rsidRPr="007D65E8">
        <w:rPr>
          <w:iCs/>
          <w:strike/>
        </w:rPr>
        <w:t>that are</w:t>
      </w:r>
      <w:r w:rsidRPr="007D65E8">
        <w:rPr>
          <w:iCs/>
        </w:rPr>
        <w:t xml:space="preserve"> intended</w:t>
      </w:r>
      <w:r w:rsidRPr="00180487">
        <w:rPr>
          <w:iCs/>
        </w:rPr>
        <w:t xml:space="preserve"> for the </w:t>
      </w:r>
      <w:r w:rsidR="007D65E8" w:rsidRPr="007D65E8">
        <w:rPr>
          <w:i/>
        </w:rPr>
        <w:t>carriage</w:t>
      </w:r>
      <w:r w:rsidR="007D65E8">
        <w:rPr>
          <w:iCs/>
        </w:rPr>
        <w:t xml:space="preserve"> </w:t>
      </w:r>
      <w:r w:rsidRPr="007D65E8">
        <w:rPr>
          <w:iCs/>
          <w:strike/>
        </w:rPr>
        <w:t>handling (filling/discharge)</w:t>
      </w:r>
      <w:r w:rsidRPr="00180487">
        <w:rPr>
          <w:iCs/>
        </w:rPr>
        <w:t xml:space="preserve"> of flammable refrigerated liquefied gases shall be equipped with an instant closing automatic stop-valve (see 6.8.3.2.3) as close as possible to the tank</w:t>
      </w:r>
      <w:r w:rsidRPr="00FE7AD8">
        <w:rPr>
          <w:i/>
        </w:rPr>
        <w:t>.</w:t>
      </w:r>
      <w:r w:rsidRPr="001F60A8">
        <w:rPr>
          <w:iCs/>
        </w:rPr>
        <w:t>"</w:t>
      </w:r>
    </w:p>
    <w:p w14:paraId="1EA23993" w14:textId="7A1F04E5" w:rsidR="00A77769" w:rsidRPr="000D2B9C" w:rsidRDefault="00A77769" w:rsidP="0080417C">
      <w:pPr>
        <w:tabs>
          <w:tab w:val="left" w:pos="1985"/>
          <w:tab w:val="left" w:pos="8505"/>
        </w:tabs>
        <w:snapToGrid w:val="0"/>
        <w:spacing w:before="120" w:after="120" w:line="240" w:lineRule="auto"/>
        <w:ind w:left="1134" w:right="1134"/>
        <w:jc w:val="both"/>
        <w:rPr>
          <w:iCs/>
        </w:rPr>
      </w:pPr>
      <w:r w:rsidRPr="000D2B9C">
        <w:rPr>
          <w:iCs/>
        </w:rPr>
        <w:lastRenderedPageBreak/>
        <w:t xml:space="preserve">In </w:t>
      </w:r>
      <w:r w:rsidR="00170C96">
        <w:rPr>
          <w:iCs/>
        </w:rPr>
        <w:t>T</w:t>
      </w:r>
      <w:r w:rsidRPr="000D2B9C">
        <w:rPr>
          <w:iCs/>
        </w:rPr>
        <w:t>able A of Chapter 3.2</w:t>
      </w:r>
      <w:r w:rsidR="00C82422">
        <w:rPr>
          <w:iCs/>
        </w:rPr>
        <w:t>,</w:t>
      </w:r>
      <w:r w:rsidRPr="000D2B9C">
        <w:rPr>
          <w:iCs/>
        </w:rPr>
        <w:t xml:space="preserve"> introduce “TExy” in column 13 for </w:t>
      </w:r>
      <w:r w:rsidR="00CB23FF">
        <w:rPr>
          <w:iCs/>
        </w:rPr>
        <w:t>all entries of flammable and toxic refrigerated liquid gases.</w:t>
      </w:r>
      <w:r w:rsidR="00CB23FF" w:rsidRPr="00CB23FF">
        <w:rPr>
          <w:iCs/>
        </w:rPr>
        <w:t xml:space="preserve"> </w:t>
      </w:r>
      <w:r w:rsidR="00CB23FF">
        <w:rPr>
          <w:iCs/>
        </w:rPr>
        <w:t>(</w:t>
      </w:r>
      <w:r w:rsidR="00B42017">
        <w:rPr>
          <w:iCs/>
        </w:rPr>
        <w:t xml:space="preserve">e.g. </w:t>
      </w:r>
      <w:r w:rsidR="00CB23FF" w:rsidRPr="000D2B9C">
        <w:rPr>
          <w:iCs/>
        </w:rPr>
        <w:t xml:space="preserve">UN </w:t>
      </w:r>
      <w:r w:rsidR="00CB23FF">
        <w:rPr>
          <w:iCs/>
        </w:rPr>
        <w:t>N</w:t>
      </w:r>
      <w:r w:rsidR="00CB23FF" w:rsidRPr="000D2B9C">
        <w:rPr>
          <w:iCs/>
        </w:rPr>
        <w:t>os</w:t>
      </w:r>
      <w:r w:rsidR="00CB23FF">
        <w:rPr>
          <w:iCs/>
        </w:rPr>
        <w:t>.</w:t>
      </w:r>
      <w:r w:rsidR="00CB23FF" w:rsidRPr="000D2B9C">
        <w:rPr>
          <w:iCs/>
        </w:rPr>
        <w:t xml:space="preserve"> </w:t>
      </w:r>
      <w:r w:rsidR="00CB23FF" w:rsidRPr="007D65E8">
        <w:rPr>
          <w:iCs/>
          <w:highlight w:val="yellow"/>
        </w:rPr>
        <w:t>1038</w:t>
      </w:r>
      <w:r w:rsidR="00CB23FF">
        <w:rPr>
          <w:iCs/>
        </w:rPr>
        <w:t xml:space="preserve"> </w:t>
      </w:r>
      <w:r w:rsidR="00CB23FF" w:rsidRPr="000D2B9C">
        <w:rPr>
          <w:iCs/>
        </w:rPr>
        <w:t>1961, 1966, 1972</w:t>
      </w:r>
      <w:r w:rsidR="00CB23FF">
        <w:rPr>
          <w:iCs/>
        </w:rPr>
        <w:t xml:space="preserve">, </w:t>
      </w:r>
      <w:r w:rsidR="00CB23FF" w:rsidRPr="007D65E8">
        <w:rPr>
          <w:iCs/>
          <w:highlight w:val="yellow"/>
        </w:rPr>
        <w:t>3138</w:t>
      </w:r>
      <w:r w:rsidR="00CB23FF" w:rsidRPr="000D2B9C">
        <w:rPr>
          <w:iCs/>
        </w:rPr>
        <w:t xml:space="preserve"> and 3312.</w:t>
      </w:r>
      <w:r w:rsidR="00CB23FF">
        <w:rPr>
          <w:iCs/>
        </w:rPr>
        <w:t>)</w:t>
      </w:r>
    </w:p>
    <w:p w14:paraId="50878695" w14:textId="5E4DC274" w:rsidR="00A77769" w:rsidRPr="000D2B9C" w:rsidRDefault="00A77769" w:rsidP="0080417C">
      <w:pPr>
        <w:snapToGrid w:val="0"/>
        <w:spacing w:before="120" w:after="120" w:line="240" w:lineRule="auto"/>
        <w:ind w:left="1134" w:right="992"/>
      </w:pPr>
      <w:r w:rsidRPr="000D2B9C">
        <w:t>In Chapter 1.6 insert a new transitional measure 1.6.3.x/1.6.4.y to read as follows:</w:t>
      </w:r>
    </w:p>
    <w:p w14:paraId="7A42D539" w14:textId="3FBD9FBE" w:rsidR="00A77769" w:rsidRPr="00834E72" w:rsidRDefault="0080417C" w:rsidP="00180487">
      <w:pPr>
        <w:snapToGrid w:val="0"/>
        <w:spacing w:before="120" w:after="120" w:line="240" w:lineRule="auto"/>
        <w:ind w:left="1134" w:right="1134"/>
        <w:jc w:val="both"/>
        <w:rPr>
          <w:iCs/>
          <w:strike/>
        </w:rPr>
      </w:pPr>
      <w:r w:rsidRPr="00170C96">
        <w:rPr>
          <w:iCs/>
        </w:rPr>
        <w:t>“</w:t>
      </w:r>
      <w:r w:rsidR="00170C96" w:rsidRPr="00170C96">
        <w:rPr>
          <w:iCs/>
        </w:rPr>
        <w:t>1.6.3.x</w:t>
      </w:r>
      <w:r w:rsidR="00170C96">
        <w:rPr>
          <w:iCs/>
        </w:rPr>
        <w:tab/>
      </w:r>
      <w:r w:rsidR="00A77769" w:rsidRPr="00180487">
        <w:rPr>
          <w:iCs/>
        </w:rPr>
        <w:t xml:space="preserve">Tank-wagons/Fixed tanks (tank-vehicles) and demountable tanks constructed before 1 July 2023 in accordance with the requirements in force up to 31 December 2022, but which do not, however, meet the requirements of </w:t>
      </w:r>
      <w:r w:rsidR="00170C96">
        <w:rPr>
          <w:iCs/>
        </w:rPr>
        <w:t>s</w:t>
      </w:r>
      <w:r w:rsidR="00A77769" w:rsidRPr="00180487">
        <w:rPr>
          <w:iCs/>
        </w:rPr>
        <w:t xml:space="preserve">pecial </w:t>
      </w:r>
      <w:r w:rsidR="00170C96">
        <w:rPr>
          <w:iCs/>
        </w:rPr>
        <w:t>p</w:t>
      </w:r>
      <w:r w:rsidR="00A77769" w:rsidRPr="00180487">
        <w:rPr>
          <w:iCs/>
        </w:rPr>
        <w:t>rovision TExy of 6.8.4 (b) applicable as from 1 January 2023 may continue to be used</w:t>
      </w:r>
      <w:r w:rsidR="007A209A" w:rsidRPr="00834E72">
        <w:rPr>
          <w:iCs/>
          <w:strike/>
        </w:rPr>
        <w:t xml:space="preserve">. </w:t>
      </w:r>
      <w:r w:rsidR="00A77769" w:rsidRPr="00834E72">
        <w:rPr>
          <w:iCs/>
          <w:strike/>
        </w:rPr>
        <w:t xml:space="preserve"> for UN 1966 and may continue to be used for UN </w:t>
      </w:r>
      <w:r w:rsidR="00445966" w:rsidRPr="00834E72">
        <w:rPr>
          <w:iCs/>
          <w:strike/>
        </w:rPr>
        <w:t>N</w:t>
      </w:r>
      <w:r w:rsidR="00A77769" w:rsidRPr="00834E72">
        <w:rPr>
          <w:iCs/>
          <w:strike/>
        </w:rPr>
        <w:t>os</w:t>
      </w:r>
      <w:r w:rsidR="00445966" w:rsidRPr="00834E72">
        <w:rPr>
          <w:iCs/>
          <w:strike/>
        </w:rPr>
        <w:t>.</w:t>
      </w:r>
      <w:r w:rsidR="00A77769" w:rsidRPr="00834E72">
        <w:rPr>
          <w:iCs/>
          <w:strike/>
        </w:rPr>
        <w:t xml:space="preserve"> 1961, 1972 and 3312 until the </w:t>
      </w:r>
      <w:r w:rsidR="007F33D3" w:rsidRPr="00834E72">
        <w:rPr>
          <w:iCs/>
          <w:strike/>
          <w:highlight w:val="yellow"/>
        </w:rPr>
        <w:t>next</w:t>
      </w:r>
      <w:r w:rsidR="007F33D3" w:rsidRPr="00834E72">
        <w:rPr>
          <w:iCs/>
          <w:strike/>
        </w:rPr>
        <w:t xml:space="preserve"> </w:t>
      </w:r>
      <w:r w:rsidR="00A77769" w:rsidRPr="00834E72">
        <w:rPr>
          <w:iCs/>
          <w:strike/>
          <w:color w:val="FF0000"/>
        </w:rPr>
        <w:t>first</w:t>
      </w:r>
      <w:r w:rsidR="00A77769" w:rsidRPr="00834E72">
        <w:rPr>
          <w:iCs/>
          <w:strike/>
        </w:rPr>
        <w:t xml:space="preserve"> periodic inspection after 1 January 2025 </w:t>
      </w:r>
      <w:r w:rsidR="00A77769" w:rsidRPr="00834E72">
        <w:rPr>
          <w:iCs/>
          <w:strike/>
          <w:color w:val="FF0000"/>
        </w:rPr>
        <w:t xml:space="preserve">according to 6.8.3.4.6 </w:t>
      </w:r>
      <w:r w:rsidR="00A77769" w:rsidRPr="00834E72">
        <w:rPr>
          <w:iCs/>
          <w:strike/>
        </w:rPr>
        <w:t>is performed.</w:t>
      </w:r>
      <w:r w:rsidRPr="00834E72">
        <w:rPr>
          <w:iCs/>
          <w:strike/>
        </w:rPr>
        <w:t>”</w:t>
      </w:r>
    </w:p>
    <w:p w14:paraId="3DA7046B" w14:textId="2B9CBC3D" w:rsidR="00170C96" w:rsidRPr="00834E72" w:rsidRDefault="00170C96" w:rsidP="00180487">
      <w:pPr>
        <w:snapToGrid w:val="0"/>
        <w:spacing w:before="120" w:after="120" w:line="240" w:lineRule="auto"/>
        <w:ind w:left="1134" w:right="1134"/>
        <w:jc w:val="both"/>
        <w:rPr>
          <w:iCs/>
          <w:strike/>
          <w:u w:val="single"/>
        </w:rPr>
      </w:pPr>
      <w:r>
        <w:rPr>
          <w:iCs/>
        </w:rPr>
        <w:t>"1.6.4.y</w:t>
      </w:r>
      <w:r>
        <w:rPr>
          <w:iCs/>
        </w:rPr>
        <w:tab/>
        <w:t xml:space="preserve">Tank-containers </w:t>
      </w:r>
      <w:r w:rsidRPr="00D218C1">
        <w:rPr>
          <w:iCs/>
        </w:rPr>
        <w:t>constructed before 1 July 2023 in accordance with the requirements in force up to 31 December 2022, but which do not, how</w:t>
      </w:r>
      <w:r w:rsidR="00C768EB">
        <w:rPr>
          <w:iCs/>
        </w:rPr>
        <w:t>ever, meet the requirements of special p</w:t>
      </w:r>
      <w:r w:rsidRPr="00D218C1">
        <w:rPr>
          <w:iCs/>
        </w:rPr>
        <w:t>rovision TExy of 6.8.4 (b) applicable as from 1 January 2023 may continue to be used</w:t>
      </w:r>
      <w:r w:rsidR="00054310">
        <w:rPr>
          <w:iCs/>
        </w:rPr>
        <w:t xml:space="preserve">. </w:t>
      </w:r>
      <w:r w:rsidRPr="00D218C1">
        <w:rPr>
          <w:iCs/>
        </w:rPr>
        <w:t xml:space="preserve"> </w:t>
      </w:r>
      <w:r w:rsidRPr="00054310">
        <w:rPr>
          <w:iCs/>
          <w:strike/>
        </w:rPr>
        <w:t>for UN 1966 and may continue to be used</w:t>
      </w:r>
      <w:r w:rsidR="00834E72" w:rsidRPr="00054310">
        <w:rPr>
          <w:iCs/>
          <w:strike/>
        </w:rPr>
        <w:t>.</w:t>
      </w:r>
      <w:r w:rsidRPr="00054310">
        <w:rPr>
          <w:iCs/>
          <w:strike/>
        </w:rPr>
        <w:t xml:space="preserve"> for</w:t>
      </w:r>
      <w:r w:rsidRPr="00834E72">
        <w:rPr>
          <w:iCs/>
          <w:strike/>
        </w:rPr>
        <w:t xml:space="preserve"> UN Nos. 1961, 1972 and 3312 until the </w:t>
      </w:r>
      <w:r w:rsidR="007F33D3" w:rsidRPr="00834E72">
        <w:rPr>
          <w:iCs/>
          <w:strike/>
          <w:highlight w:val="yellow"/>
        </w:rPr>
        <w:t>next</w:t>
      </w:r>
      <w:r w:rsidR="007F33D3" w:rsidRPr="00834E72">
        <w:rPr>
          <w:iCs/>
          <w:strike/>
        </w:rPr>
        <w:t xml:space="preserve"> </w:t>
      </w:r>
      <w:r w:rsidRPr="00834E72">
        <w:rPr>
          <w:iCs/>
          <w:strike/>
          <w:color w:val="FF0000"/>
        </w:rPr>
        <w:t>first</w:t>
      </w:r>
      <w:r w:rsidRPr="00834E72">
        <w:rPr>
          <w:iCs/>
          <w:strike/>
        </w:rPr>
        <w:t xml:space="preserve"> periodic inspection after 1 January 2025 </w:t>
      </w:r>
      <w:r w:rsidRPr="00834E72">
        <w:rPr>
          <w:iCs/>
          <w:strike/>
          <w:color w:val="FF0000"/>
        </w:rPr>
        <w:t xml:space="preserve">according to 6.8.3.4.6 </w:t>
      </w:r>
      <w:r w:rsidRPr="00834E72">
        <w:rPr>
          <w:iCs/>
          <w:strike/>
        </w:rPr>
        <w:t>is performed.”</w:t>
      </w:r>
    </w:p>
    <w:p w14:paraId="14ECC5C5" w14:textId="0E123F97" w:rsidR="00A77769" w:rsidRPr="000D2B9C" w:rsidRDefault="00740100" w:rsidP="009D5005">
      <w:pPr>
        <w:pStyle w:val="HChG"/>
        <w:spacing w:before="240" w:line="240" w:lineRule="auto"/>
      </w:pPr>
      <w:r>
        <w:tab/>
      </w:r>
      <w:r>
        <w:tab/>
      </w:r>
    </w:p>
    <w:p w14:paraId="72BF1F58" w14:textId="480D5ED2" w:rsidR="001C6663" w:rsidRPr="0080417C" w:rsidRDefault="0080417C" w:rsidP="008041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80417C" w:rsidSect="005B0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1473" w14:textId="77777777" w:rsidR="003E1E0E" w:rsidRDefault="003E1E0E"/>
  </w:endnote>
  <w:endnote w:type="continuationSeparator" w:id="0">
    <w:p w14:paraId="30F45ADA" w14:textId="77777777" w:rsidR="003E1E0E" w:rsidRDefault="003E1E0E"/>
  </w:endnote>
  <w:endnote w:type="continuationNotice" w:id="1">
    <w:p w14:paraId="38DE833A" w14:textId="77777777" w:rsidR="003E1E0E" w:rsidRDefault="003E1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855C" w14:textId="1E19AC87" w:rsidR="005B00F2" w:rsidRPr="005B00F2" w:rsidRDefault="005B00F2" w:rsidP="005B00F2">
    <w:pPr>
      <w:pStyle w:val="Footer"/>
      <w:tabs>
        <w:tab w:val="right" w:pos="9638"/>
      </w:tabs>
      <w:rPr>
        <w:sz w:val="18"/>
      </w:rPr>
    </w:pPr>
    <w:r w:rsidRPr="005B00F2">
      <w:rPr>
        <w:b/>
        <w:sz w:val="18"/>
      </w:rPr>
      <w:fldChar w:fldCharType="begin"/>
    </w:r>
    <w:r w:rsidRPr="005B00F2">
      <w:rPr>
        <w:b/>
        <w:sz w:val="18"/>
      </w:rPr>
      <w:instrText xml:space="preserve"> PAGE  \* MERGEFORMAT </w:instrText>
    </w:r>
    <w:r w:rsidRPr="005B00F2">
      <w:rPr>
        <w:b/>
        <w:sz w:val="18"/>
      </w:rPr>
      <w:fldChar w:fldCharType="separate"/>
    </w:r>
    <w:r w:rsidR="009C5684">
      <w:rPr>
        <w:b/>
        <w:noProof/>
        <w:sz w:val="18"/>
      </w:rPr>
      <w:t>2</w:t>
    </w:r>
    <w:r w:rsidRPr="005B00F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74BA" w14:textId="6794FE37" w:rsidR="005B00F2" w:rsidRPr="005B00F2" w:rsidRDefault="005B00F2" w:rsidP="005B00F2">
    <w:pPr>
      <w:pStyle w:val="Footer"/>
      <w:tabs>
        <w:tab w:val="right" w:pos="9638"/>
      </w:tabs>
      <w:rPr>
        <w:b/>
        <w:sz w:val="18"/>
      </w:rPr>
    </w:pPr>
    <w:r>
      <w:tab/>
    </w:r>
    <w:r w:rsidRPr="005B00F2">
      <w:rPr>
        <w:b/>
        <w:sz w:val="18"/>
      </w:rPr>
      <w:fldChar w:fldCharType="begin"/>
    </w:r>
    <w:r w:rsidRPr="005B00F2">
      <w:rPr>
        <w:b/>
        <w:sz w:val="18"/>
      </w:rPr>
      <w:instrText xml:space="preserve"> PAGE  \* MERGEFORMAT </w:instrText>
    </w:r>
    <w:r w:rsidRPr="005B00F2">
      <w:rPr>
        <w:b/>
        <w:sz w:val="18"/>
      </w:rPr>
      <w:fldChar w:fldCharType="separate"/>
    </w:r>
    <w:r w:rsidR="00A12A4F">
      <w:rPr>
        <w:b/>
        <w:noProof/>
        <w:sz w:val="18"/>
      </w:rPr>
      <w:t>3</w:t>
    </w:r>
    <w:r w:rsidRPr="005B00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8D16" w14:textId="77777777" w:rsidR="009C5684" w:rsidRDefault="009C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A125" w14:textId="77777777" w:rsidR="003E1E0E" w:rsidRPr="000B175B" w:rsidRDefault="003E1E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331002" w14:textId="77777777" w:rsidR="003E1E0E" w:rsidRPr="00FC68B7" w:rsidRDefault="003E1E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580021" w14:textId="77777777" w:rsidR="003E1E0E" w:rsidRDefault="003E1E0E"/>
  </w:footnote>
  <w:footnote w:id="2">
    <w:p w14:paraId="5AE7A029" w14:textId="77777777" w:rsidR="0080417C" w:rsidRDefault="0080417C" w:rsidP="0080417C">
      <w:pPr>
        <w:pStyle w:val="FootnoteText"/>
        <w:rPr>
          <w:sz w:val="20"/>
        </w:rPr>
      </w:pPr>
      <w:r>
        <w:rPr>
          <w:sz w:val="20"/>
        </w:rP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A/76/6 (Sect.20), para. 20.76.</w:t>
      </w:r>
    </w:p>
  </w:footnote>
  <w:footnote w:id="3">
    <w:p w14:paraId="02F8379D" w14:textId="0D3C3B8E" w:rsidR="0080417C" w:rsidRDefault="0080417C" w:rsidP="0080417C">
      <w:pPr>
        <w:pStyle w:val="FootnoteText"/>
        <w:rPr>
          <w:sz w:val="20"/>
        </w:rPr>
      </w:pPr>
      <w:r>
        <w:rPr>
          <w:rStyle w:val="FootnoteReference"/>
          <w:sz w:val="20"/>
        </w:rPr>
        <w:tab/>
        <w:t>**</w:t>
      </w:r>
      <w:r>
        <w:rPr>
          <w:sz w:val="20"/>
        </w:rPr>
        <w:tab/>
      </w:r>
      <w:r>
        <w:rPr>
          <w:sz w:val="20"/>
        </w:rPr>
        <w:tab/>
      </w:r>
      <w:r>
        <w:t>Circulated by the Intergovernmental Organisation for International Carriage by Rail (OTIF) under the symbol OTIF/RID/</w:t>
      </w:r>
      <w:r w:rsidRPr="00204229">
        <w:rPr>
          <w:highlight w:val="yellow"/>
        </w:rPr>
        <w:t>RC/2022/16.</w:t>
      </w:r>
    </w:p>
  </w:footnote>
  <w:footnote w:id="4">
    <w:p w14:paraId="077A3909" w14:textId="77777777" w:rsidR="0080417C" w:rsidRPr="00E92690" w:rsidRDefault="0080417C" w:rsidP="0080417C">
      <w:pPr>
        <w:pStyle w:val="FootnoteText"/>
        <w:ind w:hanging="283"/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 xml:space="preserve"> </w:t>
      </w:r>
      <w:r>
        <w:rPr>
          <w:szCs w:val="18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0F93" w14:textId="22A20035" w:rsidR="005B00F2" w:rsidRPr="009C5684" w:rsidRDefault="009C5684">
    <w:pPr>
      <w:pStyle w:val="Header"/>
      <w:rPr>
        <w:lang w:val="de-CH"/>
      </w:rPr>
    </w:pPr>
    <w:r>
      <w:rPr>
        <w:lang w:val="de-CH"/>
      </w:rPr>
      <w:t>INF.34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8CED" w14:textId="32B567C8" w:rsidR="005B00F2" w:rsidRPr="005B00F2" w:rsidRDefault="003E1E0E" w:rsidP="005B00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00F2">
      <w:t>ECE/TRANS/WP.15/AC.1/2022/16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2DB2" w14:textId="77777777" w:rsidR="009C5684" w:rsidRDefault="009C5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881669"/>
    <w:multiLevelType w:val="hybridMultilevel"/>
    <w:tmpl w:val="C112802E"/>
    <w:lvl w:ilvl="0" w:tplc="103665C6">
      <w:start w:val="1"/>
      <w:numFmt w:val="decimal"/>
      <w:lvlText w:val="%1."/>
      <w:lvlJc w:val="left"/>
      <w:pPr>
        <w:ind w:left="1710" w:hanging="576"/>
      </w:p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>
      <w:start w:val="1"/>
      <w:numFmt w:val="lowerRoman"/>
      <w:lvlText w:val="%3."/>
      <w:lvlJc w:val="right"/>
      <w:pPr>
        <w:ind w:left="2934" w:hanging="180"/>
      </w:pPr>
    </w:lvl>
    <w:lvl w:ilvl="3" w:tplc="0413000F">
      <w:start w:val="1"/>
      <w:numFmt w:val="decimal"/>
      <w:lvlText w:val="%4."/>
      <w:lvlJc w:val="left"/>
      <w:pPr>
        <w:ind w:left="3654" w:hanging="360"/>
      </w:pPr>
    </w:lvl>
    <w:lvl w:ilvl="4" w:tplc="04130019">
      <w:start w:val="1"/>
      <w:numFmt w:val="lowerLetter"/>
      <w:lvlText w:val="%5."/>
      <w:lvlJc w:val="left"/>
      <w:pPr>
        <w:ind w:left="4374" w:hanging="360"/>
      </w:pPr>
    </w:lvl>
    <w:lvl w:ilvl="5" w:tplc="0413001B">
      <w:start w:val="1"/>
      <w:numFmt w:val="lowerRoman"/>
      <w:lvlText w:val="%6."/>
      <w:lvlJc w:val="right"/>
      <w:pPr>
        <w:ind w:left="5094" w:hanging="180"/>
      </w:pPr>
    </w:lvl>
    <w:lvl w:ilvl="6" w:tplc="0413000F">
      <w:start w:val="1"/>
      <w:numFmt w:val="decimal"/>
      <w:lvlText w:val="%7."/>
      <w:lvlJc w:val="left"/>
      <w:pPr>
        <w:ind w:left="5814" w:hanging="360"/>
      </w:pPr>
    </w:lvl>
    <w:lvl w:ilvl="7" w:tplc="04130019">
      <w:start w:val="1"/>
      <w:numFmt w:val="lowerLetter"/>
      <w:lvlText w:val="%8."/>
      <w:lvlJc w:val="left"/>
      <w:pPr>
        <w:ind w:left="6534" w:hanging="360"/>
      </w:pPr>
    </w:lvl>
    <w:lvl w:ilvl="8" w:tplc="0413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2"/>
    <w:rsid w:val="00002A7D"/>
    <w:rsid w:val="000038A8"/>
    <w:rsid w:val="00006790"/>
    <w:rsid w:val="00011414"/>
    <w:rsid w:val="00027624"/>
    <w:rsid w:val="00050F6B"/>
    <w:rsid w:val="00054310"/>
    <w:rsid w:val="000678CD"/>
    <w:rsid w:val="00072C8C"/>
    <w:rsid w:val="0007305F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D2B9C"/>
    <w:rsid w:val="000E0415"/>
    <w:rsid w:val="000F7715"/>
    <w:rsid w:val="0014402A"/>
    <w:rsid w:val="00153056"/>
    <w:rsid w:val="00156B99"/>
    <w:rsid w:val="00166124"/>
    <w:rsid w:val="00170C96"/>
    <w:rsid w:val="00180487"/>
    <w:rsid w:val="00184DDA"/>
    <w:rsid w:val="001900CD"/>
    <w:rsid w:val="00191F48"/>
    <w:rsid w:val="00195EDD"/>
    <w:rsid w:val="001A0452"/>
    <w:rsid w:val="001B4B04"/>
    <w:rsid w:val="001B5875"/>
    <w:rsid w:val="001B5E50"/>
    <w:rsid w:val="001C4B9C"/>
    <w:rsid w:val="001C6663"/>
    <w:rsid w:val="001C7895"/>
    <w:rsid w:val="001D26DF"/>
    <w:rsid w:val="001D2948"/>
    <w:rsid w:val="001F1599"/>
    <w:rsid w:val="001F19C4"/>
    <w:rsid w:val="001F60A8"/>
    <w:rsid w:val="00204229"/>
    <w:rsid w:val="002043F0"/>
    <w:rsid w:val="00211E0B"/>
    <w:rsid w:val="00212648"/>
    <w:rsid w:val="00232575"/>
    <w:rsid w:val="00233DC2"/>
    <w:rsid w:val="00247258"/>
    <w:rsid w:val="00257CAC"/>
    <w:rsid w:val="00264441"/>
    <w:rsid w:val="0027237A"/>
    <w:rsid w:val="00296F39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23AE9"/>
    <w:rsid w:val="00336C97"/>
    <w:rsid w:val="00337F88"/>
    <w:rsid w:val="00342432"/>
    <w:rsid w:val="0035223F"/>
    <w:rsid w:val="00352D4B"/>
    <w:rsid w:val="0035638C"/>
    <w:rsid w:val="00356588"/>
    <w:rsid w:val="0038348C"/>
    <w:rsid w:val="00397E38"/>
    <w:rsid w:val="003A46BB"/>
    <w:rsid w:val="003A4EC7"/>
    <w:rsid w:val="003A7295"/>
    <w:rsid w:val="003B1F60"/>
    <w:rsid w:val="003C2CC4"/>
    <w:rsid w:val="003D41D6"/>
    <w:rsid w:val="003D4B23"/>
    <w:rsid w:val="003E1E0E"/>
    <w:rsid w:val="003E278A"/>
    <w:rsid w:val="00404758"/>
    <w:rsid w:val="00413520"/>
    <w:rsid w:val="00417B02"/>
    <w:rsid w:val="00426FF0"/>
    <w:rsid w:val="004325CB"/>
    <w:rsid w:val="00440A07"/>
    <w:rsid w:val="00445966"/>
    <w:rsid w:val="00462880"/>
    <w:rsid w:val="00476F24"/>
    <w:rsid w:val="00477C8A"/>
    <w:rsid w:val="004B0340"/>
    <w:rsid w:val="004C49FF"/>
    <w:rsid w:val="004C55B0"/>
    <w:rsid w:val="004D292A"/>
    <w:rsid w:val="004E0FA2"/>
    <w:rsid w:val="004F6BA0"/>
    <w:rsid w:val="00503BEA"/>
    <w:rsid w:val="0051006F"/>
    <w:rsid w:val="00517715"/>
    <w:rsid w:val="00533616"/>
    <w:rsid w:val="00535ABA"/>
    <w:rsid w:val="0053768B"/>
    <w:rsid w:val="005420F2"/>
    <w:rsid w:val="0054285C"/>
    <w:rsid w:val="005665A5"/>
    <w:rsid w:val="00566F0E"/>
    <w:rsid w:val="005831EB"/>
    <w:rsid w:val="00584173"/>
    <w:rsid w:val="00595520"/>
    <w:rsid w:val="00597AFD"/>
    <w:rsid w:val="005A44B9"/>
    <w:rsid w:val="005B00F2"/>
    <w:rsid w:val="005B1BA0"/>
    <w:rsid w:val="005B3DB3"/>
    <w:rsid w:val="005B4985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1EE2"/>
    <w:rsid w:val="006770B2"/>
    <w:rsid w:val="00686A48"/>
    <w:rsid w:val="006940E1"/>
    <w:rsid w:val="006A3C72"/>
    <w:rsid w:val="006A462C"/>
    <w:rsid w:val="006A7392"/>
    <w:rsid w:val="006B03A1"/>
    <w:rsid w:val="006B67D9"/>
    <w:rsid w:val="006C5535"/>
    <w:rsid w:val="006D0589"/>
    <w:rsid w:val="006D4206"/>
    <w:rsid w:val="006E564B"/>
    <w:rsid w:val="006E7154"/>
    <w:rsid w:val="007003CD"/>
    <w:rsid w:val="0070701E"/>
    <w:rsid w:val="00710CC7"/>
    <w:rsid w:val="00723AB1"/>
    <w:rsid w:val="0072632A"/>
    <w:rsid w:val="007358E8"/>
    <w:rsid w:val="00736ECE"/>
    <w:rsid w:val="00740100"/>
    <w:rsid w:val="0074533B"/>
    <w:rsid w:val="007643BC"/>
    <w:rsid w:val="00780C68"/>
    <w:rsid w:val="007959FE"/>
    <w:rsid w:val="007A0CF1"/>
    <w:rsid w:val="007A209A"/>
    <w:rsid w:val="007A478E"/>
    <w:rsid w:val="007B6BA5"/>
    <w:rsid w:val="007C3390"/>
    <w:rsid w:val="007C42D8"/>
    <w:rsid w:val="007C4F4B"/>
    <w:rsid w:val="007C4FE2"/>
    <w:rsid w:val="007D65E8"/>
    <w:rsid w:val="007D7362"/>
    <w:rsid w:val="007F2ABA"/>
    <w:rsid w:val="007F33D3"/>
    <w:rsid w:val="007F5CE2"/>
    <w:rsid w:val="007F6611"/>
    <w:rsid w:val="00800522"/>
    <w:rsid w:val="0080353A"/>
    <w:rsid w:val="0080417C"/>
    <w:rsid w:val="00804781"/>
    <w:rsid w:val="00804A3D"/>
    <w:rsid w:val="00810BAC"/>
    <w:rsid w:val="008175E9"/>
    <w:rsid w:val="008242D7"/>
    <w:rsid w:val="0082577B"/>
    <w:rsid w:val="008263ED"/>
    <w:rsid w:val="008272DD"/>
    <w:rsid w:val="00834E72"/>
    <w:rsid w:val="00845E5E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075E"/>
    <w:rsid w:val="00926E47"/>
    <w:rsid w:val="00947162"/>
    <w:rsid w:val="0095778D"/>
    <w:rsid w:val="009610D0"/>
    <w:rsid w:val="0096375C"/>
    <w:rsid w:val="009662E6"/>
    <w:rsid w:val="0097095E"/>
    <w:rsid w:val="00977EAD"/>
    <w:rsid w:val="0098592B"/>
    <w:rsid w:val="00985FC4"/>
    <w:rsid w:val="00990766"/>
    <w:rsid w:val="00991261"/>
    <w:rsid w:val="009964C4"/>
    <w:rsid w:val="009A7B81"/>
    <w:rsid w:val="009B67B6"/>
    <w:rsid w:val="009B7635"/>
    <w:rsid w:val="009C5684"/>
    <w:rsid w:val="009D01C0"/>
    <w:rsid w:val="009D5005"/>
    <w:rsid w:val="009D6A08"/>
    <w:rsid w:val="009E0A16"/>
    <w:rsid w:val="009E6CB7"/>
    <w:rsid w:val="009E7970"/>
    <w:rsid w:val="009F2EAC"/>
    <w:rsid w:val="009F57E3"/>
    <w:rsid w:val="00A10F4F"/>
    <w:rsid w:val="00A11067"/>
    <w:rsid w:val="00A12A4F"/>
    <w:rsid w:val="00A1704A"/>
    <w:rsid w:val="00A3022E"/>
    <w:rsid w:val="00A31804"/>
    <w:rsid w:val="00A425EB"/>
    <w:rsid w:val="00A526A4"/>
    <w:rsid w:val="00A57EAD"/>
    <w:rsid w:val="00A60DD8"/>
    <w:rsid w:val="00A72F05"/>
    <w:rsid w:val="00A72F22"/>
    <w:rsid w:val="00A733BC"/>
    <w:rsid w:val="00A748A6"/>
    <w:rsid w:val="00A76A69"/>
    <w:rsid w:val="00A77769"/>
    <w:rsid w:val="00A879A4"/>
    <w:rsid w:val="00AA0FF8"/>
    <w:rsid w:val="00AC0F2C"/>
    <w:rsid w:val="00AC502A"/>
    <w:rsid w:val="00AF58C1"/>
    <w:rsid w:val="00B04A3F"/>
    <w:rsid w:val="00B06643"/>
    <w:rsid w:val="00B13BE4"/>
    <w:rsid w:val="00B15055"/>
    <w:rsid w:val="00B20551"/>
    <w:rsid w:val="00B234E0"/>
    <w:rsid w:val="00B30179"/>
    <w:rsid w:val="00B33FC7"/>
    <w:rsid w:val="00B37B15"/>
    <w:rsid w:val="00B42017"/>
    <w:rsid w:val="00B45C02"/>
    <w:rsid w:val="00B66D0B"/>
    <w:rsid w:val="00B70B63"/>
    <w:rsid w:val="00B72A1E"/>
    <w:rsid w:val="00B81E12"/>
    <w:rsid w:val="00BA339B"/>
    <w:rsid w:val="00BB23CC"/>
    <w:rsid w:val="00BC0EBE"/>
    <w:rsid w:val="00BC1E7E"/>
    <w:rsid w:val="00BC74E9"/>
    <w:rsid w:val="00BD566E"/>
    <w:rsid w:val="00BE36A9"/>
    <w:rsid w:val="00BE618E"/>
    <w:rsid w:val="00BE7BEC"/>
    <w:rsid w:val="00BF0A5A"/>
    <w:rsid w:val="00BF0E63"/>
    <w:rsid w:val="00BF12A3"/>
    <w:rsid w:val="00BF16D7"/>
    <w:rsid w:val="00BF2373"/>
    <w:rsid w:val="00BF2ED7"/>
    <w:rsid w:val="00C0294F"/>
    <w:rsid w:val="00C044E2"/>
    <w:rsid w:val="00C048CB"/>
    <w:rsid w:val="00C066F3"/>
    <w:rsid w:val="00C408B7"/>
    <w:rsid w:val="00C411EB"/>
    <w:rsid w:val="00C463DD"/>
    <w:rsid w:val="00C647D6"/>
    <w:rsid w:val="00C745C3"/>
    <w:rsid w:val="00C768EB"/>
    <w:rsid w:val="00C82422"/>
    <w:rsid w:val="00C978F5"/>
    <w:rsid w:val="00CA24A4"/>
    <w:rsid w:val="00CA6B72"/>
    <w:rsid w:val="00CB1F0F"/>
    <w:rsid w:val="00CB23FF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2D03"/>
    <w:rsid w:val="00D704E5"/>
    <w:rsid w:val="00D72727"/>
    <w:rsid w:val="00D978A8"/>
    <w:rsid w:val="00D978C6"/>
    <w:rsid w:val="00DA0956"/>
    <w:rsid w:val="00DA357F"/>
    <w:rsid w:val="00DA3E12"/>
    <w:rsid w:val="00DC18AD"/>
    <w:rsid w:val="00DD1C47"/>
    <w:rsid w:val="00DF7CAE"/>
    <w:rsid w:val="00E423C0"/>
    <w:rsid w:val="00E54FE8"/>
    <w:rsid w:val="00E6414C"/>
    <w:rsid w:val="00E7260F"/>
    <w:rsid w:val="00E8702D"/>
    <w:rsid w:val="00E905F4"/>
    <w:rsid w:val="00E916A9"/>
    <w:rsid w:val="00E916DE"/>
    <w:rsid w:val="00E925AD"/>
    <w:rsid w:val="00E92690"/>
    <w:rsid w:val="00E96630"/>
    <w:rsid w:val="00EB5C95"/>
    <w:rsid w:val="00ED18DC"/>
    <w:rsid w:val="00ED6201"/>
    <w:rsid w:val="00ED7A2A"/>
    <w:rsid w:val="00EE0303"/>
    <w:rsid w:val="00EE150C"/>
    <w:rsid w:val="00EE4DDF"/>
    <w:rsid w:val="00EF1D7F"/>
    <w:rsid w:val="00F0137E"/>
    <w:rsid w:val="00F077A2"/>
    <w:rsid w:val="00F21786"/>
    <w:rsid w:val="00F25A15"/>
    <w:rsid w:val="00F3742B"/>
    <w:rsid w:val="00F40373"/>
    <w:rsid w:val="00F41FDB"/>
    <w:rsid w:val="00F50596"/>
    <w:rsid w:val="00F56B83"/>
    <w:rsid w:val="00F56D63"/>
    <w:rsid w:val="00F609A9"/>
    <w:rsid w:val="00F72BAF"/>
    <w:rsid w:val="00F80C99"/>
    <w:rsid w:val="00F867EC"/>
    <w:rsid w:val="00F91B2B"/>
    <w:rsid w:val="00FA3F80"/>
    <w:rsid w:val="00FC03CD"/>
    <w:rsid w:val="00FC0646"/>
    <w:rsid w:val="00FC68B7"/>
    <w:rsid w:val="00FE6985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9F3AE"/>
  <w15:docId w15:val="{936D13E1-6F7B-488C-81E7-40D25AD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A77769"/>
    <w:pPr>
      <w:ind w:left="720"/>
      <w:contextualSpacing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0417C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F9F6A-A5BF-4A97-8236-48B07C2DC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AB8A38-B533-49D6-AF77-C70C303F1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68DCC-1918-406D-A026-92854B254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C9D34-912E-419F-AC91-E162E13B7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ECE/TRANS/WP.15/AC.1/2022/16</vt:lpstr>
      <vt:lpstr/>
      <vt:lpstr>United Nations</vt:lpstr>
    </vt:vector>
  </TitlesOfParts>
  <Company>CSD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ECE/TRANS/WP.15/AC.1/2022/16</dc:title>
  <dc:creator>Christine Barrio-Champeau</dc:creator>
  <cp:lastModifiedBy>Christine Barrio-Champeau</cp:lastModifiedBy>
  <cp:revision>3</cp:revision>
  <cp:lastPrinted>2009-02-18T09:36:00Z</cp:lastPrinted>
  <dcterms:created xsi:type="dcterms:W3CDTF">2022-03-14T15:09:00Z</dcterms:created>
  <dcterms:modified xsi:type="dcterms:W3CDTF">2022-03-14T15:11:00Z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