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3AE2D967" w:rsidR="00215A1B" w:rsidRPr="00560572" w:rsidRDefault="00215A1B" w:rsidP="009C15C1">
      <w:pPr>
        <w:tabs>
          <w:tab w:val="left" w:pos="7470"/>
        </w:tabs>
        <w:spacing w:before="120" w:after="0" w:line="240" w:lineRule="atLeast"/>
        <w:ind w:right="819"/>
        <w:rPr>
          <w:b/>
          <w:szCs w:val="24"/>
        </w:rPr>
      </w:pPr>
      <w:r w:rsidRPr="00560572">
        <w:rPr>
          <w:b/>
          <w:szCs w:val="24"/>
        </w:rPr>
        <w:t>Working Party on the Transport of Dangerous Goods</w:t>
      </w:r>
      <w:r w:rsidR="001C3A25" w:rsidRPr="00560572">
        <w:rPr>
          <w:b/>
          <w:szCs w:val="24"/>
        </w:rPr>
        <w:tab/>
      </w:r>
      <w:r w:rsidR="00A92AF7">
        <w:rPr>
          <w:b/>
        </w:rPr>
        <w:t>1</w:t>
      </w:r>
      <w:r w:rsidR="0071017C">
        <w:rPr>
          <w:b/>
        </w:rPr>
        <w:t>2</w:t>
      </w:r>
      <w:r w:rsidR="00E62258">
        <w:rPr>
          <w:b/>
        </w:rPr>
        <w:t xml:space="preserve"> </w:t>
      </w:r>
      <w:r w:rsidR="00A92AF7">
        <w:rPr>
          <w:b/>
        </w:rPr>
        <w:t xml:space="preserve">March </w:t>
      </w:r>
      <w:r w:rsidR="00FA3269">
        <w:rPr>
          <w:b/>
        </w:rPr>
        <w:t>20</w:t>
      </w:r>
      <w:r w:rsidR="0073337B">
        <w:rPr>
          <w:b/>
        </w:rPr>
        <w:t>2</w:t>
      </w:r>
      <w:r w:rsidR="000E1168">
        <w:rPr>
          <w:b/>
        </w:rPr>
        <w:t>2</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5F80C607" w14:textId="3284D93D" w:rsidR="006643C6" w:rsidRPr="00CA6540" w:rsidRDefault="00097793" w:rsidP="00DC584A">
      <w:pPr>
        <w:spacing w:after="0" w:line="240" w:lineRule="atLeast"/>
        <w:rPr>
          <w:b/>
          <w:bCs/>
        </w:rPr>
      </w:pPr>
      <w:r w:rsidRPr="00560572">
        <w:t>Geneva</w:t>
      </w:r>
      <w:r w:rsidR="00215A1B" w:rsidRPr="00560572">
        <w:t xml:space="preserve">, </w:t>
      </w:r>
      <w:r w:rsidR="008C00E4">
        <w:t>14</w:t>
      </w:r>
      <w:r w:rsidRPr="00560572">
        <w:t xml:space="preserve"> </w:t>
      </w:r>
      <w:r w:rsidR="0073337B">
        <w:t xml:space="preserve">– </w:t>
      </w:r>
      <w:r w:rsidR="008C00E4">
        <w:t>18</w:t>
      </w:r>
      <w:r w:rsidR="0073337B">
        <w:t xml:space="preserve"> </w:t>
      </w:r>
      <w:r w:rsidR="008C00E4">
        <w:t>March</w:t>
      </w:r>
      <w:r w:rsidR="0073337B">
        <w:t xml:space="preserve"> </w:t>
      </w:r>
      <w:r w:rsidR="00FA3269">
        <w:t>20</w:t>
      </w:r>
      <w:r w:rsidR="0073337B">
        <w:t>2</w:t>
      </w:r>
      <w:r w:rsidR="008C00E4">
        <w:t>2</w:t>
      </w:r>
      <w:r w:rsidR="00215A1B" w:rsidRPr="00560572">
        <w:br/>
        <w:t xml:space="preserve">Item </w:t>
      </w:r>
      <w:r w:rsidR="00BE5463">
        <w:t>4</w:t>
      </w:r>
      <w:r w:rsidR="00215A1B" w:rsidRPr="00560572">
        <w:t xml:space="preserve"> of the provisional agenda</w:t>
      </w:r>
      <w:r w:rsidR="00AD79E9">
        <w:t>:</w:t>
      </w:r>
      <w:r w:rsidR="00215A1B" w:rsidRPr="00560572">
        <w:br/>
      </w:r>
      <w:r w:rsidR="00A92AF7" w:rsidRPr="00A92AF7">
        <w:rPr>
          <w:b/>
          <w:bCs/>
        </w:rPr>
        <w:t>Interpretation of RID/ADR/ADN</w:t>
      </w:r>
    </w:p>
    <w:p w14:paraId="6A39DE1F" w14:textId="2EC94757" w:rsidR="00857A4B" w:rsidRDefault="009A2381" w:rsidP="009A2381">
      <w:pPr>
        <w:pStyle w:val="HChG"/>
      </w:pPr>
      <w:r>
        <w:tab/>
      </w:r>
      <w:r>
        <w:tab/>
      </w:r>
      <w:r w:rsidR="00A92AF7">
        <w:t xml:space="preserve">Interpretation </w:t>
      </w:r>
      <w:r w:rsidR="000E0EF4">
        <w:t>–</w:t>
      </w:r>
      <w:r w:rsidR="00603A98">
        <w:t xml:space="preserve"> </w:t>
      </w:r>
      <w:r w:rsidR="0023481B">
        <w:t>Online g</w:t>
      </w:r>
      <w:r w:rsidR="00B135B1">
        <w:t xml:space="preserve">rocery </w:t>
      </w:r>
      <w:r w:rsidR="00A31669">
        <w:t>d</w:t>
      </w:r>
      <w:r w:rsidR="00603A98">
        <w:t xml:space="preserve">elivery </w:t>
      </w:r>
      <w:r w:rsidR="00B135B1">
        <w:t>services</w:t>
      </w:r>
      <w:r w:rsidR="0023481B">
        <w:t xml:space="preserve"> </w:t>
      </w:r>
    </w:p>
    <w:p w14:paraId="490B3476" w14:textId="108F962A" w:rsidR="00857A4B" w:rsidRPr="000E0EF4" w:rsidRDefault="009A2381" w:rsidP="009A2381">
      <w:pPr>
        <w:pStyle w:val="H1G"/>
      </w:pPr>
      <w:r>
        <w:tab/>
      </w:r>
      <w:r>
        <w:tab/>
      </w:r>
      <w:r w:rsidR="00A92AF7" w:rsidRPr="000E0EF4">
        <w:t>Transmitted by the Council on Safe Transportation of Hazardous Materials (COSTHA)</w:t>
      </w:r>
    </w:p>
    <w:p w14:paraId="76BE76C5" w14:textId="601B40BE" w:rsidR="00751C10" w:rsidRPr="004D2E8F" w:rsidRDefault="009A2381" w:rsidP="009A2381">
      <w:pPr>
        <w:pStyle w:val="HChG"/>
      </w:pPr>
      <w:r>
        <w:tab/>
      </w:r>
      <w:r>
        <w:tab/>
      </w:r>
      <w:r w:rsidR="00751C10" w:rsidRPr="004D2E8F">
        <w:t>Background</w:t>
      </w:r>
    </w:p>
    <w:p w14:paraId="40AA9512" w14:textId="5C1B5EDC" w:rsidR="00666591" w:rsidRPr="004D2E8F" w:rsidRDefault="009A2381" w:rsidP="009A2381">
      <w:pPr>
        <w:pStyle w:val="SingleTxtG"/>
      </w:pPr>
      <w:r>
        <w:t>1.</w:t>
      </w:r>
      <w:r>
        <w:tab/>
      </w:r>
      <w:r w:rsidR="00666591" w:rsidRPr="004D2E8F">
        <w:t>During the COVID-19 pandemic, many retail</w:t>
      </w:r>
      <w:r w:rsidR="00B135B1">
        <w:t xml:space="preserve"> </w:t>
      </w:r>
      <w:r w:rsidR="00666591" w:rsidRPr="004D2E8F">
        <w:t>delivery services, including grocery delivery, have significantly increased. As a result, groceries are frequently carried out by a delivery service that utilizes an operator’s own vehicle (i.e.</w:t>
      </w:r>
      <w:r w:rsidR="00B135B1">
        <w:t>,</w:t>
      </w:r>
      <w:r w:rsidR="00666591" w:rsidRPr="004D2E8F">
        <w:t xml:space="preserve"> Instacart, Pea</w:t>
      </w:r>
      <w:r w:rsidR="00B135B1">
        <w:t>p</w:t>
      </w:r>
      <w:r w:rsidR="00666591" w:rsidRPr="004D2E8F">
        <w:t>od, Whole Foods Market in the U</w:t>
      </w:r>
      <w:r w:rsidR="00E54CF7">
        <w:t xml:space="preserve">nited </w:t>
      </w:r>
      <w:r w:rsidR="00666591" w:rsidRPr="004D2E8F">
        <w:t>S</w:t>
      </w:r>
      <w:r w:rsidR="00E54CF7">
        <w:t>ta</w:t>
      </w:r>
      <w:r w:rsidR="004840DD">
        <w:t>tes of America</w:t>
      </w:r>
      <w:r w:rsidR="00666591" w:rsidRPr="004D2E8F">
        <w:t xml:space="preserve">). The increase in use of these services creates questions as to whether </w:t>
      </w:r>
      <w:r w:rsidR="004E2443">
        <w:t>the requirements of the dangerous goods</w:t>
      </w:r>
      <w:r w:rsidR="00666591" w:rsidRPr="004D2E8F">
        <w:t xml:space="preserve"> regulations apply when used by a commercial employee that is more parallel to the traditional consumer retail experience.</w:t>
      </w:r>
    </w:p>
    <w:p w14:paraId="200BCD51" w14:textId="3FB8C039" w:rsidR="00666591" w:rsidRPr="004D2E8F" w:rsidRDefault="009A2381" w:rsidP="009A2381">
      <w:pPr>
        <w:pStyle w:val="SingleTxtG"/>
      </w:pPr>
      <w:r>
        <w:t>2.</w:t>
      </w:r>
      <w:r>
        <w:tab/>
      </w:r>
      <w:r w:rsidR="00666591" w:rsidRPr="004D2E8F">
        <w:t>While it may not be immediately obvious to consumers or commercially contracted employees/drivers, there are many different types of dangerous goods sold and transported out of grocery stores. Some common examples are small lithium batteries (standalone (hearing aid batteries) as well as those “in equipment” (electric toothbrushes), flammable liquids (isopropyl alcohol), flammable gases (aerosols – deodorants), organic peroxides (hair dyes), and corrosives (cleaners)).</w:t>
      </w:r>
    </w:p>
    <w:p w14:paraId="788740B4" w14:textId="76FB4F59" w:rsidR="00666591" w:rsidRPr="004D2E8F" w:rsidRDefault="009A2381" w:rsidP="009A2381">
      <w:pPr>
        <w:pStyle w:val="SingleTxtG"/>
      </w:pPr>
      <w:r>
        <w:t>3.</w:t>
      </w:r>
      <w:r>
        <w:tab/>
      </w:r>
      <w:r w:rsidR="00666591" w:rsidRPr="004D2E8F">
        <w:t xml:space="preserve">During the traditional retail experience, consumers buy these </w:t>
      </w:r>
      <w:r w:rsidR="004E2443">
        <w:t>dangerous goods</w:t>
      </w:r>
      <w:r w:rsidR="00666591" w:rsidRPr="004D2E8F">
        <w:t xml:space="preserve"> products and utilize bags (paper, plastic, or reusable) to facilitate </w:t>
      </w:r>
      <w:r w:rsidR="004E2443">
        <w:t xml:space="preserve">their </w:t>
      </w:r>
      <w:r w:rsidR="00666591" w:rsidRPr="004D2E8F">
        <w:t>handling</w:t>
      </w:r>
      <w:r w:rsidR="004E2443">
        <w:t xml:space="preserve">/transport </w:t>
      </w:r>
      <w:r w:rsidR="00666591" w:rsidRPr="004D2E8F">
        <w:t xml:space="preserve">to </w:t>
      </w:r>
      <w:r w:rsidR="004E2443">
        <w:t xml:space="preserve">their </w:t>
      </w:r>
      <w:r w:rsidR="00666591" w:rsidRPr="004D2E8F">
        <w:t xml:space="preserve">vehicles and homes. These products in retail packaging are never repackaged for additional safety or marked in accordance with </w:t>
      </w:r>
      <w:r w:rsidR="004E2443">
        <w:t>the dangerous goods regulations</w:t>
      </w:r>
      <w:r w:rsidR="00666591" w:rsidRPr="004D2E8F">
        <w:t xml:space="preserve">. When carrying these products out of retail stores, an individual person is </w:t>
      </w:r>
      <w:r w:rsidR="000D7C1F">
        <w:t>not</w:t>
      </w:r>
      <w:r w:rsidR="00666591" w:rsidRPr="004D2E8F">
        <w:t xml:space="preserve"> subject to the various regulations. However, </w:t>
      </w:r>
      <w:r w:rsidR="000D7C1F" w:rsidRPr="004D2E8F">
        <w:t xml:space="preserve">the regulations could potentially to apply </w:t>
      </w:r>
      <w:r w:rsidR="00666591" w:rsidRPr="004D2E8F">
        <w:t>for delivery companies and services.</w:t>
      </w:r>
    </w:p>
    <w:p w14:paraId="232A5850" w14:textId="7DCC4D39" w:rsidR="00666591" w:rsidRPr="004D2E8F" w:rsidRDefault="009A2381" w:rsidP="009A2381">
      <w:pPr>
        <w:pStyle w:val="SingleTxtG"/>
      </w:pPr>
      <w:r>
        <w:t>4.</w:t>
      </w:r>
      <w:r>
        <w:tab/>
      </w:r>
      <w:r w:rsidR="00E623FC">
        <w:t>T</w:t>
      </w:r>
      <w:r w:rsidR="00666591" w:rsidRPr="004D2E8F">
        <w:t xml:space="preserve">he regulations did not anticipate these new types of operations when originally developed and applying the current regulations to these operations seems impractical and of little benefit to the transportation system. The delivery operations </w:t>
      </w:r>
      <w:r w:rsidR="00E623FC">
        <w:t xml:space="preserve">to the end consumer that </w:t>
      </w:r>
      <w:r w:rsidR="00666591" w:rsidRPr="004D2E8F">
        <w:t>originat</w:t>
      </w:r>
      <w:r w:rsidR="00E623FC">
        <w:t>e</w:t>
      </w:r>
      <w:r w:rsidR="00666591" w:rsidRPr="004D2E8F">
        <w:t xml:space="preserve"> from retail locations don’t typically utilize any packaging beyond the retail packaging in place on the store shelf. Paper or plastic bags are typically utilized for convenience in carrying the delivery. However, marking these bags (regardless of whether they are considered a “suitable outer packaging” or “overpack”) is not current practice. In addition, if these operations were to be considered subject to </w:t>
      </w:r>
      <w:r w:rsidR="00E623FC">
        <w:t>the dangerous goods</w:t>
      </w:r>
      <w:r w:rsidR="00666591" w:rsidRPr="004D2E8F">
        <w:t xml:space="preserve"> regulations, there would be a significant, negative impact to sustainability and environmental efforts to reduce packaging globally.</w:t>
      </w:r>
    </w:p>
    <w:p w14:paraId="28D7551C" w14:textId="1BBD400F" w:rsidR="00666591" w:rsidRPr="004D2E8F" w:rsidRDefault="009A2381" w:rsidP="009A2381">
      <w:pPr>
        <w:pStyle w:val="SingleTxtG"/>
      </w:pPr>
      <w:r>
        <w:t>5.</w:t>
      </w:r>
      <w:r>
        <w:tab/>
      </w:r>
      <w:r w:rsidR="00666591" w:rsidRPr="004D2E8F">
        <w:t xml:space="preserve">Further, grocery deliveries </w:t>
      </w:r>
      <w:r w:rsidR="00F4575B">
        <w:t xml:space="preserve">to the end consumer </w:t>
      </w:r>
      <w:r w:rsidR="00666591" w:rsidRPr="004D2E8F">
        <w:t xml:space="preserve">are typically limited to short distances, and the goods being carried are not subjected to the forces typically encountered in freight transportation where performance-oriented packaging is needed for safety reasons. Instead, the goods are often placed in bags or directly onto a seat in an individual’s vehicle. Based on the differences in operations, these delivery service </w:t>
      </w:r>
      <w:r w:rsidR="00F4575B">
        <w:t xml:space="preserve">to the end consumer </w:t>
      </w:r>
      <w:r w:rsidR="00666591" w:rsidRPr="004D2E8F">
        <w:t>do not seem to need the same level of safety equivalent to more traditional transportation operations.</w:t>
      </w:r>
    </w:p>
    <w:p w14:paraId="6D2725C7" w14:textId="4DC43A48" w:rsidR="00666591" w:rsidRPr="004D2E8F" w:rsidRDefault="009A2381" w:rsidP="009A2381">
      <w:pPr>
        <w:pStyle w:val="HChG"/>
      </w:pPr>
      <w:r>
        <w:lastRenderedPageBreak/>
        <w:tab/>
      </w:r>
      <w:r>
        <w:tab/>
      </w:r>
      <w:r w:rsidR="00666591" w:rsidRPr="004D2E8F">
        <w:t xml:space="preserve">Interpretation </w:t>
      </w:r>
      <w:r w:rsidR="0062346C">
        <w:t>q</w:t>
      </w:r>
      <w:r w:rsidR="00666591" w:rsidRPr="004D2E8F">
        <w:t>uestions</w:t>
      </w:r>
    </w:p>
    <w:p w14:paraId="11E13603" w14:textId="451AA7F4" w:rsidR="00666591" w:rsidRPr="004D2E8F" w:rsidRDefault="009A2381" w:rsidP="009A2381">
      <w:pPr>
        <w:pStyle w:val="SingleTxtG"/>
      </w:pPr>
      <w:r>
        <w:t>6.</w:t>
      </w:r>
      <w:r>
        <w:tab/>
      </w:r>
      <w:r w:rsidR="00666591" w:rsidRPr="004D2E8F">
        <w:t xml:space="preserve">For delivery operations stemming from a retail location, do the </w:t>
      </w:r>
      <w:r w:rsidR="00FC4258">
        <w:t>dangerous goods</w:t>
      </w:r>
      <w:r w:rsidR="00666591" w:rsidRPr="004D2E8F">
        <w:t xml:space="preserve"> have to be packed in “suitable outer packaging”?</w:t>
      </w:r>
    </w:p>
    <w:p w14:paraId="07E1C82A" w14:textId="20AF01D0" w:rsidR="00666591" w:rsidRPr="004D2E8F" w:rsidRDefault="009A2381" w:rsidP="009A2381">
      <w:pPr>
        <w:pStyle w:val="SingleTxtG"/>
      </w:pPr>
      <w:r>
        <w:t>7.</w:t>
      </w:r>
      <w:r>
        <w:tab/>
      </w:r>
      <w:r w:rsidR="00666591" w:rsidRPr="004D2E8F">
        <w:t>Is a “shopping bag” considered an outer packaging or overpack?</w:t>
      </w:r>
    </w:p>
    <w:p w14:paraId="7BC8BA23" w14:textId="0D58D8AE" w:rsidR="00666591" w:rsidRPr="004D2E8F" w:rsidRDefault="009A2381" w:rsidP="009A2381">
      <w:pPr>
        <w:pStyle w:val="SingleTxtG"/>
      </w:pPr>
      <w:r>
        <w:t>8.</w:t>
      </w:r>
      <w:r>
        <w:tab/>
      </w:r>
      <w:r w:rsidR="00666591" w:rsidRPr="004D2E8F">
        <w:t>Is the typical “shopping bag” considered “suitable”?</w:t>
      </w:r>
    </w:p>
    <w:p w14:paraId="5E99CA79" w14:textId="6A8ABFDE" w:rsidR="00666591" w:rsidRPr="004D2E8F" w:rsidRDefault="009A2381" w:rsidP="009A2381">
      <w:pPr>
        <w:pStyle w:val="SingleTxtG"/>
      </w:pPr>
      <w:r>
        <w:t>9.</w:t>
      </w:r>
      <w:r>
        <w:tab/>
      </w:r>
      <w:r w:rsidR="00666591" w:rsidRPr="004D2E8F">
        <w:t>Is there an added safety benefit of further packaging these products or marking the packag</w:t>
      </w:r>
      <w:r w:rsidR="00FC4258">
        <w:t>e</w:t>
      </w:r>
      <w:r w:rsidR="00666591" w:rsidRPr="004D2E8F">
        <w:t>s when the retail packaging is intended to provide sufficient containment (both for storage/display and during traditional carriage</w:t>
      </w:r>
      <w:r w:rsidR="00FC4258" w:rsidRPr="00FC4258">
        <w:t xml:space="preserve"> </w:t>
      </w:r>
      <w:r w:rsidR="00FC4258">
        <w:t>to the end consumer</w:t>
      </w:r>
      <w:r w:rsidR="00666591" w:rsidRPr="004D2E8F">
        <w:t>)?</w:t>
      </w:r>
    </w:p>
    <w:p w14:paraId="168761A9" w14:textId="688B3B31" w:rsidR="00666591" w:rsidRPr="0023481B" w:rsidRDefault="009A2381" w:rsidP="009A2381">
      <w:pPr>
        <w:pStyle w:val="HChG"/>
      </w:pPr>
      <w:r>
        <w:tab/>
      </w:r>
      <w:r>
        <w:tab/>
      </w:r>
      <w:r w:rsidR="00666591" w:rsidRPr="0023481B">
        <w:t xml:space="preserve">Potential </w:t>
      </w:r>
      <w:r w:rsidR="0062346C">
        <w:t>w</w:t>
      </w:r>
      <w:r w:rsidR="00666591" w:rsidRPr="0023481B">
        <w:t xml:space="preserve">orking </w:t>
      </w:r>
      <w:r w:rsidR="0062346C">
        <w:t>p</w:t>
      </w:r>
      <w:r w:rsidR="00666591" w:rsidRPr="0023481B">
        <w:t xml:space="preserve">aper </w:t>
      </w:r>
      <w:r w:rsidR="0062346C">
        <w:t>p</w:t>
      </w:r>
      <w:r w:rsidR="00666591" w:rsidRPr="0023481B">
        <w:t>roposals</w:t>
      </w:r>
    </w:p>
    <w:p w14:paraId="62BA60A4" w14:textId="7AFDBAF9" w:rsidR="00666591" w:rsidRPr="00D64B61" w:rsidRDefault="009A2381" w:rsidP="009A2381">
      <w:pPr>
        <w:pStyle w:val="H1G"/>
      </w:pPr>
      <w:r>
        <w:tab/>
      </w:r>
      <w:r>
        <w:tab/>
      </w:r>
      <w:r w:rsidR="00BB6012" w:rsidRPr="00D64B61">
        <w:t xml:space="preserve">Potential </w:t>
      </w:r>
      <w:r w:rsidR="00DA21D8">
        <w:t>p</w:t>
      </w:r>
      <w:r w:rsidR="00666591" w:rsidRPr="00D64B61">
        <w:t xml:space="preserve">roposal </w:t>
      </w:r>
      <w:r w:rsidR="00DA21D8">
        <w:t>o</w:t>
      </w:r>
      <w:r w:rsidR="00666591" w:rsidRPr="00D64B61">
        <w:t>ne</w:t>
      </w:r>
    </w:p>
    <w:p w14:paraId="231A6206" w14:textId="09C2586C" w:rsidR="00666591" w:rsidRPr="0023481B" w:rsidRDefault="00FD4505" w:rsidP="009A2381">
      <w:pPr>
        <w:pStyle w:val="SingleTxtG"/>
      </w:pPr>
      <w:r>
        <w:t>10.</w:t>
      </w:r>
      <w:r w:rsidR="009A2381">
        <w:tab/>
      </w:r>
      <w:r w:rsidR="00666591" w:rsidRPr="0023481B">
        <w:t xml:space="preserve">We request consideration to expressly exclude </w:t>
      </w:r>
      <w:r w:rsidR="0023481B">
        <w:t>dangerous goods</w:t>
      </w:r>
      <w:r w:rsidR="00666591" w:rsidRPr="0023481B">
        <w:t xml:space="preserve"> from the regulations during retail-to-customer delivery operations. The intent of this </w:t>
      </w:r>
      <w:r w:rsidR="005872C3">
        <w:t xml:space="preserve">future </w:t>
      </w:r>
      <w:r w:rsidR="00666591" w:rsidRPr="0023481B">
        <w:t xml:space="preserve">proposal is to limit the amount of additional packaging and marking that does not add to the safety for the shipper or carrier and is not necessary for the end consumer. A similar exception to the regulations is provided within 1.1.3.1(a) where transportation by a private individual with certain limitations is excepted from regulations. Excluding the operations described above could be accomplished by additional </w:t>
      </w:r>
      <w:r w:rsidR="00D601B7">
        <w:t xml:space="preserve">new </w:t>
      </w:r>
      <w:r w:rsidR="00666591" w:rsidRPr="0023481B">
        <w:t>wording or an additional exception within this section such as provided below</w:t>
      </w:r>
      <w:r w:rsidR="0023481B">
        <w:t>:</w:t>
      </w:r>
    </w:p>
    <w:p w14:paraId="201C14D2" w14:textId="43690291" w:rsidR="00666591" w:rsidRPr="00B109A9" w:rsidRDefault="005878A9" w:rsidP="009A2381">
      <w:pPr>
        <w:spacing w:after="120"/>
        <w:ind w:left="1701" w:right="1359"/>
        <w:jc w:val="both"/>
        <w:rPr>
          <w:b/>
          <w:bCs/>
          <w:i/>
        </w:rPr>
      </w:pPr>
      <w:r>
        <w:rPr>
          <w:b/>
          <w:bCs/>
          <w:i/>
        </w:rPr>
        <w:t>“</w:t>
      </w:r>
      <w:r w:rsidR="00666591" w:rsidRPr="00D601B7">
        <w:rPr>
          <w:b/>
          <w:bCs/>
          <w:i/>
        </w:rPr>
        <w:t>1.1.3.1(g)</w:t>
      </w:r>
      <w:r w:rsidR="00B109A9" w:rsidRPr="00D601B7">
        <w:rPr>
          <w:b/>
          <w:bCs/>
          <w:i/>
        </w:rPr>
        <w:tab/>
      </w:r>
      <w:r w:rsidR="00666591" w:rsidRPr="00D601B7">
        <w:rPr>
          <w:b/>
          <w:bCs/>
          <w:i/>
        </w:rPr>
        <w:t>The carriage of dangerous goods by enterprises between retail</w:t>
      </w:r>
      <w:r w:rsidR="00666591" w:rsidRPr="00D601B7">
        <w:rPr>
          <w:b/>
          <w:bCs/>
          <w:i/>
          <w:sz w:val="22"/>
          <w:szCs w:val="22"/>
        </w:rPr>
        <w:t xml:space="preserve"> </w:t>
      </w:r>
      <w:r w:rsidR="00666591" w:rsidRPr="00D601B7">
        <w:rPr>
          <w:b/>
          <w:bCs/>
          <w:i/>
        </w:rPr>
        <w:t>store or distribution cent</w:t>
      </w:r>
      <w:r w:rsidR="00FD4505" w:rsidRPr="00D601B7">
        <w:rPr>
          <w:b/>
          <w:bCs/>
          <w:i/>
        </w:rPr>
        <w:t>r</w:t>
      </w:r>
      <w:r w:rsidR="00666591" w:rsidRPr="00D601B7">
        <w:rPr>
          <w:b/>
          <w:bCs/>
          <w:i/>
        </w:rPr>
        <w:t>e</w:t>
      </w:r>
      <w:r w:rsidR="0023481B" w:rsidRPr="00D601B7">
        <w:rPr>
          <w:b/>
          <w:bCs/>
          <w:i/>
        </w:rPr>
        <w:t xml:space="preserve"> </w:t>
      </w:r>
      <w:r w:rsidR="00666591" w:rsidRPr="00D601B7">
        <w:rPr>
          <w:b/>
          <w:bCs/>
          <w:i/>
        </w:rPr>
        <w:t>and an end consumer</w:t>
      </w:r>
      <w:r w:rsidR="0023481B" w:rsidRPr="00D601B7">
        <w:rPr>
          <w:b/>
          <w:bCs/>
          <w:i/>
        </w:rPr>
        <w:t>,</w:t>
      </w:r>
      <w:r w:rsidR="00666591" w:rsidRPr="00D601B7">
        <w:rPr>
          <w:b/>
          <w:bCs/>
          <w:i/>
        </w:rPr>
        <w:t xml:space="preserve"> where the goods in question are packaged for retail sale and are intended for use by the end consumer provided</w:t>
      </w:r>
      <w:r w:rsidR="005872C3" w:rsidRPr="00D601B7">
        <w:rPr>
          <w:b/>
          <w:bCs/>
          <w:i/>
        </w:rPr>
        <w:t xml:space="preserve"> </w:t>
      </w:r>
      <w:r w:rsidR="00666591" w:rsidRPr="00D601B7">
        <w:rPr>
          <w:b/>
          <w:bCs/>
          <w:i/>
        </w:rPr>
        <w:t>that measures have been taken to prevent leakage of contents in normal conditions of carriage</w:t>
      </w:r>
      <w:r w:rsidR="00666591" w:rsidRPr="00B109A9">
        <w:rPr>
          <w:b/>
          <w:bCs/>
          <w:i/>
        </w:rPr>
        <w:t>.</w:t>
      </w:r>
      <w:r>
        <w:rPr>
          <w:b/>
          <w:bCs/>
          <w:i/>
        </w:rPr>
        <w:t>”</w:t>
      </w:r>
    </w:p>
    <w:p w14:paraId="679AEA86" w14:textId="1FB87AD8" w:rsidR="00666591" w:rsidRPr="00EA75D3" w:rsidRDefault="009A2381" w:rsidP="009A2381">
      <w:pPr>
        <w:pStyle w:val="H1G"/>
      </w:pPr>
      <w:r w:rsidRPr="00EA75D3">
        <w:tab/>
      </w:r>
      <w:r w:rsidRPr="00EA75D3">
        <w:tab/>
      </w:r>
      <w:r w:rsidR="00D64B61" w:rsidRPr="00EA75D3">
        <w:t xml:space="preserve">Potential </w:t>
      </w:r>
      <w:r w:rsidR="00EA75D3">
        <w:t>p</w:t>
      </w:r>
      <w:r w:rsidR="00666591" w:rsidRPr="00EA75D3">
        <w:t xml:space="preserve">roposal </w:t>
      </w:r>
      <w:r w:rsidR="00EA75D3">
        <w:t>t</w:t>
      </w:r>
      <w:r w:rsidR="00666591" w:rsidRPr="00EA75D3">
        <w:t>wo</w:t>
      </w:r>
    </w:p>
    <w:p w14:paraId="3D24147C" w14:textId="15302D93" w:rsidR="00666591" w:rsidRPr="0023481B" w:rsidRDefault="00FD4505" w:rsidP="009A2381">
      <w:pPr>
        <w:pStyle w:val="SingleTxtG"/>
      </w:pPr>
      <w:r>
        <w:t>11.</w:t>
      </w:r>
      <w:r w:rsidR="009A2381">
        <w:tab/>
      </w:r>
      <w:r w:rsidR="00666591" w:rsidRPr="0023481B">
        <w:t xml:space="preserve">Alternatively, if proposal one is considered too broad in potential applicability, we </w:t>
      </w:r>
      <w:r w:rsidR="005872C3">
        <w:t xml:space="preserve">will consider </w:t>
      </w:r>
      <w:r w:rsidR="00666591" w:rsidRPr="0023481B">
        <w:t>propos</w:t>
      </w:r>
      <w:r w:rsidR="005872C3">
        <w:t>ing</w:t>
      </w:r>
      <w:r w:rsidR="00666591" w:rsidRPr="0023481B">
        <w:t xml:space="preserve"> excluding these operations through additional text in a new section within Chapter 3.4 and </w:t>
      </w:r>
      <w:r w:rsidR="002D6CF5">
        <w:t xml:space="preserve">special provision </w:t>
      </w:r>
      <w:r w:rsidR="00666591" w:rsidRPr="0023481B">
        <w:t>188 such as provided below. This proposal would have a similar intent but would limit applicability to limited quantity materials and lithium batteries meeting the conditions in SP188</w:t>
      </w:r>
      <w:r w:rsidR="00BD1C64">
        <w:t xml:space="preserve"> (new text in </w:t>
      </w:r>
      <w:r w:rsidR="00BD1C64" w:rsidRPr="00BD1C64">
        <w:rPr>
          <w:b/>
          <w:bCs/>
          <w:i/>
          <w:iCs/>
        </w:rPr>
        <w:t>bold</w:t>
      </w:r>
      <w:r w:rsidR="00BD1C64">
        <w:t>)</w:t>
      </w:r>
      <w:r w:rsidR="00175A3C">
        <w:t>:</w:t>
      </w:r>
    </w:p>
    <w:p w14:paraId="2FE021D2" w14:textId="2D4DBCAA" w:rsidR="00666591" w:rsidRPr="008A59A3" w:rsidRDefault="005878A9" w:rsidP="009A2381">
      <w:pPr>
        <w:spacing w:after="120"/>
        <w:ind w:left="1701" w:right="1359"/>
        <w:jc w:val="both"/>
        <w:rPr>
          <w:b/>
          <w:bCs/>
          <w:i/>
        </w:rPr>
      </w:pPr>
      <w:r w:rsidRPr="008A59A3">
        <w:rPr>
          <w:b/>
          <w:bCs/>
          <w:i/>
        </w:rPr>
        <w:t>“</w:t>
      </w:r>
      <w:r w:rsidR="00666591" w:rsidRPr="008A59A3">
        <w:rPr>
          <w:b/>
          <w:bCs/>
          <w:i/>
        </w:rPr>
        <w:t>3.4.1</w:t>
      </w:r>
      <w:r w:rsidR="00DF5975">
        <w:rPr>
          <w:b/>
          <w:bCs/>
          <w:i/>
        </w:rPr>
        <w:t>6</w:t>
      </w:r>
      <w:r w:rsidR="008A59A3" w:rsidRPr="008A59A3">
        <w:rPr>
          <w:b/>
          <w:bCs/>
          <w:i/>
        </w:rPr>
        <w:tab/>
      </w:r>
      <w:r w:rsidR="00666591" w:rsidRPr="008A59A3">
        <w:rPr>
          <w:b/>
          <w:bCs/>
          <w:i/>
        </w:rPr>
        <w:t>Exception for final stage of carriage operations by ground</w:t>
      </w:r>
    </w:p>
    <w:p w14:paraId="447E3787" w14:textId="77777777" w:rsidR="00666591" w:rsidRPr="008A59A3" w:rsidRDefault="00666591" w:rsidP="009A2381">
      <w:pPr>
        <w:spacing w:after="120"/>
        <w:ind w:left="1701" w:right="1359"/>
        <w:jc w:val="both"/>
        <w:rPr>
          <w:b/>
          <w:bCs/>
          <w:i/>
        </w:rPr>
      </w:pPr>
      <w:r w:rsidRPr="008A59A3">
        <w:rPr>
          <w:b/>
          <w:bCs/>
          <w:i/>
        </w:rPr>
        <w:t>For ground transportation, the marking and labelling provisions in 3.4.1(e), packaging requirements in 3.4.1(f), operational requirements in 3.4.1(g) except 7.5.2.4 still applies, requirements for packaging to be a combination package as specified in 3.4.2, marking specified in 3.4.7, overpack requirements in 3.4.11 do not need to be complied with if:</w:t>
      </w:r>
    </w:p>
    <w:p w14:paraId="3924FF66" w14:textId="19136ED1" w:rsidR="00666591" w:rsidRPr="008A59A3" w:rsidRDefault="00D2734D" w:rsidP="009A2381">
      <w:pPr>
        <w:spacing w:after="120"/>
        <w:ind w:left="1701" w:right="1359"/>
        <w:jc w:val="both"/>
        <w:rPr>
          <w:b/>
          <w:bCs/>
          <w:i/>
        </w:rPr>
      </w:pPr>
      <w:r>
        <w:rPr>
          <w:b/>
          <w:bCs/>
          <w:i/>
        </w:rPr>
        <w:t>(</w:t>
      </w:r>
      <w:r w:rsidR="00666591" w:rsidRPr="008A59A3">
        <w:rPr>
          <w:b/>
          <w:bCs/>
          <w:i/>
        </w:rPr>
        <w:t>a)</w:t>
      </w:r>
      <w:r w:rsidR="00C55B9D">
        <w:rPr>
          <w:b/>
          <w:bCs/>
          <w:i/>
        </w:rPr>
        <w:tab/>
      </w:r>
      <w:r w:rsidR="00666591" w:rsidRPr="008A59A3">
        <w:rPr>
          <w:b/>
          <w:bCs/>
          <w:i/>
        </w:rPr>
        <w:t>the dangerous goods for final stage carriage by ground were originally packed in limited quantities in accordance with 3.4; and</w:t>
      </w:r>
    </w:p>
    <w:p w14:paraId="5B66BF39" w14:textId="198EF64F" w:rsidR="00666591" w:rsidRPr="008A59A3" w:rsidRDefault="00D2734D" w:rsidP="009A2381">
      <w:pPr>
        <w:spacing w:after="120"/>
        <w:ind w:left="1701" w:right="1359"/>
        <w:jc w:val="both"/>
        <w:rPr>
          <w:b/>
          <w:bCs/>
          <w:i/>
        </w:rPr>
      </w:pPr>
      <w:r>
        <w:rPr>
          <w:b/>
          <w:bCs/>
          <w:i/>
        </w:rPr>
        <w:t>(</w:t>
      </w:r>
      <w:r w:rsidR="00666591" w:rsidRPr="008A59A3">
        <w:rPr>
          <w:b/>
          <w:bCs/>
          <w:i/>
        </w:rPr>
        <w:t>b)</w:t>
      </w:r>
      <w:r w:rsidR="00C55B9D">
        <w:rPr>
          <w:b/>
          <w:bCs/>
          <w:i/>
        </w:rPr>
        <w:tab/>
      </w:r>
      <w:r w:rsidR="00666591" w:rsidRPr="008A59A3">
        <w:rPr>
          <w:b/>
          <w:bCs/>
          <w:i/>
        </w:rPr>
        <w:t>the dangerous goods are in original manufacturer’s packaging (inner and/or intermediate) that are packaged for retail sale; and</w:t>
      </w:r>
    </w:p>
    <w:p w14:paraId="0FC2DF60" w14:textId="55BCADED" w:rsidR="00666591" w:rsidRPr="008A59A3" w:rsidRDefault="00D2734D" w:rsidP="009A2381">
      <w:pPr>
        <w:spacing w:after="120"/>
        <w:ind w:left="1701" w:right="1359"/>
        <w:jc w:val="both"/>
        <w:rPr>
          <w:b/>
          <w:bCs/>
          <w:i/>
        </w:rPr>
      </w:pPr>
      <w:r>
        <w:rPr>
          <w:b/>
          <w:bCs/>
          <w:i/>
        </w:rPr>
        <w:t>(</w:t>
      </w:r>
      <w:r w:rsidR="00666591" w:rsidRPr="008A59A3">
        <w:rPr>
          <w:b/>
          <w:bCs/>
          <w:i/>
        </w:rPr>
        <w:t>c)</w:t>
      </w:r>
      <w:r w:rsidR="00F0112A">
        <w:rPr>
          <w:b/>
          <w:bCs/>
          <w:i/>
        </w:rPr>
        <w:tab/>
      </w:r>
      <w:r w:rsidR="00666591" w:rsidRPr="008A59A3">
        <w:rPr>
          <w:b/>
          <w:bCs/>
          <w:i/>
        </w:rPr>
        <w:t>the quantity carried on the transport unit (person, truck, van, bike, etc.) does not exceed 30 kilograms or lit</w:t>
      </w:r>
      <w:r w:rsidR="00CA1EC3" w:rsidRPr="008A59A3">
        <w:rPr>
          <w:b/>
          <w:bCs/>
          <w:i/>
        </w:rPr>
        <w:t>r</w:t>
      </w:r>
      <w:r w:rsidR="00666591" w:rsidRPr="008A59A3">
        <w:rPr>
          <w:b/>
          <w:bCs/>
          <w:i/>
        </w:rPr>
        <w:t xml:space="preserve">es for any single retail package, with a combined maximum of 400 kilograms or </w:t>
      </w:r>
      <w:r w:rsidR="00CA1EC3" w:rsidRPr="008A59A3">
        <w:rPr>
          <w:b/>
          <w:bCs/>
          <w:i/>
        </w:rPr>
        <w:t>litres</w:t>
      </w:r>
      <w:r w:rsidR="00666591" w:rsidRPr="008A59A3">
        <w:rPr>
          <w:b/>
          <w:bCs/>
          <w:i/>
        </w:rPr>
        <w:t xml:space="preserve"> per transport unit; and</w:t>
      </w:r>
    </w:p>
    <w:p w14:paraId="42002E68" w14:textId="5C10E877" w:rsidR="00666591" w:rsidRPr="008A59A3" w:rsidRDefault="00D2734D" w:rsidP="009A2381">
      <w:pPr>
        <w:spacing w:after="120"/>
        <w:ind w:left="1701" w:right="1359"/>
        <w:jc w:val="both"/>
        <w:rPr>
          <w:b/>
          <w:bCs/>
          <w:i/>
        </w:rPr>
      </w:pPr>
      <w:r>
        <w:rPr>
          <w:b/>
          <w:bCs/>
          <w:i/>
        </w:rPr>
        <w:t>(</w:t>
      </w:r>
      <w:r w:rsidR="00666591" w:rsidRPr="008A59A3">
        <w:rPr>
          <w:b/>
          <w:bCs/>
          <w:i/>
        </w:rPr>
        <w:t>d)</w:t>
      </w:r>
      <w:r w:rsidR="00F0112A">
        <w:rPr>
          <w:b/>
          <w:bCs/>
          <w:i/>
        </w:rPr>
        <w:tab/>
      </w:r>
      <w:r w:rsidR="00666591" w:rsidRPr="008A59A3">
        <w:rPr>
          <w:b/>
          <w:bCs/>
          <w:i/>
        </w:rPr>
        <w:t xml:space="preserve">the dangerous goods have been removed from their outer packaging for the final stages of the carriage operation between a distribution </w:t>
      </w:r>
      <w:r w:rsidR="00CA1EC3" w:rsidRPr="008A59A3">
        <w:rPr>
          <w:b/>
          <w:bCs/>
          <w:i/>
        </w:rPr>
        <w:t>centre</w:t>
      </w:r>
      <w:r w:rsidR="00666591" w:rsidRPr="008A59A3">
        <w:rPr>
          <w:b/>
          <w:bCs/>
          <w:i/>
        </w:rPr>
        <w:t xml:space="preserve"> or retail store and an end consumer.</w:t>
      </w:r>
      <w:r w:rsidR="008A59A3" w:rsidRPr="008A59A3">
        <w:rPr>
          <w:b/>
          <w:bCs/>
          <w:i/>
        </w:rPr>
        <w:t>”</w:t>
      </w:r>
    </w:p>
    <w:p w14:paraId="578888CC" w14:textId="7801F804" w:rsidR="00D64B61" w:rsidRPr="009A2381" w:rsidRDefault="00400029" w:rsidP="00C55B9D">
      <w:pPr>
        <w:keepNext/>
        <w:keepLines/>
        <w:spacing w:after="120"/>
        <w:ind w:left="1701" w:right="1361"/>
        <w:jc w:val="both"/>
        <w:rPr>
          <w:i/>
        </w:rPr>
      </w:pPr>
      <w:r>
        <w:rPr>
          <w:i/>
        </w:rPr>
        <w:lastRenderedPageBreak/>
        <w:t>“</w:t>
      </w:r>
      <w:r w:rsidR="00666591" w:rsidRPr="009A2381">
        <w:rPr>
          <w:i/>
        </w:rPr>
        <w:t>SP188</w:t>
      </w:r>
      <w:r w:rsidR="006E3E37">
        <w:rPr>
          <w:i/>
        </w:rPr>
        <w:tab/>
      </w:r>
      <w:r w:rsidR="00D64B61" w:rsidRPr="009A2381">
        <w:rPr>
          <w:i/>
        </w:rPr>
        <w:t>Cells and batteries offered for transport are not subject to other provisions of these Regulations if they meet the following:</w:t>
      </w:r>
    </w:p>
    <w:p w14:paraId="5E3B191E" w14:textId="27568900" w:rsidR="00D64B61" w:rsidRPr="009A2381" w:rsidRDefault="00D64B61" w:rsidP="00C55B9D">
      <w:pPr>
        <w:keepNext/>
        <w:keepLines/>
        <w:spacing w:after="120"/>
        <w:ind w:left="1701" w:right="1361"/>
        <w:jc w:val="both"/>
        <w:rPr>
          <w:i/>
        </w:rPr>
      </w:pPr>
      <w:r w:rsidRPr="009A2381">
        <w:rPr>
          <w:i/>
        </w:rPr>
        <w:t>(a) through (h)</w:t>
      </w:r>
    </w:p>
    <w:p w14:paraId="1C011F07" w14:textId="21B75DAF" w:rsidR="00666591" w:rsidRPr="008C2268" w:rsidRDefault="00666591" w:rsidP="00C55B9D">
      <w:pPr>
        <w:keepNext/>
        <w:keepLines/>
        <w:spacing w:after="120"/>
        <w:ind w:left="1701" w:right="1361"/>
        <w:jc w:val="both"/>
        <w:rPr>
          <w:b/>
          <w:bCs/>
          <w:i/>
        </w:rPr>
      </w:pPr>
      <w:r w:rsidRPr="008C2268">
        <w:rPr>
          <w:b/>
          <w:bCs/>
          <w:i/>
        </w:rPr>
        <w:t>(i)</w:t>
      </w:r>
      <w:r w:rsidR="008C2268" w:rsidRPr="008C2268">
        <w:rPr>
          <w:b/>
          <w:bCs/>
          <w:i/>
        </w:rPr>
        <w:tab/>
      </w:r>
      <w:r w:rsidRPr="008C2268">
        <w:rPr>
          <w:b/>
          <w:bCs/>
          <w:i/>
        </w:rPr>
        <w:t>For ground transportation between a retail store or distribution cent</w:t>
      </w:r>
      <w:r w:rsidR="00D64B61" w:rsidRPr="008C2268">
        <w:rPr>
          <w:b/>
          <w:bCs/>
          <w:i/>
        </w:rPr>
        <w:t>r</w:t>
      </w:r>
      <w:r w:rsidRPr="008C2268">
        <w:rPr>
          <w:b/>
          <w:bCs/>
          <w:i/>
        </w:rPr>
        <w:t>e and end consumers where lithium batteries are packaged for retail sale and are intended for use by the end consumer, strong outer packaging is not required (as specified in (d) and (e)</w:t>
      </w:r>
      <w:r w:rsidR="00C046B5">
        <w:rPr>
          <w:b/>
          <w:bCs/>
          <w:i/>
        </w:rPr>
        <w:t xml:space="preserve"> above</w:t>
      </w:r>
      <w:r w:rsidRPr="008C2268">
        <w:rPr>
          <w:b/>
          <w:bCs/>
          <w:i/>
        </w:rPr>
        <w:t>). Additionally, the marking requirement (as specified in (f)</w:t>
      </w:r>
      <w:r w:rsidR="00C046B5">
        <w:rPr>
          <w:b/>
          <w:bCs/>
          <w:i/>
        </w:rPr>
        <w:t xml:space="preserve"> above</w:t>
      </w:r>
      <w:r w:rsidRPr="008C2268">
        <w:rPr>
          <w:b/>
          <w:bCs/>
          <w:i/>
        </w:rPr>
        <w:t>) is not required, and the drop test capability (as specified in (g)</w:t>
      </w:r>
      <w:r w:rsidR="00C046B5">
        <w:rPr>
          <w:b/>
          <w:bCs/>
          <w:i/>
        </w:rPr>
        <w:t xml:space="preserve"> above</w:t>
      </w:r>
      <w:r w:rsidRPr="008C2268">
        <w:rPr>
          <w:b/>
          <w:bCs/>
          <w:i/>
        </w:rPr>
        <w:t>) is not required.</w:t>
      </w:r>
    </w:p>
    <w:p w14:paraId="67446758" w14:textId="75ADA7F5" w:rsidR="00850790" w:rsidRPr="009A2381" w:rsidRDefault="00850790" w:rsidP="009A2381">
      <w:pPr>
        <w:spacing w:after="120"/>
        <w:ind w:left="1701" w:right="1359"/>
        <w:jc w:val="both"/>
      </w:pPr>
      <w:r w:rsidRPr="009A2381">
        <w:rPr>
          <w:i/>
        </w:rPr>
        <w:t>As used above in (…)</w:t>
      </w:r>
      <w:r w:rsidR="005878A9">
        <w:rPr>
          <w:i/>
        </w:rPr>
        <w:t>”</w:t>
      </w:r>
    </w:p>
    <w:p w14:paraId="73051FB1" w14:textId="47839F1C" w:rsidR="00B135B1" w:rsidRPr="0023481B" w:rsidRDefault="009A2381" w:rsidP="009A2381">
      <w:pPr>
        <w:pStyle w:val="H1G"/>
      </w:pPr>
      <w:r>
        <w:tab/>
      </w:r>
      <w:r>
        <w:tab/>
      </w:r>
      <w:r w:rsidR="00B135B1" w:rsidRPr="0023481B">
        <w:t>Request</w:t>
      </w:r>
    </w:p>
    <w:p w14:paraId="269DB397" w14:textId="52D298B9" w:rsidR="00B135B1" w:rsidRPr="00FD4505" w:rsidRDefault="00FD4505" w:rsidP="00804588">
      <w:pPr>
        <w:pStyle w:val="SingleTxtG"/>
      </w:pPr>
      <w:r w:rsidRPr="00804588">
        <w:t>12.</w:t>
      </w:r>
      <w:r w:rsidR="009A2381" w:rsidRPr="00804588">
        <w:tab/>
      </w:r>
      <w:r w:rsidR="00B135B1" w:rsidRPr="00804588">
        <w:t xml:space="preserve">COSTHA is interested in receiving the opinions of the delegations on the </w:t>
      </w:r>
      <w:r w:rsidR="00D64B61" w:rsidRPr="00804588">
        <w:t xml:space="preserve">issues raised in this informal </w:t>
      </w:r>
      <w:r w:rsidR="00B72EA3">
        <w:t>document</w:t>
      </w:r>
      <w:r w:rsidR="00B135B1" w:rsidRPr="00804588">
        <w:t xml:space="preserve">. Delegations are invited to send comments to </w:t>
      </w:r>
      <w:hyperlink r:id="rId11" w:history="1">
        <w:r w:rsidR="00B135B1" w:rsidRPr="00804588">
          <w:rPr>
            <w:rStyle w:val="Hyperlink"/>
            <w:color w:val="0070C0"/>
            <w:u w:val="single"/>
          </w:rPr>
          <w:t>mail@costha.com</w:t>
        </w:r>
      </w:hyperlink>
      <w:r w:rsidR="00B135B1" w:rsidRPr="00804588">
        <w:t>.</w:t>
      </w:r>
      <w:r w:rsidR="00D64B61" w:rsidRPr="00804588">
        <w:t xml:space="preserve"> </w:t>
      </w:r>
      <w:r w:rsidR="00B135B1" w:rsidRPr="00804588">
        <w:t xml:space="preserve">Based on answers received, COSTHA will likely propose </w:t>
      </w:r>
      <w:r w:rsidR="003E68D1" w:rsidRPr="00804588">
        <w:t xml:space="preserve">these </w:t>
      </w:r>
      <w:r w:rsidR="00B135B1" w:rsidRPr="00804588">
        <w:t>amendments to a future session of the Joint Meeting or of the UN Sub-Committee of Experts on the TDG</w:t>
      </w:r>
      <w:r w:rsidR="00B135B1" w:rsidRPr="00FD4505">
        <w:t>.</w:t>
      </w:r>
    </w:p>
    <w:p w14:paraId="44213C15" w14:textId="23389330" w:rsidR="00857A4B" w:rsidRPr="00857A4B" w:rsidRDefault="002A7CE7" w:rsidP="002A7CE7">
      <w:pPr>
        <w:pStyle w:val="Default"/>
        <w:spacing w:after="120"/>
        <w:ind w:right="819"/>
        <w:jc w:val="center"/>
        <w:rPr>
          <w:u w:val="single"/>
        </w:rPr>
      </w:pPr>
      <w:r>
        <w:t>____________________</w:t>
      </w:r>
    </w:p>
    <w:sectPr w:rsidR="00857A4B" w:rsidRPr="00857A4B" w:rsidSect="00CA6540">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C5B" w14:textId="77777777" w:rsidR="00703793" w:rsidRDefault="00703793"/>
  </w:endnote>
  <w:endnote w:type="continuationSeparator" w:id="0">
    <w:p w14:paraId="0BAFCCD5" w14:textId="77777777" w:rsidR="00703793" w:rsidRDefault="00703793"/>
  </w:endnote>
  <w:endnote w:type="continuationNotice" w:id="1">
    <w:p w14:paraId="46689EFD" w14:textId="77777777" w:rsidR="00703793" w:rsidRDefault="00703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E591" w14:textId="77777777" w:rsidR="00703793" w:rsidRPr="000B175B" w:rsidRDefault="00703793" w:rsidP="000B175B">
      <w:pPr>
        <w:tabs>
          <w:tab w:val="right" w:pos="2155"/>
        </w:tabs>
        <w:spacing w:after="80"/>
        <w:ind w:left="680"/>
        <w:rPr>
          <w:u w:val="single"/>
        </w:rPr>
      </w:pPr>
      <w:r>
        <w:rPr>
          <w:u w:val="single"/>
        </w:rPr>
        <w:tab/>
      </w:r>
    </w:p>
  </w:footnote>
  <w:footnote w:type="continuationSeparator" w:id="0">
    <w:p w14:paraId="1933A2ED" w14:textId="77777777" w:rsidR="00703793" w:rsidRPr="00FC68B7" w:rsidRDefault="00703793" w:rsidP="00FC68B7">
      <w:pPr>
        <w:tabs>
          <w:tab w:val="left" w:pos="2155"/>
        </w:tabs>
        <w:spacing w:after="80"/>
        <w:ind w:left="680"/>
        <w:rPr>
          <w:u w:val="single"/>
        </w:rPr>
      </w:pPr>
      <w:r>
        <w:rPr>
          <w:u w:val="single"/>
        </w:rPr>
        <w:tab/>
      </w:r>
    </w:p>
  </w:footnote>
  <w:footnote w:type="continuationNotice" w:id="1">
    <w:p w14:paraId="6A03656D" w14:textId="77777777" w:rsidR="00703793" w:rsidRDefault="00703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01B84EBE" w:rsidR="002B16A1" w:rsidRPr="0009455D" w:rsidRDefault="002B16A1">
    <w:pPr>
      <w:pStyle w:val="Header"/>
      <w:rPr>
        <w:lang w:val="fr-CH"/>
      </w:rPr>
    </w:pPr>
    <w:r>
      <w:rPr>
        <w:lang w:val="fr-CH"/>
      </w:rPr>
      <w:t>IN</w:t>
    </w:r>
    <w:r w:rsidR="009A2381">
      <w:rPr>
        <w:lang w:val="fr-CH"/>
      </w:rPr>
      <w:t>F.32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6C5DD080" w:rsidR="002B16A1" w:rsidRPr="00073BC9" w:rsidRDefault="002B16A1" w:rsidP="0009455D">
    <w:pPr>
      <w:pStyle w:val="Header"/>
      <w:jc w:val="right"/>
    </w:pPr>
    <w:r>
      <w:t>INF</w:t>
    </w:r>
    <w:r w:rsidR="009A2381">
      <w:t>.32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351F3B01" w:rsidR="002B16A1" w:rsidRPr="00560572" w:rsidRDefault="002B16A1" w:rsidP="00E37495">
    <w:pPr>
      <w:pStyle w:val="Header"/>
      <w:pBdr>
        <w:bottom w:val="single" w:sz="4" w:space="1" w:color="auto"/>
      </w:pBdr>
      <w:jc w:val="right"/>
      <w:rPr>
        <w:sz w:val="28"/>
        <w:szCs w:val="28"/>
      </w:rPr>
    </w:pPr>
    <w:r w:rsidRPr="00560572">
      <w:rPr>
        <w:sz w:val="28"/>
        <w:szCs w:val="28"/>
      </w:rPr>
      <w:t>INF.</w:t>
    </w:r>
    <w:r w:rsidR="009A2381">
      <w:rPr>
        <w:sz w:val="28"/>
        <w:szCs w:val="28"/>
      </w:rPr>
      <w:t>3</w:t>
    </w:r>
    <w:r w:rsidR="00B135B1">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1455BA"/>
    <w:multiLevelType w:val="hybridMultilevel"/>
    <w:tmpl w:val="2C424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61BB8"/>
    <w:multiLevelType w:val="hybridMultilevel"/>
    <w:tmpl w:val="39B2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0" w15:restartNumberingAfterBreak="0">
    <w:nsid w:val="7D8D6F5E"/>
    <w:multiLevelType w:val="hybridMultilevel"/>
    <w:tmpl w:val="0A92EF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1"/>
  </w:num>
  <w:num w:numId="15">
    <w:abstractNumId w:val="17"/>
  </w:num>
  <w:num w:numId="16">
    <w:abstractNumId w:val="13"/>
  </w:num>
  <w:num w:numId="17">
    <w:abstractNumId w:val="25"/>
  </w:num>
  <w:num w:numId="18">
    <w:abstractNumId w:val="28"/>
  </w:num>
  <w:num w:numId="19">
    <w:abstractNumId w:val="24"/>
  </w:num>
  <w:num w:numId="20">
    <w:abstractNumId w:val="12"/>
  </w:num>
  <w:num w:numId="21">
    <w:abstractNumId w:val="19"/>
  </w:num>
  <w:num w:numId="22">
    <w:abstractNumId w:val="29"/>
  </w:num>
  <w:num w:numId="23">
    <w:abstractNumId w:val="18"/>
  </w:num>
  <w:num w:numId="24">
    <w:abstractNumId w:val="21"/>
  </w:num>
  <w:num w:numId="25">
    <w:abstractNumId w:val="27"/>
  </w:num>
  <w:num w:numId="26">
    <w:abstractNumId w:val="20"/>
  </w:num>
  <w:num w:numId="27">
    <w:abstractNumId w:val="15"/>
  </w:num>
  <w:num w:numId="28">
    <w:abstractNumId w:val="22"/>
  </w:num>
  <w:num w:numId="29">
    <w:abstractNumId w:val="30"/>
  </w:num>
  <w:num w:numId="30">
    <w:abstractNumId w:val="26"/>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10473"/>
    <w:rsid w:val="00017B0A"/>
    <w:rsid w:val="00017C14"/>
    <w:rsid w:val="000238EC"/>
    <w:rsid w:val="00027624"/>
    <w:rsid w:val="00050B2C"/>
    <w:rsid w:val="00050F6B"/>
    <w:rsid w:val="00054A2A"/>
    <w:rsid w:val="00056E1C"/>
    <w:rsid w:val="00057D31"/>
    <w:rsid w:val="00057F00"/>
    <w:rsid w:val="00060675"/>
    <w:rsid w:val="00061092"/>
    <w:rsid w:val="00062540"/>
    <w:rsid w:val="000678CD"/>
    <w:rsid w:val="00072C8C"/>
    <w:rsid w:val="00073BC9"/>
    <w:rsid w:val="00075498"/>
    <w:rsid w:val="00081CE0"/>
    <w:rsid w:val="00081E5B"/>
    <w:rsid w:val="00082FAE"/>
    <w:rsid w:val="00084D30"/>
    <w:rsid w:val="00090320"/>
    <w:rsid w:val="00091148"/>
    <w:rsid w:val="000918D7"/>
    <w:rsid w:val="000931C0"/>
    <w:rsid w:val="0009455D"/>
    <w:rsid w:val="00097793"/>
    <w:rsid w:val="000A2E09"/>
    <w:rsid w:val="000A7DA7"/>
    <w:rsid w:val="000B175B"/>
    <w:rsid w:val="000B3A0F"/>
    <w:rsid w:val="000B41FA"/>
    <w:rsid w:val="000C2A7D"/>
    <w:rsid w:val="000D5A55"/>
    <w:rsid w:val="000D7C1F"/>
    <w:rsid w:val="000E0415"/>
    <w:rsid w:val="000E0EF4"/>
    <w:rsid w:val="000E1168"/>
    <w:rsid w:val="000E233A"/>
    <w:rsid w:val="000E6779"/>
    <w:rsid w:val="000E7EB0"/>
    <w:rsid w:val="000F5D2C"/>
    <w:rsid w:val="000F7715"/>
    <w:rsid w:val="001022EF"/>
    <w:rsid w:val="00103E99"/>
    <w:rsid w:val="0010751E"/>
    <w:rsid w:val="00116363"/>
    <w:rsid w:val="001179A1"/>
    <w:rsid w:val="00124143"/>
    <w:rsid w:val="00125674"/>
    <w:rsid w:val="001352C3"/>
    <w:rsid w:val="00140040"/>
    <w:rsid w:val="0014401A"/>
    <w:rsid w:val="00147EF3"/>
    <w:rsid w:val="00156B99"/>
    <w:rsid w:val="0015713B"/>
    <w:rsid w:val="00161037"/>
    <w:rsid w:val="00162C00"/>
    <w:rsid w:val="00166124"/>
    <w:rsid w:val="00167F20"/>
    <w:rsid w:val="0017009E"/>
    <w:rsid w:val="00172600"/>
    <w:rsid w:val="00175A3C"/>
    <w:rsid w:val="001765D7"/>
    <w:rsid w:val="00176739"/>
    <w:rsid w:val="00184DDA"/>
    <w:rsid w:val="001874B4"/>
    <w:rsid w:val="001900CD"/>
    <w:rsid w:val="00193D85"/>
    <w:rsid w:val="0019444B"/>
    <w:rsid w:val="001A0452"/>
    <w:rsid w:val="001A3481"/>
    <w:rsid w:val="001A4D53"/>
    <w:rsid w:val="001A5F15"/>
    <w:rsid w:val="001A73D9"/>
    <w:rsid w:val="001B45E8"/>
    <w:rsid w:val="001B4B04"/>
    <w:rsid w:val="001B5875"/>
    <w:rsid w:val="001C3A25"/>
    <w:rsid w:val="001C4B28"/>
    <w:rsid w:val="001C4B9C"/>
    <w:rsid w:val="001C6663"/>
    <w:rsid w:val="001C7895"/>
    <w:rsid w:val="001D15C4"/>
    <w:rsid w:val="001D26DF"/>
    <w:rsid w:val="001D312D"/>
    <w:rsid w:val="001E0DF6"/>
    <w:rsid w:val="001E583F"/>
    <w:rsid w:val="001F12DF"/>
    <w:rsid w:val="001F1599"/>
    <w:rsid w:val="001F1961"/>
    <w:rsid w:val="001F19C4"/>
    <w:rsid w:val="001F6B91"/>
    <w:rsid w:val="001F7A8B"/>
    <w:rsid w:val="002041AA"/>
    <w:rsid w:val="002043F0"/>
    <w:rsid w:val="002060B9"/>
    <w:rsid w:val="00211E0B"/>
    <w:rsid w:val="00213BCA"/>
    <w:rsid w:val="00215A1B"/>
    <w:rsid w:val="00216BB2"/>
    <w:rsid w:val="00222F2C"/>
    <w:rsid w:val="00230496"/>
    <w:rsid w:val="00232575"/>
    <w:rsid w:val="0023481B"/>
    <w:rsid w:val="0023589F"/>
    <w:rsid w:val="00247258"/>
    <w:rsid w:val="00250356"/>
    <w:rsid w:val="002565C8"/>
    <w:rsid w:val="002574B9"/>
    <w:rsid w:val="00257CAC"/>
    <w:rsid w:val="00264807"/>
    <w:rsid w:val="0028099F"/>
    <w:rsid w:val="002815FC"/>
    <w:rsid w:val="00295F1A"/>
    <w:rsid w:val="00295FB5"/>
    <w:rsid w:val="002974E9"/>
    <w:rsid w:val="002A189E"/>
    <w:rsid w:val="002A214F"/>
    <w:rsid w:val="002A6D75"/>
    <w:rsid w:val="002A7CE7"/>
    <w:rsid w:val="002A7F94"/>
    <w:rsid w:val="002B109A"/>
    <w:rsid w:val="002B12DC"/>
    <w:rsid w:val="002B16A1"/>
    <w:rsid w:val="002B1765"/>
    <w:rsid w:val="002B2A16"/>
    <w:rsid w:val="002B400C"/>
    <w:rsid w:val="002B5293"/>
    <w:rsid w:val="002B5F94"/>
    <w:rsid w:val="002C1973"/>
    <w:rsid w:val="002C3A37"/>
    <w:rsid w:val="002C4661"/>
    <w:rsid w:val="002C57D6"/>
    <w:rsid w:val="002C6D45"/>
    <w:rsid w:val="002D15DD"/>
    <w:rsid w:val="002D1828"/>
    <w:rsid w:val="002D28D9"/>
    <w:rsid w:val="002D4CF0"/>
    <w:rsid w:val="002D6CF5"/>
    <w:rsid w:val="002D6E53"/>
    <w:rsid w:val="002D743E"/>
    <w:rsid w:val="002E0C3F"/>
    <w:rsid w:val="002E2296"/>
    <w:rsid w:val="002E23C9"/>
    <w:rsid w:val="002E6DB4"/>
    <w:rsid w:val="002F024B"/>
    <w:rsid w:val="002F046D"/>
    <w:rsid w:val="002F1811"/>
    <w:rsid w:val="003007E7"/>
    <w:rsid w:val="00301764"/>
    <w:rsid w:val="00302B3E"/>
    <w:rsid w:val="00306B1E"/>
    <w:rsid w:val="00321665"/>
    <w:rsid w:val="003229D8"/>
    <w:rsid w:val="00323AD2"/>
    <w:rsid w:val="0032508A"/>
    <w:rsid w:val="0032737D"/>
    <w:rsid w:val="00336080"/>
    <w:rsid w:val="00336C97"/>
    <w:rsid w:val="00337D65"/>
    <w:rsid w:val="00337F88"/>
    <w:rsid w:val="00342432"/>
    <w:rsid w:val="0034444E"/>
    <w:rsid w:val="00350B59"/>
    <w:rsid w:val="00352D4B"/>
    <w:rsid w:val="00354724"/>
    <w:rsid w:val="00354CED"/>
    <w:rsid w:val="0035638C"/>
    <w:rsid w:val="003564DC"/>
    <w:rsid w:val="00370928"/>
    <w:rsid w:val="00373041"/>
    <w:rsid w:val="003734DE"/>
    <w:rsid w:val="003761D2"/>
    <w:rsid w:val="003806F0"/>
    <w:rsid w:val="00382512"/>
    <w:rsid w:val="0038499B"/>
    <w:rsid w:val="003A1C51"/>
    <w:rsid w:val="003A30C6"/>
    <w:rsid w:val="003A46BB"/>
    <w:rsid w:val="003A4EC7"/>
    <w:rsid w:val="003A550E"/>
    <w:rsid w:val="003A7295"/>
    <w:rsid w:val="003B115E"/>
    <w:rsid w:val="003B1F60"/>
    <w:rsid w:val="003B3A7E"/>
    <w:rsid w:val="003B4643"/>
    <w:rsid w:val="003C2CC4"/>
    <w:rsid w:val="003C3176"/>
    <w:rsid w:val="003C7026"/>
    <w:rsid w:val="003D4B23"/>
    <w:rsid w:val="003D58A1"/>
    <w:rsid w:val="003D6C76"/>
    <w:rsid w:val="003D7D9E"/>
    <w:rsid w:val="003E278A"/>
    <w:rsid w:val="003E3D94"/>
    <w:rsid w:val="003E68D1"/>
    <w:rsid w:val="003F07CB"/>
    <w:rsid w:val="003F557E"/>
    <w:rsid w:val="003F72F0"/>
    <w:rsid w:val="00400029"/>
    <w:rsid w:val="004019C8"/>
    <w:rsid w:val="004024E2"/>
    <w:rsid w:val="004032CF"/>
    <w:rsid w:val="00413520"/>
    <w:rsid w:val="00414F7A"/>
    <w:rsid w:val="004272D2"/>
    <w:rsid w:val="00431D4D"/>
    <w:rsid w:val="004325CB"/>
    <w:rsid w:val="00432608"/>
    <w:rsid w:val="00433A82"/>
    <w:rsid w:val="00440A07"/>
    <w:rsid w:val="00450EF8"/>
    <w:rsid w:val="00456441"/>
    <w:rsid w:val="00462880"/>
    <w:rsid w:val="0047298C"/>
    <w:rsid w:val="0047429E"/>
    <w:rsid w:val="004769ED"/>
    <w:rsid w:val="00476F24"/>
    <w:rsid w:val="004777B1"/>
    <w:rsid w:val="004839F3"/>
    <w:rsid w:val="0048402E"/>
    <w:rsid w:val="004840DD"/>
    <w:rsid w:val="004909E7"/>
    <w:rsid w:val="004917A1"/>
    <w:rsid w:val="0049311D"/>
    <w:rsid w:val="004B2A91"/>
    <w:rsid w:val="004B45B0"/>
    <w:rsid w:val="004B7EA2"/>
    <w:rsid w:val="004C55B0"/>
    <w:rsid w:val="004D51F6"/>
    <w:rsid w:val="004D63B1"/>
    <w:rsid w:val="004D6D1E"/>
    <w:rsid w:val="004E2443"/>
    <w:rsid w:val="004E4179"/>
    <w:rsid w:val="004E608F"/>
    <w:rsid w:val="004E7160"/>
    <w:rsid w:val="004F3F8F"/>
    <w:rsid w:val="004F6BA0"/>
    <w:rsid w:val="00503BEA"/>
    <w:rsid w:val="00512C18"/>
    <w:rsid w:val="00530289"/>
    <w:rsid w:val="00533616"/>
    <w:rsid w:val="00535170"/>
    <w:rsid w:val="00535ABA"/>
    <w:rsid w:val="00536572"/>
    <w:rsid w:val="005371A0"/>
    <w:rsid w:val="0053768B"/>
    <w:rsid w:val="005420F2"/>
    <w:rsid w:val="00542768"/>
    <w:rsid w:val="0054285C"/>
    <w:rsid w:val="005445FF"/>
    <w:rsid w:val="00546138"/>
    <w:rsid w:val="00547A88"/>
    <w:rsid w:val="0055514F"/>
    <w:rsid w:val="005566B9"/>
    <w:rsid w:val="00560572"/>
    <w:rsid w:val="00563388"/>
    <w:rsid w:val="00564BF4"/>
    <w:rsid w:val="005670DF"/>
    <w:rsid w:val="005708B5"/>
    <w:rsid w:val="00573297"/>
    <w:rsid w:val="00584173"/>
    <w:rsid w:val="005850DE"/>
    <w:rsid w:val="005872C3"/>
    <w:rsid w:val="005878A9"/>
    <w:rsid w:val="00587C17"/>
    <w:rsid w:val="00595520"/>
    <w:rsid w:val="005A0287"/>
    <w:rsid w:val="005A44B9"/>
    <w:rsid w:val="005A548A"/>
    <w:rsid w:val="005A5AE3"/>
    <w:rsid w:val="005B1BA0"/>
    <w:rsid w:val="005B3673"/>
    <w:rsid w:val="005B3BEA"/>
    <w:rsid w:val="005B3DB3"/>
    <w:rsid w:val="005C58F0"/>
    <w:rsid w:val="005C700B"/>
    <w:rsid w:val="005D15CA"/>
    <w:rsid w:val="005D1867"/>
    <w:rsid w:val="005D2C39"/>
    <w:rsid w:val="005D390C"/>
    <w:rsid w:val="005E6AAF"/>
    <w:rsid w:val="005F3066"/>
    <w:rsid w:val="005F3E61"/>
    <w:rsid w:val="005F51F6"/>
    <w:rsid w:val="005F69C7"/>
    <w:rsid w:val="005F7732"/>
    <w:rsid w:val="00602982"/>
    <w:rsid w:val="00603A98"/>
    <w:rsid w:val="00604DDD"/>
    <w:rsid w:val="006115CC"/>
    <w:rsid w:val="00611FC4"/>
    <w:rsid w:val="00613302"/>
    <w:rsid w:val="006176FB"/>
    <w:rsid w:val="00617EFC"/>
    <w:rsid w:val="0062346C"/>
    <w:rsid w:val="0062380F"/>
    <w:rsid w:val="0062564C"/>
    <w:rsid w:val="00630FCB"/>
    <w:rsid w:val="00632F10"/>
    <w:rsid w:val="00633628"/>
    <w:rsid w:val="00633825"/>
    <w:rsid w:val="0064017F"/>
    <w:rsid w:val="00640B26"/>
    <w:rsid w:val="00642312"/>
    <w:rsid w:val="00642502"/>
    <w:rsid w:val="006470FA"/>
    <w:rsid w:val="0064748F"/>
    <w:rsid w:val="00651A29"/>
    <w:rsid w:val="006643C6"/>
    <w:rsid w:val="00666591"/>
    <w:rsid w:val="00667D6B"/>
    <w:rsid w:val="00671B0D"/>
    <w:rsid w:val="006770B2"/>
    <w:rsid w:val="00682407"/>
    <w:rsid w:val="006853B3"/>
    <w:rsid w:val="006940E1"/>
    <w:rsid w:val="006A1D39"/>
    <w:rsid w:val="006A3C72"/>
    <w:rsid w:val="006A7392"/>
    <w:rsid w:val="006B03A1"/>
    <w:rsid w:val="006B67D9"/>
    <w:rsid w:val="006B6FE3"/>
    <w:rsid w:val="006C5535"/>
    <w:rsid w:val="006D0589"/>
    <w:rsid w:val="006D513E"/>
    <w:rsid w:val="006E2D41"/>
    <w:rsid w:val="006E3E37"/>
    <w:rsid w:val="006E564B"/>
    <w:rsid w:val="006E7154"/>
    <w:rsid w:val="006F0884"/>
    <w:rsid w:val="006F3F42"/>
    <w:rsid w:val="007003CD"/>
    <w:rsid w:val="00703793"/>
    <w:rsid w:val="00703A6D"/>
    <w:rsid w:val="0070701E"/>
    <w:rsid w:val="0070702F"/>
    <w:rsid w:val="0071017C"/>
    <w:rsid w:val="0071447C"/>
    <w:rsid w:val="00714B5C"/>
    <w:rsid w:val="00715BE5"/>
    <w:rsid w:val="0072632A"/>
    <w:rsid w:val="0073337B"/>
    <w:rsid w:val="007358E8"/>
    <w:rsid w:val="00736ECE"/>
    <w:rsid w:val="007408A0"/>
    <w:rsid w:val="00741FCD"/>
    <w:rsid w:val="0074533B"/>
    <w:rsid w:val="00751C10"/>
    <w:rsid w:val="00753C81"/>
    <w:rsid w:val="00755BB0"/>
    <w:rsid w:val="00762EA6"/>
    <w:rsid w:val="00763B98"/>
    <w:rsid w:val="0076432E"/>
    <w:rsid w:val="007643BC"/>
    <w:rsid w:val="00764F01"/>
    <w:rsid w:val="00770846"/>
    <w:rsid w:val="007810E1"/>
    <w:rsid w:val="00781D93"/>
    <w:rsid w:val="00790877"/>
    <w:rsid w:val="007942D2"/>
    <w:rsid w:val="0079577B"/>
    <w:rsid w:val="007959FE"/>
    <w:rsid w:val="00795E37"/>
    <w:rsid w:val="00797B67"/>
    <w:rsid w:val="007A0CF1"/>
    <w:rsid w:val="007A38B0"/>
    <w:rsid w:val="007A57B8"/>
    <w:rsid w:val="007A6BE6"/>
    <w:rsid w:val="007A7CC0"/>
    <w:rsid w:val="007B1DF4"/>
    <w:rsid w:val="007B5DDD"/>
    <w:rsid w:val="007B614B"/>
    <w:rsid w:val="007B6A61"/>
    <w:rsid w:val="007B6BA5"/>
    <w:rsid w:val="007C2A8D"/>
    <w:rsid w:val="007C3390"/>
    <w:rsid w:val="007C42D8"/>
    <w:rsid w:val="007C4681"/>
    <w:rsid w:val="007C4F4B"/>
    <w:rsid w:val="007C68C8"/>
    <w:rsid w:val="007D5759"/>
    <w:rsid w:val="007D6D44"/>
    <w:rsid w:val="007D7362"/>
    <w:rsid w:val="007E1F70"/>
    <w:rsid w:val="007E36CB"/>
    <w:rsid w:val="007E4914"/>
    <w:rsid w:val="007F1E0D"/>
    <w:rsid w:val="007F2E11"/>
    <w:rsid w:val="007F546E"/>
    <w:rsid w:val="007F5CE2"/>
    <w:rsid w:val="007F6611"/>
    <w:rsid w:val="008018E5"/>
    <w:rsid w:val="00803B7F"/>
    <w:rsid w:val="00804588"/>
    <w:rsid w:val="00810BAC"/>
    <w:rsid w:val="008175E9"/>
    <w:rsid w:val="008203B2"/>
    <w:rsid w:val="0082405C"/>
    <w:rsid w:val="008242D7"/>
    <w:rsid w:val="00825578"/>
    <w:rsid w:val="0082577B"/>
    <w:rsid w:val="00830D15"/>
    <w:rsid w:val="00832F2B"/>
    <w:rsid w:val="0083344C"/>
    <w:rsid w:val="00834DF7"/>
    <w:rsid w:val="00841620"/>
    <w:rsid w:val="008419FE"/>
    <w:rsid w:val="00843148"/>
    <w:rsid w:val="00843945"/>
    <w:rsid w:val="00850790"/>
    <w:rsid w:val="008522F9"/>
    <w:rsid w:val="008558E7"/>
    <w:rsid w:val="00857A4B"/>
    <w:rsid w:val="0086054B"/>
    <w:rsid w:val="00866893"/>
    <w:rsid w:val="00866F02"/>
    <w:rsid w:val="00867D18"/>
    <w:rsid w:val="008707F8"/>
    <w:rsid w:val="00871F9A"/>
    <w:rsid w:val="00871FD5"/>
    <w:rsid w:val="00875C1D"/>
    <w:rsid w:val="00876B8E"/>
    <w:rsid w:val="0088172E"/>
    <w:rsid w:val="00881EFA"/>
    <w:rsid w:val="00883E28"/>
    <w:rsid w:val="00887A7D"/>
    <w:rsid w:val="0089256A"/>
    <w:rsid w:val="008979B1"/>
    <w:rsid w:val="008A57C8"/>
    <w:rsid w:val="008A5859"/>
    <w:rsid w:val="008A59A3"/>
    <w:rsid w:val="008A6792"/>
    <w:rsid w:val="008A6B25"/>
    <w:rsid w:val="008A6C4F"/>
    <w:rsid w:val="008A7787"/>
    <w:rsid w:val="008B389E"/>
    <w:rsid w:val="008B41F4"/>
    <w:rsid w:val="008B59E3"/>
    <w:rsid w:val="008C00E4"/>
    <w:rsid w:val="008C2268"/>
    <w:rsid w:val="008C5B2D"/>
    <w:rsid w:val="008C5BCB"/>
    <w:rsid w:val="008D045E"/>
    <w:rsid w:val="008D0966"/>
    <w:rsid w:val="008D0D4F"/>
    <w:rsid w:val="008D3F25"/>
    <w:rsid w:val="008D4D82"/>
    <w:rsid w:val="008E0E09"/>
    <w:rsid w:val="008E0E46"/>
    <w:rsid w:val="008E4437"/>
    <w:rsid w:val="008E5A5D"/>
    <w:rsid w:val="008E7116"/>
    <w:rsid w:val="008F143B"/>
    <w:rsid w:val="008F33C4"/>
    <w:rsid w:val="008F3882"/>
    <w:rsid w:val="008F3C40"/>
    <w:rsid w:val="008F4B7C"/>
    <w:rsid w:val="008F73B3"/>
    <w:rsid w:val="00904D63"/>
    <w:rsid w:val="00906BFE"/>
    <w:rsid w:val="00914DC3"/>
    <w:rsid w:val="00915C95"/>
    <w:rsid w:val="00916B9C"/>
    <w:rsid w:val="00924CF0"/>
    <w:rsid w:val="00926E47"/>
    <w:rsid w:val="009324AE"/>
    <w:rsid w:val="00945B24"/>
    <w:rsid w:val="00946D3D"/>
    <w:rsid w:val="00946EAC"/>
    <w:rsid w:val="00947162"/>
    <w:rsid w:val="009479C1"/>
    <w:rsid w:val="00953163"/>
    <w:rsid w:val="009601FF"/>
    <w:rsid w:val="0096068B"/>
    <w:rsid w:val="00960D5D"/>
    <w:rsid w:val="009610D0"/>
    <w:rsid w:val="0096375C"/>
    <w:rsid w:val="009662E6"/>
    <w:rsid w:val="0097095E"/>
    <w:rsid w:val="00971DA2"/>
    <w:rsid w:val="00974F7C"/>
    <w:rsid w:val="00980DD8"/>
    <w:rsid w:val="00980F57"/>
    <w:rsid w:val="00982DDC"/>
    <w:rsid w:val="0098592B"/>
    <w:rsid w:val="00985AB9"/>
    <w:rsid w:val="00985FC4"/>
    <w:rsid w:val="00986DFE"/>
    <w:rsid w:val="00987FC0"/>
    <w:rsid w:val="00990766"/>
    <w:rsid w:val="00991261"/>
    <w:rsid w:val="0099198F"/>
    <w:rsid w:val="00992C68"/>
    <w:rsid w:val="0099552C"/>
    <w:rsid w:val="00995FA1"/>
    <w:rsid w:val="009964C4"/>
    <w:rsid w:val="009A2381"/>
    <w:rsid w:val="009A6B7B"/>
    <w:rsid w:val="009A7B81"/>
    <w:rsid w:val="009B29EA"/>
    <w:rsid w:val="009C144C"/>
    <w:rsid w:val="009C15C1"/>
    <w:rsid w:val="009C59B9"/>
    <w:rsid w:val="009D01C0"/>
    <w:rsid w:val="009D0FD7"/>
    <w:rsid w:val="009D3BF3"/>
    <w:rsid w:val="009D6A08"/>
    <w:rsid w:val="009E0A16"/>
    <w:rsid w:val="009E3437"/>
    <w:rsid w:val="009E5797"/>
    <w:rsid w:val="009E7970"/>
    <w:rsid w:val="009F2C95"/>
    <w:rsid w:val="009F2EAC"/>
    <w:rsid w:val="009F55EE"/>
    <w:rsid w:val="009F57E3"/>
    <w:rsid w:val="00A00D3D"/>
    <w:rsid w:val="00A07EBB"/>
    <w:rsid w:val="00A10F4F"/>
    <w:rsid w:val="00A11067"/>
    <w:rsid w:val="00A138AB"/>
    <w:rsid w:val="00A1704A"/>
    <w:rsid w:val="00A23E9E"/>
    <w:rsid w:val="00A31669"/>
    <w:rsid w:val="00A370D7"/>
    <w:rsid w:val="00A41BB8"/>
    <w:rsid w:val="00A425EB"/>
    <w:rsid w:val="00A433C3"/>
    <w:rsid w:val="00A4488E"/>
    <w:rsid w:val="00A45CB7"/>
    <w:rsid w:val="00A47439"/>
    <w:rsid w:val="00A72F22"/>
    <w:rsid w:val="00A733BC"/>
    <w:rsid w:val="00A748A6"/>
    <w:rsid w:val="00A749C1"/>
    <w:rsid w:val="00A76A69"/>
    <w:rsid w:val="00A77D0C"/>
    <w:rsid w:val="00A80B8D"/>
    <w:rsid w:val="00A824E7"/>
    <w:rsid w:val="00A865A7"/>
    <w:rsid w:val="00A879A4"/>
    <w:rsid w:val="00A910B4"/>
    <w:rsid w:val="00A92AF7"/>
    <w:rsid w:val="00A955E7"/>
    <w:rsid w:val="00A95750"/>
    <w:rsid w:val="00A96696"/>
    <w:rsid w:val="00A976DD"/>
    <w:rsid w:val="00AA0FF8"/>
    <w:rsid w:val="00AA3567"/>
    <w:rsid w:val="00AB2CE7"/>
    <w:rsid w:val="00AB2D13"/>
    <w:rsid w:val="00AC0F2C"/>
    <w:rsid w:val="00AC502A"/>
    <w:rsid w:val="00AC58F4"/>
    <w:rsid w:val="00AC7298"/>
    <w:rsid w:val="00AC7C33"/>
    <w:rsid w:val="00AD79E9"/>
    <w:rsid w:val="00AE622C"/>
    <w:rsid w:val="00AF3A98"/>
    <w:rsid w:val="00AF58C1"/>
    <w:rsid w:val="00B01321"/>
    <w:rsid w:val="00B03E68"/>
    <w:rsid w:val="00B05D2C"/>
    <w:rsid w:val="00B06643"/>
    <w:rsid w:val="00B109A9"/>
    <w:rsid w:val="00B1269C"/>
    <w:rsid w:val="00B135B1"/>
    <w:rsid w:val="00B15055"/>
    <w:rsid w:val="00B17FC5"/>
    <w:rsid w:val="00B2175D"/>
    <w:rsid w:val="00B23A4E"/>
    <w:rsid w:val="00B27044"/>
    <w:rsid w:val="00B30179"/>
    <w:rsid w:val="00B37B15"/>
    <w:rsid w:val="00B4482F"/>
    <w:rsid w:val="00B45C02"/>
    <w:rsid w:val="00B4691D"/>
    <w:rsid w:val="00B53D07"/>
    <w:rsid w:val="00B56A74"/>
    <w:rsid w:val="00B609E7"/>
    <w:rsid w:val="00B628EC"/>
    <w:rsid w:val="00B62EEE"/>
    <w:rsid w:val="00B63F27"/>
    <w:rsid w:val="00B70F5A"/>
    <w:rsid w:val="00B71791"/>
    <w:rsid w:val="00B72A1E"/>
    <w:rsid w:val="00B72EA3"/>
    <w:rsid w:val="00B75E02"/>
    <w:rsid w:val="00B80493"/>
    <w:rsid w:val="00B80D50"/>
    <w:rsid w:val="00B81E12"/>
    <w:rsid w:val="00B8509D"/>
    <w:rsid w:val="00B9110C"/>
    <w:rsid w:val="00BA339B"/>
    <w:rsid w:val="00BB1D4F"/>
    <w:rsid w:val="00BB2862"/>
    <w:rsid w:val="00BB3D9E"/>
    <w:rsid w:val="00BB5263"/>
    <w:rsid w:val="00BB6012"/>
    <w:rsid w:val="00BB6C09"/>
    <w:rsid w:val="00BC1E7E"/>
    <w:rsid w:val="00BC2E45"/>
    <w:rsid w:val="00BC3E26"/>
    <w:rsid w:val="00BC4C12"/>
    <w:rsid w:val="00BC74E9"/>
    <w:rsid w:val="00BD1C64"/>
    <w:rsid w:val="00BD242C"/>
    <w:rsid w:val="00BE36A9"/>
    <w:rsid w:val="00BE5463"/>
    <w:rsid w:val="00BE618E"/>
    <w:rsid w:val="00BE6AD7"/>
    <w:rsid w:val="00BE7BEC"/>
    <w:rsid w:val="00BF0A5A"/>
    <w:rsid w:val="00BF0E63"/>
    <w:rsid w:val="00BF103C"/>
    <w:rsid w:val="00BF12A3"/>
    <w:rsid w:val="00BF16D7"/>
    <w:rsid w:val="00BF218C"/>
    <w:rsid w:val="00BF2373"/>
    <w:rsid w:val="00BF36F3"/>
    <w:rsid w:val="00C03A88"/>
    <w:rsid w:val="00C044E2"/>
    <w:rsid w:val="00C046B5"/>
    <w:rsid w:val="00C048CB"/>
    <w:rsid w:val="00C066F3"/>
    <w:rsid w:val="00C06865"/>
    <w:rsid w:val="00C07CA9"/>
    <w:rsid w:val="00C10783"/>
    <w:rsid w:val="00C11B07"/>
    <w:rsid w:val="00C129D5"/>
    <w:rsid w:val="00C131B1"/>
    <w:rsid w:val="00C13F36"/>
    <w:rsid w:val="00C15DC2"/>
    <w:rsid w:val="00C225E4"/>
    <w:rsid w:val="00C250FE"/>
    <w:rsid w:val="00C30AAC"/>
    <w:rsid w:val="00C31A6C"/>
    <w:rsid w:val="00C36878"/>
    <w:rsid w:val="00C42610"/>
    <w:rsid w:val="00C443B6"/>
    <w:rsid w:val="00C44BB0"/>
    <w:rsid w:val="00C45BBB"/>
    <w:rsid w:val="00C463DD"/>
    <w:rsid w:val="00C505CD"/>
    <w:rsid w:val="00C55B9D"/>
    <w:rsid w:val="00C60D93"/>
    <w:rsid w:val="00C62A7A"/>
    <w:rsid w:val="00C70809"/>
    <w:rsid w:val="00C745C3"/>
    <w:rsid w:val="00C76BF5"/>
    <w:rsid w:val="00C805A7"/>
    <w:rsid w:val="00C8101F"/>
    <w:rsid w:val="00C83923"/>
    <w:rsid w:val="00C9213B"/>
    <w:rsid w:val="00CA1EC3"/>
    <w:rsid w:val="00CA2221"/>
    <w:rsid w:val="00CA24A4"/>
    <w:rsid w:val="00CA3137"/>
    <w:rsid w:val="00CA3AF1"/>
    <w:rsid w:val="00CA44E1"/>
    <w:rsid w:val="00CA6540"/>
    <w:rsid w:val="00CA7045"/>
    <w:rsid w:val="00CB1981"/>
    <w:rsid w:val="00CB348D"/>
    <w:rsid w:val="00CB34BE"/>
    <w:rsid w:val="00CB4FCE"/>
    <w:rsid w:val="00CB51DE"/>
    <w:rsid w:val="00CB5B76"/>
    <w:rsid w:val="00CB763D"/>
    <w:rsid w:val="00CC0178"/>
    <w:rsid w:val="00CC1589"/>
    <w:rsid w:val="00CC1B3A"/>
    <w:rsid w:val="00CC4E06"/>
    <w:rsid w:val="00CC4EC6"/>
    <w:rsid w:val="00CD1C17"/>
    <w:rsid w:val="00CD2214"/>
    <w:rsid w:val="00CD46F5"/>
    <w:rsid w:val="00CD58A9"/>
    <w:rsid w:val="00CD6883"/>
    <w:rsid w:val="00CD6C29"/>
    <w:rsid w:val="00CE2428"/>
    <w:rsid w:val="00CE2D0B"/>
    <w:rsid w:val="00CE4A8F"/>
    <w:rsid w:val="00CE52ED"/>
    <w:rsid w:val="00CF071D"/>
    <w:rsid w:val="00CF102B"/>
    <w:rsid w:val="00CF116C"/>
    <w:rsid w:val="00D00745"/>
    <w:rsid w:val="00D03595"/>
    <w:rsid w:val="00D1319A"/>
    <w:rsid w:val="00D15B04"/>
    <w:rsid w:val="00D2031B"/>
    <w:rsid w:val="00D22806"/>
    <w:rsid w:val="00D231B0"/>
    <w:rsid w:val="00D23EAC"/>
    <w:rsid w:val="00D25583"/>
    <w:rsid w:val="00D25EC1"/>
    <w:rsid w:val="00D25FE2"/>
    <w:rsid w:val="00D2734D"/>
    <w:rsid w:val="00D37DA9"/>
    <w:rsid w:val="00D406A7"/>
    <w:rsid w:val="00D43252"/>
    <w:rsid w:val="00D44D86"/>
    <w:rsid w:val="00D4540B"/>
    <w:rsid w:val="00D50A7A"/>
    <w:rsid w:val="00D50B7D"/>
    <w:rsid w:val="00D52012"/>
    <w:rsid w:val="00D52588"/>
    <w:rsid w:val="00D53D19"/>
    <w:rsid w:val="00D57536"/>
    <w:rsid w:val="00D601B7"/>
    <w:rsid w:val="00D61C55"/>
    <w:rsid w:val="00D64B61"/>
    <w:rsid w:val="00D6633F"/>
    <w:rsid w:val="00D704E5"/>
    <w:rsid w:val="00D72727"/>
    <w:rsid w:val="00D731DD"/>
    <w:rsid w:val="00D73D7E"/>
    <w:rsid w:val="00D8478F"/>
    <w:rsid w:val="00D871AC"/>
    <w:rsid w:val="00D90395"/>
    <w:rsid w:val="00D90415"/>
    <w:rsid w:val="00D917F9"/>
    <w:rsid w:val="00D91E8D"/>
    <w:rsid w:val="00D978C6"/>
    <w:rsid w:val="00DA0956"/>
    <w:rsid w:val="00DA121A"/>
    <w:rsid w:val="00DA21D8"/>
    <w:rsid w:val="00DA357F"/>
    <w:rsid w:val="00DA3E12"/>
    <w:rsid w:val="00DB00AA"/>
    <w:rsid w:val="00DB0BFD"/>
    <w:rsid w:val="00DB5900"/>
    <w:rsid w:val="00DB66FA"/>
    <w:rsid w:val="00DC18AD"/>
    <w:rsid w:val="00DC2BFF"/>
    <w:rsid w:val="00DC36B8"/>
    <w:rsid w:val="00DC5541"/>
    <w:rsid w:val="00DC584A"/>
    <w:rsid w:val="00DD3FE8"/>
    <w:rsid w:val="00DE0CB9"/>
    <w:rsid w:val="00DE178B"/>
    <w:rsid w:val="00DE5105"/>
    <w:rsid w:val="00DF1147"/>
    <w:rsid w:val="00DF1A1E"/>
    <w:rsid w:val="00DF1BE5"/>
    <w:rsid w:val="00DF4518"/>
    <w:rsid w:val="00DF45EB"/>
    <w:rsid w:val="00DF5975"/>
    <w:rsid w:val="00DF6A82"/>
    <w:rsid w:val="00DF7CAE"/>
    <w:rsid w:val="00E02011"/>
    <w:rsid w:val="00E04FFB"/>
    <w:rsid w:val="00E05AE0"/>
    <w:rsid w:val="00E05E6D"/>
    <w:rsid w:val="00E06CCB"/>
    <w:rsid w:val="00E1061D"/>
    <w:rsid w:val="00E1773B"/>
    <w:rsid w:val="00E324A0"/>
    <w:rsid w:val="00E37495"/>
    <w:rsid w:val="00E423C0"/>
    <w:rsid w:val="00E50BC6"/>
    <w:rsid w:val="00E53624"/>
    <w:rsid w:val="00E54CF7"/>
    <w:rsid w:val="00E550E7"/>
    <w:rsid w:val="00E57974"/>
    <w:rsid w:val="00E62258"/>
    <w:rsid w:val="00E623FC"/>
    <w:rsid w:val="00E62965"/>
    <w:rsid w:val="00E63E5A"/>
    <w:rsid w:val="00E6414C"/>
    <w:rsid w:val="00E672F0"/>
    <w:rsid w:val="00E7260F"/>
    <w:rsid w:val="00E80AB5"/>
    <w:rsid w:val="00E813CE"/>
    <w:rsid w:val="00E82C50"/>
    <w:rsid w:val="00E86772"/>
    <w:rsid w:val="00E8702D"/>
    <w:rsid w:val="00E87C7D"/>
    <w:rsid w:val="00E916A9"/>
    <w:rsid w:val="00E916DE"/>
    <w:rsid w:val="00E9388E"/>
    <w:rsid w:val="00E96630"/>
    <w:rsid w:val="00EA20BE"/>
    <w:rsid w:val="00EA586A"/>
    <w:rsid w:val="00EA75D3"/>
    <w:rsid w:val="00EB38B8"/>
    <w:rsid w:val="00EB5B1B"/>
    <w:rsid w:val="00EC10B9"/>
    <w:rsid w:val="00EC1A07"/>
    <w:rsid w:val="00ED18DC"/>
    <w:rsid w:val="00ED6201"/>
    <w:rsid w:val="00ED7A2A"/>
    <w:rsid w:val="00ED7F40"/>
    <w:rsid w:val="00EE4832"/>
    <w:rsid w:val="00EF1D7F"/>
    <w:rsid w:val="00EF4426"/>
    <w:rsid w:val="00F0112A"/>
    <w:rsid w:val="00F011BF"/>
    <w:rsid w:val="00F0137E"/>
    <w:rsid w:val="00F0148F"/>
    <w:rsid w:val="00F132D7"/>
    <w:rsid w:val="00F21786"/>
    <w:rsid w:val="00F237F4"/>
    <w:rsid w:val="00F30B84"/>
    <w:rsid w:val="00F347BC"/>
    <w:rsid w:val="00F3742B"/>
    <w:rsid w:val="00F40112"/>
    <w:rsid w:val="00F40CCF"/>
    <w:rsid w:val="00F41E7B"/>
    <w:rsid w:val="00F41FDB"/>
    <w:rsid w:val="00F42082"/>
    <w:rsid w:val="00F42BD8"/>
    <w:rsid w:val="00F4575B"/>
    <w:rsid w:val="00F463C5"/>
    <w:rsid w:val="00F5337D"/>
    <w:rsid w:val="00F5390C"/>
    <w:rsid w:val="00F542ED"/>
    <w:rsid w:val="00F56D63"/>
    <w:rsid w:val="00F60127"/>
    <w:rsid w:val="00F609A9"/>
    <w:rsid w:val="00F6280E"/>
    <w:rsid w:val="00F63A40"/>
    <w:rsid w:val="00F72E74"/>
    <w:rsid w:val="00F7472D"/>
    <w:rsid w:val="00F80C99"/>
    <w:rsid w:val="00F867EC"/>
    <w:rsid w:val="00F91B2B"/>
    <w:rsid w:val="00F96CB6"/>
    <w:rsid w:val="00FA28CC"/>
    <w:rsid w:val="00FA3135"/>
    <w:rsid w:val="00FA3269"/>
    <w:rsid w:val="00FB468B"/>
    <w:rsid w:val="00FC03CD"/>
    <w:rsid w:val="00FC0646"/>
    <w:rsid w:val="00FC0826"/>
    <w:rsid w:val="00FC161F"/>
    <w:rsid w:val="00FC2FC6"/>
    <w:rsid w:val="00FC4258"/>
    <w:rsid w:val="00FC55A7"/>
    <w:rsid w:val="00FC68B7"/>
    <w:rsid w:val="00FD0A90"/>
    <w:rsid w:val="00FD1D35"/>
    <w:rsid w:val="00FD4505"/>
    <w:rsid w:val="00FD6382"/>
    <w:rsid w:val="00FD6E23"/>
    <w:rsid w:val="00FE58E6"/>
    <w:rsid w:val="00FE6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175AFCD2"/>
  <w15:chartTrackingRefBased/>
  <w15:docId w15:val="{9AD88CB2-792D-42DE-9916-088BD6F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rsid w:val="00FA3269"/>
    <w:rPr>
      <w:lang w:val="en-GB" w:eastAsia="en-US"/>
    </w:rPr>
  </w:style>
  <w:style w:type="character" w:customStyle="1" w:styleId="H1GChar">
    <w:name w:val="_ H_1_G Char"/>
    <w:link w:val="H1G"/>
    <w:qFormat/>
    <w:rsid w:val="00D6633F"/>
    <w:rPr>
      <w:b/>
      <w:sz w:val="24"/>
      <w:lang w:eastAsia="en-US"/>
    </w:rPr>
  </w:style>
  <w:style w:type="character" w:customStyle="1" w:styleId="SingleTxtGChar">
    <w:name w:val="_ Single Txt_G Char"/>
    <w:qFormat/>
    <w:locked/>
    <w:rsid w:val="0079577B"/>
    <w:rPr>
      <w:lang w:val="en-GB" w:eastAsia="en-US"/>
    </w:rPr>
  </w:style>
  <w:style w:type="character" w:customStyle="1" w:styleId="UnresolvedMention1">
    <w:name w:val="Unresolved Mention1"/>
    <w:basedOn w:val="DefaultParagraphFont"/>
    <w:uiPriority w:val="99"/>
    <w:semiHidden/>
    <w:unhideWhenUsed/>
    <w:rsid w:val="00C03A88"/>
    <w:rPr>
      <w:color w:val="605E5C"/>
      <w:shd w:val="clear" w:color="auto" w:fill="E1DFDD"/>
    </w:rPr>
  </w:style>
  <w:style w:type="paragraph" w:styleId="ListParagraph">
    <w:name w:val="List Paragraph"/>
    <w:basedOn w:val="Normal"/>
    <w:uiPriority w:val="34"/>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qFormat/>
    <w:rsid w:val="00857A4B"/>
    <w:rPr>
      <w:sz w:val="18"/>
      <w:lang w:val="en-GB"/>
    </w:rPr>
  </w:style>
  <w:style w:type="character" w:customStyle="1" w:styleId="Ancredenotedebasdepage">
    <w:name w:val="Ancre de note de bas de page"/>
    <w:rsid w:val="00857A4B"/>
    <w:rPr>
      <w:vertAlign w:val="superscript"/>
    </w:rPr>
  </w:style>
  <w:style w:type="paragraph" w:customStyle="1" w:styleId="Default">
    <w:name w:val="Default"/>
    <w:rsid w:val="00A92AF7"/>
    <w:pPr>
      <w:autoSpaceDE w:val="0"/>
      <w:autoSpaceDN w:val="0"/>
      <w:adjustRightInd w:val="0"/>
    </w:pPr>
    <w:rPr>
      <w:color w:val="000000"/>
      <w:sz w:val="24"/>
      <w:szCs w:val="24"/>
    </w:rPr>
  </w:style>
  <w:style w:type="paragraph" w:customStyle="1" w:styleId="indent-1">
    <w:name w:val="indent-1"/>
    <w:basedOn w:val="Normal"/>
    <w:rsid w:val="00751C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costh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Christine Barrio-Champeau</DisplayName>
        <AccountId>49</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2.xml><?xml version="1.0" encoding="utf-8"?>
<ds:datastoreItem xmlns:ds="http://schemas.openxmlformats.org/officeDocument/2006/customXml" ds:itemID="{AB2C0F42-10C3-4B97-976C-A4EE6505C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8E0E-7F4D-46F4-AFBB-5B9C3DB41CCD}">
  <ds:schemaRefs>
    <ds:schemaRef ds:uri="http://schemas.openxmlformats.org/officeDocument/2006/bibliography"/>
  </ds:schemaRefs>
</ds:datastoreItem>
</file>

<file path=customXml/itemProps4.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1129</Words>
  <Characters>6438</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INF</vt:lpstr>
      <vt:lpstr>INF</vt:lpstr>
      <vt:lpstr>INF</vt:lpstr>
    </vt:vector>
  </TitlesOfParts>
  <Company>UNECE</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subject/>
  <dc:creator>Berthet</dc:creator>
  <cp:keywords/>
  <cp:lastModifiedBy>Romain Hubert</cp:lastModifiedBy>
  <cp:revision>35</cp:revision>
  <cp:lastPrinted>2019-09-06T13:58:00Z</cp:lastPrinted>
  <dcterms:created xsi:type="dcterms:W3CDTF">2022-03-12T08:35:00Z</dcterms:created>
  <dcterms:modified xsi:type="dcterms:W3CDTF">2022-03-12T10:44:00Z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