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F587" w14:textId="77777777" w:rsidR="00215A1B" w:rsidRPr="00560572" w:rsidRDefault="00215A1B" w:rsidP="00F5390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2D5B2684" w14:textId="77777777" w:rsidR="00215A1B" w:rsidRPr="00560572" w:rsidRDefault="00215A1B" w:rsidP="00F5390C">
      <w:pPr>
        <w:spacing w:before="120" w:after="0" w:line="240" w:lineRule="atLeast"/>
        <w:rPr>
          <w:sz w:val="28"/>
          <w:szCs w:val="28"/>
        </w:rPr>
      </w:pPr>
      <w:r w:rsidRPr="00560572">
        <w:rPr>
          <w:sz w:val="28"/>
          <w:szCs w:val="28"/>
        </w:rPr>
        <w:t>Inland Transport Committee</w:t>
      </w:r>
    </w:p>
    <w:p w14:paraId="1CE17411" w14:textId="779064B6" w:rsidR="00215A1B" w:rsidRPr="00560572" w:rsidRDefault="00215A1B" w:rsidP="009C15C1">
      <w:pPr>
        <w:tabs>
          <w:tab w:val="left" w:pos="7470"/>
        </w:tabs>
        <w:spacing w:before="120" w:after="0" w:line="240" w:lineRule="atLeast"/>
        <w:ind w:right="819"/>
        <w:rPr>
          <w:b/>
          <w:szCs w:val="24"/>
        </w:rPr>
      </w:pPr>
      <w:r w:rsidRPr="00560572">
        <w:rPr>
          <w:b/>
          <w:szCs w:val="24"/>
        </w:rPr>
        <w:t>Working Party on the Transport of Dangerous Goods</w:t>
      </w:r>
      <w:r w:rsidR="001C3A25" w:rsidRPr="00560572">
        <w:rPr>
          <w:b/>
          <w:szCs w:val="24"/>
        </w:rPr>
        <w:tab/>
      </w:r>
      <w:r w:rsidR="00A92AF7">
        <w:rPr>
          <w:b/>
        </w:rPr>
        <w:t>1</w:t>
      </w:r>
      <w:r w:rsidR="002A1C6D">
        <w:rPr>
          <w:b/>
        </w:rPr>
        <w:t>2</w:t>
      </w:r>
      <w:r w:rsidR="00E62258">
        <w:rPr>
          <w:b/>
        </w:rPr>
        <w:t xml:space="preserve"> </w:t>
      </w:r>
      <w:r w:rsidR="00A92AF7">
        <w:rPr>
          <w:b/>
        </w:rPr>
        <w:t xml:space="preserve">March </w:t>
      </w:r>
      <w:r w:rsidR="00FA3269">
        <w:rPr>
          <w:b/>
        </w:rPr>
        <w:t>20</w:t>
      </w:r>
      <w:r w:rsidR="0073337B">
        <w:rPr>
          <w:b/>
        </w:rPr>
        <w:t>2</w:t>
      </w:r>
      <w:r w:rsidR="000E1168">
        <w:rPr>
          <w:b/>
        </w:rPr>
        <w:t>2</w:t>
      </w:r>
    </w:p>
    <w:p w14:paraId="102E690D" w14:textId="77777777" w:rsidR="00215A1B" w:rsidRPr="00560572" w:rsidRDefault="00215A1B" w:rsidP="00AC7298">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5F80C607" w14:textId="3284D93D" w:rsidR="006643C6" w:rsidRPr="00CA6540" w:rsidRDefault="00097793" w:rsidP="00DC584A">
      <w:pPr>
        <w:spacing w:after="0" w:line="240" w:lineRule="atLeast"/>
        <w:rPr>
          <w:b/>
          <w:bCs/>
        </w:rPr>
      </w:pPr>
      <w:r w:rsidRPr="00560572">
        <w:t>Geneva</w:t>
      </w:r>
      <w:r w:rsidR="00215A1B" w:rsidRPr="00560572">
        <w:t xml:space="preserve">, </w:t>
      </w:r>
      <w:r w:rsidR="008C00E4">
        <w:t>14</w:t>
      </w:r>
      <w:r w:rsidRPr="00560572">
        <w:t xml:space="preserve"> </w:t>
      </w:r>
      <w:r w:rsidR="0073337B">
        <w:t xml:space="preserve">– </w:t>
      </w:r>
      <w:r w:rsidR="008C00E4">
        <w:t>18</w:t>
      </w:r>
      <w:r w:rsidR="0073337B">
        <w:t xml:space="preserve"> </w:t>
      </w:r>
      <w:r w:rsidR="008C00E4">
        <w:t>March</w:t>
      </w:r>
      <w:r w:rsidR="0073337B">
        <w:t xml:space="preserve"> </w:t>
      </w:r>
      <w:r w:rsidR="00FA3269">
        <w:t>20</w:t>
      </w:r>
      <w:r w:rsidR="0073337B">
        <w:t>2</w:t>
      </w:r>
      <w:r w:rsidR="008C00E4">
        <w:t>2</w:t>
      </w:r>
      <w:r w:rsidR="00215A1B" w:rsidRPr="00560572">
        <w:br/>
        <w:t xml:space="preserve">Item </w:t>
      </w:r>
      <w:r w:rsidR="00BE5463">
        <w:t>4</w:t>
      </w:r>
      <w:r w:rsidR="00215A1B" w:rsidRPr="00560572">
        <w:t xml:space="preserve"> of the provisional agenda</w:t>
      </w:r>
      <w:r w:rsidR="00AD79E9">
        <w:t>:</w:t>
      </w:r>
      <w:r w:rsidR="00215A1B" w:rsidRPr="00560572">
        <w:br/>
      </w:r>
      <w:r w:rsidR="00A92AF7" w:rsidRPr="00A92AF7">
        <w:rPr>
          <w:b/>
          <w:bCs/>
        </w:rPr>
        <w:t>Interpretation of RID/ADR/ADN</w:t>
      </w:r>
    </w:p>
    <w:p w14:paraId="6A39DE1F" w14:textId="14C8F39E" w:rsidR="00857A4B" w:rsidRDefault="00A1269B" w:rsidP="00A1269B">
      <w:pPr>
        <w:pStyle w:val="HChG"/>
      </w:pPr>
      <w:r>
        <w:tab/>
      </w:r>
      <w:r>
        <w:tab/>
      </w:r>
      <w:r w:rsidR="00A92AF7">
        <w:t xml:space="preserve">Interpretation </w:t>
      </w:r>
      <w:r w:rsidR="000E0EF4">
        <w:t>–</w:t>
      </w:r>
      <w:r w:rsidR="00603A98">
        <w:t xml:space="preserve"> D</w:t>
      </w:r>
      <w:r w:rsidR="00A31669">
        <w:t>irect d</w:t>
      </w:r>
      <w:r w:rsidR="00603A98">
        <w:t xml:space="preserve">elivery </w:t>
      </w:r>
      <w:r w:rsidR="00A92AF7">
        <w:t xml:space="preserve">of </w:t>
      </w:r>
      <w:r w:rsidR="00603A98">
        <w:t>dangerous goods to end consumers</w:t>
      </w:r>
      <w:r w:rsidR="000E0EF4">
        <w:t xml:space="preserve"> </w:t>
      </w:r>
      <w:r w:rsidR="00603A98">
        <w:t>(</w:t>
      </w:r>
      <w:r w:rsidR="00A31669">
        <w:t>use of “</w:t>
      </w:r>
      <w:r w:rsidR="00603A98">
        <w:t>overpacks</w:t>
      </w:r>
      <w:r w:rsidR="00A31669">
        <w:t>”</w:t>
      </w:r>
      <w:r w:rsidR="00603A98">
        <w:t>)</w:t>
      </w:r>
    </w:p>
    <w:p w14:paraId="490B3476" w14:textId="5ADE22E8" w:rsidR="00857A4B" w:rsidRPr="000E0EF4" w:rsidRDefault="00A1269B" w:rsidP="00A1269B">
      <w:pPr>
        <w:pStyle w:val="H1G"/>
      </w:pPr>
      <w:r>
        <w:tab/>
      </w:r>
      <w:r>
        <w:tab/>
      </w:r>
      <w:r w:rsidR="00A92AF7" w:rsidRPr="000E0EF4">
        <w:t>Transmitted by the Council on Safe Transportation of Hazardous Materials (COSTHA)</w:t>
      </w:r>
    </w:p>
    <w:p w14:paraId="76BE76C5" w14:textId="15E349D1" w:rsidR="00751C10" w:rsidRPr="004D2E8F" w:rsidRDefault="00A1269B" w:rsidP="00A1269B">
      <w:pPr>
        <w:pStyle w:val="HChG"/>
      </w:pPr>
      <w:r>
        <w:tab/>
      </w:r>
      <w:r>
        <w:tab/>
      </w:r>
      <w:r w:rsidR="00751C10" w:rsidRPr="004D2E8F">
        <w:t>Background</w:t>
      </w:r>
    </w:p>
    <w:p w14:paraId="03DF6891" w14:textId="5A2D6071" w:rsidR="00751C10" w:rsidRPr="004D2E8F" w:rsidRDefault="00A1269B" w:rsidP="00A1269B">
      <w:pPr>
        <w:pStyle w:val="SingleTxtG"/>
      </w:pPr>
      <w:r>
        <w:t>1.</w:t>
      </w:r>
      <w:r>
        <w:tab/>
      </w:r>
      <w:r w:rsidR="00751C10" w:rsidRPr="004D2E8F">
        <w:t>The amount of dangerous goods transported directly to end consumers has increased in volume in recent years. However, the ADR, as written, predominantly covers transportation between businesses whether those businesses are manufacturers, shippers, retail locations, or distribution sites. The direct delivery to an end consumer has historically been handled by parcel delivery companies, postal services, and the consumer themselves. To that end, the regulations have exceptions intended to limit the transport requirements for some of these types of shipments through the concept of limited quantity, which we support. COSTHA supports risk-based regulations, and we believe there are some minimum requirements such as “suitable outer packagings” and marking that may need to be clarified as well.</w:t>
      </w:r>
    </w:p>
    <w:p w14:paraId="2CBB460A" w14:textId="16C08E6B" w:rsidR="00751C10" w:rsidRPr="004D2E8F" w:rsidRDefault="00A1269B" w:rsidP="00A1269B">
      <w:pPr>
        <w:pStyle w:val="SingleTxtG"/>
      </w:pPr>
      <w:r>
        <w:t>2.</w:t>
      </w:r>
      <w:r>
        <w:tab/>
      </w:r>
      <w:r w:rsidR="00751C10" w:rsidRPr="004D2E8F">
        <w:t>For example, when limited quantity materials are packaged and further consigned within an overpack, the regulations require the overpack to be marked according to 3.4.11 of the ADR (LQ mark and “Overpack”). However, direct to consumer companies (parcel delivery and postal services) have the established practice of using a handling device (bag) during delivery operations and it is unclear if these bags constitute overpacks. When dealing with operations involving a box truck or lorry, similar bags are utilized to ease the loading and organization of trucks. The bags also increase the overall safety of these parcels in transport by providing yet another level of containment and protection. These bags are then unloaded at different stops along a delivery route. Similar bags are utilized in other operations such as delivery by bike and hand delivery. Postal services and other delivery operations involving the hand carriage of parcels will often utilize bags to facilitate the person tasked with carrying multiple parcels. Bike services utilize bags to ease the burden of steering the bike while handling additional packages.</w:t>
      </w:r>
    </w:p>
    <w:p w14:paraId="277AAC6D" w14:textId="1523F4DC" w:rsidR="00751C10" w:rsidRPr="004D2E8F" w:rsidRDefault="00A1269B" w:rsidP="00A1269B">
      <w:pPr>
        <w:pStyle w:val="SingleTxtG"/>
      </w:pPr>
      <w:r>
        <w:t>3.</w:t>
      </w:r>
      <w:r>
        <w:tab/>
      </w:r>
      <w:r w:rsidR="00751C10" w:rsidRPr="004D2E8F">
        <w:t xml:space="preserve">Within the ADR, these bags could be interpreted as meeting the definition of “Overpack” (“an enclosure to contain one or more packages”). However, throughout the delivery route, the contents of these bags are constantly changing as the driver delivers individual parcels. Since these bags contain both marked and unmarked </w:t>
      </w:r>
      <w:r w:rsidR="00A31669" w:rsidRPr="004D2E8F">
        <w:t>dangerous goods</w:t>
      </w:r>
      <w:r w:rsidR="00751C10" w:rsidRPr="004D2E8F">
        <w:t xml:space="preserve">, a driver/delivery person will not know at any given time when the final marked </w:t>
      </w:r>
      <w:r w:rsidR="00A31669" w:rsidRPr="004D2E8F">
        <w:t xml:space="preserve">dangerous goods </w:t>
      </w:r>
      <w:r w:rsidR="00751C10" w:rsidRPr="004D2E8F">
        <w:t xml:space="preserve">is removed from the bag. Once the last package containing </w:t>
      </w:r>
      <w:r w:rsidR="00A31669" w:rsidRPr="004D2E8F">
        <w:t xml:space="preserve">dangerous goods </w:t>
      </w:r>
      <w:r w:rsidR="00751C10" w:rsidRPr="004D2E8F">
        <w:t>is removed from the bag, the marking required for an overpack would need to be removed from the exterior of the bag, when it is no longer applicable or appropriate according to the regulations. Not removing this marking would communicate a hazard that does not exist and would be violating the regulations. Complying, and removing the marks, would place a burden on a driver/delivery person whose primary duty is the safe navigation and delivery of the packages.</w:t>
      </w:r>
    </w:p>
    <w:p w14:paraId="28358D51" w14:textId="23A305D6" w:rsidR="00751C10" w:rsidRPr="004D2E8F" w:rsidRDefault="00A1269B" w:rsidP="00A1269B">
      <w:pPr>
        <w:pStyle w:val="SingleTxtG"/>
      </w:pPr>
      <w:r>
        <w:lastRenderedPageBreak/>
        <w:t>4.</w:t>
      </w:r>
      <w:r>
        <w:tab/>
      </w:r>
      <w:r w:rsidR="00751C10" w:rsidRPr="004D2E8F">
        <w:t>Based on our interpretation of the regulations, we do not believe that these bags are “overpacks” based on the use (delivery operations) and the original concept of an overpack (consolidating packages for transport from point A to point B). Delivery operations are more dynamic (changing contents of packages), and last mile delivery companies are utilizing these bags to facilitate more efficient delivery operations while providing some additional (ancillary) safety benefits to the operation. Additional safety benefits would include limiting the potential for a package to be dropped/impacted or to fall within the vehicle.</w:t>
      </w:r>
    </w:p>
    <w:p w14:paraId="75878FC3" w14:textId="34A201D7" w:rsidR="00751C10" w:rsidRPr="004D2E8F" w:rsidRDefault="00A1269B" w:rsidP="00A1269B">
      <w:pPr>
        <w:pStyle w:val="HChG"/>
      </w:pPr>
      <w:r>
        <w:tab/>
      </w:r>
      <w:r>
        <w:tab/>
      </w:r>
      <w:r w:rsidR="00751C10" w:rsidRPr="004D2E8F">
        <w:t xml:space="preserve">Definition of </w:t>
      </w:r>
      <w:r w:rsidR="00385E32">
        <w:t>o</w:t>
      </w:r>
      <w:r w:rsidR="00751C10" w:rsidRPr="004D2E8F">
        <w:t>verpack</w:t>
      </w:r>
    </w:p>
    <w:p w14:paraId="6CA32346" w14:textId="385C6F06" w:rsidR="00751C10" w:rsidRPr="007513C0" w:rsidRDefault="00DA5671" w:rsidP="00DA5671">
      <w:pPr>
        <w:pStyle w:val="SingleTxtG"/>
        <w:rPr>
          <w:i/>
          <w:iCs/>
        </w:rPr>
      </w:pPr>
      <w:r w:rsidRPr="007513C0">
        <w:t>5.</w:t>
      </w:r>
      <w:r w:rsidRPr="007513C0">
        <w:tab/>
      </w:r>
      <w:r w:rsidR="00751C10" w:rsidRPr="007513C0">
        <w:t xml:space="preserve">In the UN Model Regulations, an overpack </w:t>
      </w:r>
      <w:r w:rsidR="00751C10" w:rsidRPr="007513C0">
        <w:rPr>
          <w:i/>
          <w:iCs/>
        </w:rPr>
        <w:t xml:space="preserve">means an enclosure used by a single consignor to contain one or more packages and to form one unit for convenience. Examples of overpacks are a number of packages either: </w:t>
      </w:r>
    </w:p>
    <w:p w14:paraId="498D22F3" w14:textId="3A1BEA37" w:rsidR="00751C10" w:rsidRPr="007513C0" w:rsidRDefault="00751C10" w:rsidP="007513C0">
      <w:pPr>
        <w:spacing w:after="120"/>
        <w:ind w:left="1701" w:right="1134"/>
        <w:jc w:val="both"/>
        <w:rPr>
          <w:i/>
          <w:iCs/>
        </w:rPr>
      </w:pPr>
      <w:r w:rsidRPr="007513C0">
        <w:rPr>
          <w:i/>
          <w:iCs/>
        </w:rPr>
        <w:t>(1)</w:t>
      </w:r>
      <w:r w:rsidR="00B32DAA">
        <w:rPr>
          <w:i/>
          <w:iCs/>
        </w:rPr>
        <w:tab/>
      </w:r>
      <w:r w:rsidRPr="007513C0">
        <w:rPr>
          <w:i/>
          <w:iCs/>
        </w:rPr>
        <w:t xml:space="preserve">Placed or stacked onto a load board such as a pallet and secured by strapping, shrink wrapping, stretch wrapping, or other suitable means; or </w:t>
      </w:r>
    </w:p>
    <w:p w14:paraId="46829B1F" w14:textId="63EF6A57" w:rsidR="00751C10" w:rsidRPr="007513C0" w:rsidRDefault="00751C10" w:rsidP="007513C0">
      <w:pPr>
        <w:spacing w:after="120"/>
        <w:ind w:left="1701" w:right="639"/>
        <w:rPr>
          <w:i/>
          <w:iCs/>
        </w:rPr>
      </w:pPr>
      <w:r w:rsidRPr="007513C0">
        <w:rPr>
          <w:i/>
          <w:iCs/>
        </w:rPr>
        <w:t>(2)</w:t>
      </w:r>
      <w:r w:rsidR="00B32DAA">
        <w:rPr>
          <w:i/>
          <w:iCs/>
        </w:rPr>
        <w:tab/>
      </w:r>
      <w:r w:rsidRPr="007513C0">
        <w:rPr>
          <w:i/>
          <w:iCs/>
        </w:rPr>
        <w:t>Placed in a protective outer packaging such as a box or crate.</w:t>
      </w:r>
    </w:p>
    <w:p w14:paraId="74804CCD" w14:textId="16AD051B" w:rsidR="00751C10" w:rsidRPr="007513C0" w:rsidRDefault="00DA5671" w:rsidP="00DA5671">
      <w:pPr>
        <w:pStyle w:val="SingleTxtG"/>
        <w:rPr>
          <w:i/>
          <w:iCs/>
        </w:rPr>
      </w:pPr>
      <w:r w:rsidRPr="007513C0">
        <w:t>6.</w:t>
      </w:r>
      <w:r w:rsidRPr="007513C0">
        <w:tab/>
      </w:r>
      <w:r w:rsidR="00751C10" w:rsidRPr="007513C0">
        <w:t xml:space="preserve">In ADR, an overpack </w:t>
      </w:r>
      <w:r w:rsidR="00751C10" w:rsidRPr="007513C0">
        <w:rPr>
          <w:i/>
          <w:iCs/>
        </w:rPr>
        <w:t xml:space="preserve">means an enclosure used (by a single consignor in the case of radioactive material) contain one or more packages, consolidated into a single unit easier to handle and stow during carriage. Examples of overpacks: </w:t>
      </w:r>
    </w:p>
    <w:p w14:paraId="790F3A12" w14:textId="1BFD3ADC" w:rsidR="00751C10" w:rsidRPr="007513C0" w:rsidRDefault="00751C10" w:rsidP="007513C0">
      <w:pPr>
        <w:spacing w:after="120"/>
        <w:ind w:left="1701" w:right="1134"/>
        <w:jc w:val="both"/>
        <w:rPr>
          <w:i/>
          <w:iCs/>
        </w:rPr>
      </w:pPr>
      <w:r w:rsidRPr="007513C0">
        <w:rPr>
          <w:i/>
          <w:iCs/>
        </w:rPr>
        <w:t>(a)</w:t>
      </w:r>
      <w:r w:rsidR="00B32DAA">
        <w:rPr>
          <w:i/>
          <w:iCs/>
        </w:rPr>
        <w:tab/>
      </w:r>
      <w:r w:rsidRPr="007513C0">
        <w:rPr>
          <w:i/>
          <w:iCs/>
        </w:rPr>
        <w:t xml:space="preserve">A loading tray such as a pallet, on which several packages are placed and stacked and secured by a plastics strip, shrink or stretch wrapping or other appropriate means; or </w:t>
      </w:r>
    </w:p>
    <w:p w14:paraId="5833D06E" w14:textId="79D014A6" w:rsidR="00751C10" w:rsidRPr="007513C0" w:rsidRDefault="00751C10" w:rsidP="007513C0">
      <w:pPr>
        <w:spacing w:after="120"/>
        <w:ind w:left="1701" w:right="1134"/>
        <w:jc w:val="both"/>
        <w:rPr>
          <w:i/>
          <w:iCs/>
        </w:rPr>
      </w:pPr>
      <w:r w:rsidRPr="007513C0">
        <w:rPr>
          <w:i/>
          <w:iCs/>
        </w:rPr>
        <w:t>(b)</w:t>
      </w:r>
      <w:r w:rsidR="00B32DAA">
        <w:rPr>
          <w:i/>
          <w:iCs/>
        </w:rPr>
        <w:tab/>
      </w:r>
      <w:r w:rsidRPr="007513C0">
        <w:rPr>
          <w:i/>
          <w:iCs/>
        </w:rPr>
        <w:t>An outer protective packaging such as a box or a crate.</w:t>
      </w:r>
    </w:p>
    <w:p w14:paraId="0167B2DF" w14:textId="540C795E" w:rsidR="00751C10" w:rsidRPr="004D2E8F" w:rsidRDefault="00A1269B" w:rsidP="00A1269B">
      <w:pPr>
        <w:pStyle w:val="HChG"/>
      </w:pPr>
      <w:r>
        <w:tab/>
      </w:r>
      <w:r>
        <w:tab/>
      </w:r>
      <w:r w:rsidR="00751C10" w:rsidRPr="004D2E8F">
        <w:t xml:space="preserve">Interpretation </w:t>
      </w:r>
      <w:r w:rsidR="00385E32">
        <w:t>q</w:t>
      </w:r>
      <w:r w:rsidR="00751C10" w:rsidRPr="004D2E8F">
        <w:t>uestions</w:t>
      </w:r>
    </w:p>
    <w:p w14:paraId="0245CCD6" w14:textId="1A1AA5F2" w:rsidR="00751C10" w:rsidRPr="004D2E8F" w:rsidRDefault="00962A6F" w:rsidP="00A1269B">
      <w:pPr>
        <w:pStyle w:val="SingleTxtG"/>
      </w:pPr>
      <w:r>
        <w:t>7</w:t>
      </w:r>
      <w:r w:rsidR="00A1269B">
        <w:t>.</w:t>
      </w:r>
      <w:r w:rsidR="00A1269B">
        <w:tab/>
      </w:r>
      <w:r w:rsidR="00751C10" w:rsidRPr="004D2E8F">
        <w:t>Are bags (within trucks/vans, on bikes, and when carried by hand) filled by the transportation company considered an overpack when utilized as described above for last mile delivery? If yes, why and how would this be different than other handling devices or storage locations on the vehicle?</w:t>
      </w:r>
    </w:p>
    <w:p w14:paraId="4ACFED95" w14:textId="0AEC60B9" w:rsidR="00751C10" w:rsidRPr="004D2E8F" w:rsidRDefault="00962A6F" w:rsidP="00A1269B">
      <w:pPr>
        <w:pStyle w:val="SingleTxtG"/>
      </w:pPr>
      <w:r>
        <w:t>8</w:t>
      </w:r>
      <w:r w:rsidR="00A1269B">
        <w:t>.</w:t>
      </w:r>
      <w:r w:rsidR="00A1269B">
        <w:tab/>
      </w:r>
      <w:r w:rsidR="00751C10" w:rsidRPr="004D2E8F">
        <w:t>The</w:t>
      </w:r>
      <w:r w:rsidR="00751C10" w:rsidRPr="005B42EF">
        <w:t xml:space="preserve"> </w:t>
      </w:r>
      <w:r w:rsidR="00751C10" w:rsidRPr="004D2E8F">
        <w:t>ADR is presently silent on the possibility of the contents of the goods inside the overpack changing during a journey. How would the regulations apply with respect to the changing contents of the overpack as described above? Would the marking on the overpack be required to change as appropriate based on the contents?</w:t>
      </w:r>
    </w:p>
    <w:p w14:paraId="25DA492E" w14:textId="0ACF492A" w:rsidR="00751C10" w:rsidRPr="004D2E8F" w:rsidRDefault="00962A6F" w:rsidP="00A1269B">
      <w:pPr>
        <w:pStyle w:val="SingleTxtG"/>
      </w:pPr>
      <w:r>
        <w:t>9</w:t>
      </w:r>
      <w:r w:rsidR="00A1269B">
        <w:t>.</w:t>
      </w:r>
      <w:r w:rsidR="00A1269B">
        <w:tab/>
      </w:r>
      <w:r w:rsidR="00751C10" w:rsidRPr="004D2E8F">
        <w:t>It</w:t>
      </w:r>
      <w:r w:rsidR="00751C10" w:rsidRPr="005B42EF">
        <w:t xml:space="preserve"> </w:t>
      </w:r>
      <w:r w:rsidR="00751C10" w:rsidRPr="004D2E8F">
        <w:t>is noted that none of the examples of overpack in the definition refer to ‘bags’ or equivalent or similar circumstances. Is the intent of the overpack provisions of the regulations to cover these bags, as utilized in the specific situations described above?</w:t>
      </w:r>
    </w:p>
    <w:p w14:paraId="42361EFC" w14:textId="580B4148" w:rsidR="00751C10" w:rsidRPr="004D2E8F" w:rsidRDefault="00962A6F" w:rsidP="00A1269B">
      <w:pPr>
        <w:pStyle w:val="SingleTxtG"/>
      </w:pPr>
      <w:r>
        <w:t>10.</w:t>
      </w:r>
      <w:r>
        <w:tab/>
      </w:r>
      <w:r w:rsidR="00751C10" w:rsidRPr="004D2E8F">
        <w:t>If these bags are considered an overpack, is there an added safety benefit of marking these bags in accordance with 3.4.11? For context, this information is sought for clarity and in hopes of presenting an alternative solution in the future (if the proposal below is not acceptable)</w:t>
      </w:r>
      <w:r w:rsidR="00391B5C">
        <w:t>.</w:t>
      </w:r>
    </w:p>
    <w:p w14:paraId="5347D4F0" w14:textId="13C6AB44" w:rsidR="00751C10" w:rsidRPr="004D2E8F" w:rsidRDefault="00962A6F" w:rsidP="00962A6F">
      <w:pPr>
        <w:pStyle w:val="HChG"/>
      </w:pPr>
      <w:r>
        <w:tab/>
      </w:r>
      <w:r>
        <w:tab/>
      </w:r>
      <w:r w:rsidR="00751C10" w:rsidRPr="004D2E8F">
        <w:t>Request</w:t>
      </w:r>
    </w:p>
    <w:p w14:paraId="6424F820" w14:textId="4B2791B2" w:rsidR="00385E32" w:rsidRPr="007513C0" w:rsidRDefault="00962A6F" w:rsidP="00962A6F">
      <w:pPr>
        <w:pStyle w:val="SingleTxtG"/>
        <w:rPr>
          <w:u w:val="single"/>
        </w:rPr>
      </w:pPr>
      <w:r w:rsidRPr="007513C0">
        <w:t>11.</w:t>
      </w:r>
      <w:r w:rsidRPr="007513C0">
        <w:tab/>
      </w:r>
      <w:r w:rsidR="00751C10" w:rsidRPr="007513C0">
        <w:t xml:space="preserve">COSTHA would like to clarify that these bags are not subject to ADR and is interested in receiving the opinions of the delegations on these questions. Delegations are invited to send comments to </w:t>
      </w:r>
      <w:hyperlink r:id="rId11" w:history="1">
        <w:r w:rsidR="00751C10" w:rsidRPr="007513C0">
          <w:rPr>
            <w:rStyle w:val="Hyperlink"/>
            <w:u w:val="single"/>
          </w:rPr>
          <w:t>mail@costha.com</w:t>
        </w:r>
      </w:hyperlink>
      <w:r w:rsidR="00385E32" w:rsidRPr="007513C0">
        <w:rPr>
          <w:rStyle w:val="Hyperlink"/>
        </w:rPr>
        <w:t xml:space="preserve"> for further consideration</w:t>
      </w:r>
      <w:r w:rsidR="00751C10" w:rsidRPr="007513C0">
        <w:t>.</w:t>
      </w:r>
    </w:p>
    <w:p w14:paraId="44213C15" w14:textId="5C4F2AAC" w:rsidR="00857A4B" w:rsidRPr="00385E32" w:rsidRDefault="00751C10" w:rsidP="00385E32">
      <w:pPr>
        <w:pStyle w:val="Default"/>
        <w:spacing w:after="120"/>
        <w:ind w:right="819"/>
        <w:jc w:val="center"/>
        <w:rPr>
          <w:u w:val="single"/>
        </w:rPr>
      </w:pPr>
      <w:r>
        <w:t>____________________</w:t>
      </w:r>
    </w:p>
    <w:sectPr w:rsidR="00857A4B" w:rsidRPr="00385E32" w:rsidSect="00122940">
      <w:headerReference w:type="even" r:id="rId12"/>
      <w:headerReference w:type="default"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F4FB" w14:textId="77777777" w:rsidR="000263AF" w:rsidRDefault="000263AF"/>
  </w:endnote>
  <w:endnote w:type="continuationSeparator" w:id="0">
    <w:p w14:paraId="2AAAA1F1" w14:textId="77777777" w:rsidR="000263AF" w:rsidRDefault="000263AF"/>
  </w:endnote>
  <w:endnote w:type="continuationNotice" w:id="1">
    <w:p w14:paraId="55377699" w14:textId="77777777" w:rsidR="000263AF" w:rsidRDefault="0002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7A7" w14:textId="77777777" w:rsidR="002B16A1" w:rsidRPr="003B3A7E" w:rsidRDefault="002B16A1" w:rsidP="003B3A7E">
    <w:pPr>
      <w:pStyle w:val="Footer"/>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5EC7" w14:textId="77777777" w:rsidR="002B16A1" w:rsidRDefault="002B16A1"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B2A1" w14:textId="77777777" w:rsidR="000263AF" w:rsidRPr="000B175B" w:rsidRDefault="000263AF" w:rsidP="000B175B">
      <w:pPr>
        <w:tabs>
          <w:tab w:val="right" w:pos="2155"/>
        </w:tabs>
        <w:spacing w:after="80"/>
        <w:ind w:left="680"/>
        <w:rPr>
          <w:u w:val="single"/>
        </w:rPr>
      </w:pPr>
      <w:r>
        <w:rPr>
          <w:u w:val="single"/>
        </w:rPr>
        <w:tab/>
      </w:r>
    </w:p>
  </w:footnote>
  <w:footnote w:type="continuationSeparator" w:id="0">
    <w:p w14:paraId="7092A74F" w14:textId="77777777" w:rsidR="000263AF" w:rsidRPr="00FC68B7" w:rsidRDefault="000263AF" w:rsidP="00FC68B7">
      <w:pPr>
        <w:tabs>
          <w:tab w:val="left" w:pos="2155"/>
        </w:tabs>
        <w:spacing w:after="80"/>
        <w:ind w:left="680"/>
        <w:rPr>
          <w:u w:val="single"/>
        </w:rPr>
      </w:pPr>
      <w:r>
        <w:rPr>
          <w:u w:val="single"/>
        </w:rPr>
        <w:tab/>
      </w:r>
    </w:p>
  </w:footnote>
  <w:footnote w:type="continuationNotice" w:id="1">
    <w:p w14:paraId="63133BFA" w14:textId="77777777" w:rsidR="000263AF" w:rsidRDefault="00026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2077" w14:textId="2913461B" w:rsidR="002B16A1" w:rsidRPr="0009455D" w:rsidRDefault="002B16A1">
    <w:pPr>
      <w:pStyle w:val="Header"/>
      <w:rPr>
        <w:lang w:val="fr-CH"/>
      </w:rPr>
    </w:pPr>
    <w:r>
      <w:rPr>
        <w:lang w:val="fr-CH"/>
      </w:rPr>
      <w:t>IN</w:t>
    </w:r>
    <w:r w:rsidR="00A1269B">
      <w:rPr>
        <w:lang w:val="fr-CH"/>
      </w:rPr>
      <w:t>F.31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538" w14:textId="77777777" w:rsidR="002B16A1" w:rsidRPr="00073BC9" w:rsidRDefault="002B16A1" w:rsidP="0009455D">
    <w:pPr>
      <w:pStyle w:val="Header"/>
      <w:jc w:val="right"/>
    </w:pPr>
    <w:r>
      <w:t>INF.</w:t>
    </w:r>
    <w:r w:rsidR="008E4437">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788" w14:textId="7EA3F796" w:rsidR="002B16A1" w:rsidRPr="00560572" w:rsidRDefault="002B16A1" w:rsidP="00E37495">
    <w:pPr>
      <w:pStyle w:val="Header"/>
      <w:pBdr>
        <w:bottom w:val="single" w:sz="4" w:space="1" w:color="auto"/>
      </w:pBdr>
      <w:jc w:val="right"/>
      <w:rPr>
        <w:sz w:val="28"/>
        <w:szCs w:val="28"/>
      </w:rPr>
    </w:pPr>
    <w:r w:rsidRPr="00560572">
      <w:rPr>
        <w:sz w:val="28"/>
        <w:szCs w:val="28"/>
      </w:rPr>
      <w:t>INF.</w:t>
    </w:r>
    <w:r w:rsidR="00A1269B">
      <w:rPr>
        <w:sz w:val="28"/>
        <w:szCs w:val="2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F031D"/>
    <w:multiLevelType w:val="multilevel"/>
    <w:tmpl w:val="4BAA2A42"/>
    <w:lvl w:ilvl="0">
      <w:start w:val="4"/>
      <w:numFmt w:val="bullet"/>
      <w:lvlText w:val="-"/>
      <w:lvlJc w:val="left"/>
      <w:pPr>
        <w:ind w:left="1494" w:hanging="360"/>
      </w:pPr>
      <w:rPr>
        <w:rFonts w:ascii="Arial" w:hAnsi="Arial" w:cs="Arial" w:hint="default"/>
        <w:color w:val="00000A"/>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9"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1"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 w15:restartNumberingAfterBreak="0">
    <w:nsid w:val="493F2862"/>
    <w:multiLevelType w:val="multilevel"/>
    <w:tmpl w:val="D54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8" w15:restartNumberingAfterBreak="0">
    <w:nsid w:val="7D8D6F5E"/>
    <w:multiLevelType w:val="hybridMultilevel"/>
    <w:tmpl w:val="0A92EF2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1"/>
  </w:num>
  <w:num w:numId="15">
    <w:abstractNumId w:val="17"/>
  </w:num>
  <w:num w:numId="16">
    <w:abstractNumId w:val="13"/>
  </w:num>
  <w:num w:numId="17">
    <w:abstractNumId w:val="24"/>
  </w:num>
  <w:num w:numId="18">
    <w:abstractNumId w:val="26"/>
  </w:num>
  <w:num w:numId="19">
    <w:abstractNumId w:val="23"/>
  </w:num>
  <w:num w:numId="20">
    <w:abstractNumId w:val="12"/>
  </w:num>
  <w:num w:numId="21">
    <w:abstractNumId w:val="19"/>
  </w:num>
  <w:num w:numId="22">
    <w:abstractNumId w:val="27"/>
  </w:num>
  <w:num w:numId="23">
    <w:abstractNumId w:val="18"/>
  </w:num>
  <w:num w:numId="24">
    <w:abstractNumId w:val="21"/>
  </w:num>
  <w:num w:numId="25">
    <w:abstractNumId w:val="25"/>
  </w:num>
  <w:num w:numId="26">
    <w:abstractNumId w:val="20"/>
  </w:num>
  <w:num w:numId="27">
    <w:abstractNumId w:val="15"/>
  </w:num>
  <w:num w:numId="28">
    <w:abstractNumId w:val="22"/>
  </w:num>
  <w:num w:numId="2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2A7D"/>
    <w:rsid w:val="000038A8"/>
    <w:rsid w:val="000041B2"/>
    <w:rsid w:val="00004CB4"/>
    <w:rsid w:val="00006790"/>
    <w:rsid w:val="00010473"/>
    <w:rsid w:val="00017B0A"/>
    <w:rsid w:val="00017C14"/>
    <w:rsid w:val="000238EC"/>
    <w:rsid w:val="000263AF"/>
    <w:rsid w:val="00027624"/>
    <w:rsid w:val="00050B2C"/>
    <w:rsid w:val="00050F6B"/>
    <w:rsid w:val="00054A2A"/>
    <w:rsid w:val="00056E1C"/>
    <w:rsid w:val="00057D31"/>
    <w:rsid w:val="00057F00"/>
    <w:rsid w:val="00060675"/>
    <w:rsid w:val="00061092"/>
    <w:rsid w:val="00062540"/>
    <w:rsid w:val="000678CD"/>
    <w:rsid w:val="00072C8C"/>
    <w:rsid w:val="00073BC9"/>
    <w:rsid w:val="00075498"/>
    <w:rsid w:val="00081CE0"/>
    <w:rsid w:val="00081E5B"/>
    <w:rsid w:val="00082FAE"/>
    <w:rsid w:val="00084D30"/>
    <w:rsid w:val="00090320"/>
    <w:rsid w:val="00091148"/>
    <w:rsid w:val="000918D7"/>
    <w:rsid w:val="000931C0"/>
    <w:rsid w:val="0009455D"/>
    <w:rsid w:val="00097793"/>
    <w:rsid w:val="000A2E09"/>
    <w:rsid w:val="000A7DA7"/>
    <w:rsid w:val="000B175B"/>
    <w:rsid w:val="000B3A0F"/>
    <w:rsid w:val="000B41FA"/>
    <w:rsid w:val="000C2A7D"/>
    <w:rsid w:val="000D5A55"/>
    <w:rsid w:val="000E0415"/>
    <w:rsid w:val="000E0EF4"/>
    <w:rsid w:val="000E1168"/>
    <w:rsid w:val="000E233A"/>
    <w:rsid w:val="000E6779"/>
    <w:rsid w:val="000E7EB0"/>
    <w:rsid w:val="000F5D2C"/>
    <w:rsid w:val="000F7715"/>
    <w:rsid w:val="001022EF"/>
    <w:rsid w:val="00103E99"/>
    <w:rsid w:val="0010751E"/>
    <w:rsid w:val="00116363"/>
    <w:rsid w:val="001179A1"/>
    <w:rsid w:val="00122940"/>
    <w:rsid w:val="00124143"/>
    <w:rsid w:val="00125674"/>
    <w:rsid w:val="001352C3"/>
    <w:rsid w:val="00140040"/>
    <w:rsid w:val="0014401A"/>
    <w:rsid w:val="00147EF3"/>
    <w:rsid w:val="00156B99"/>
    <w:rsid w:val="0015713B"/>
    <w:rsid w:val="00161037"/>
    <w:rsid w:val="00162C00"/>
    <w:rsid w:val="00166124"/>
    <w:rsid w:val="00167F20"/>
    <w:rsid w:val="0017009E"/>
    <w:rsid w:val="00172600"/>
    <w:rsid w:val="001765D7"/>
    <w:rsid w:val="00176739"/>
    <w:rsid w:val="00184DDA"/>
    <w:rsid w:val="001874B4"/>
    <w:rsid w:val="001900CD"/>
    <w:rsid w:val="00193D85"/>
    <w:rsid w:val="0019444B"/>
    <w:rsid w:val="001A0452"/>
    <w:rsid w:val="001A3481"/>
    <w:rsid w:val="001A4D53"/>
    <w:rsid w:val="001A5F15"/>
    <w:rsid w:val="001A73D9"/>
    <w:rsid w:val="001B45E8"/>
    <w:rsid w:val="001B4B04"/>
    <w:rsid w:val="001B5875"/>
    <w:rsid w:val="001C3A25"/>
    <w:rsid w:val="001C4B28"/>
    <w:rsid w:val="001C4B9C"/>
    <w:rsid w:val="001C6663"/>
    <w:rsid w:val="001C7895"/>
    <w:rsid w:val="001D15C4"/>
    <w:rsid w:val="001D26DF"/>
    <w:rsid w:val="001D312D"/>
    <w:rsid w:val="001E0DF6"/>
    <w:rsid w:val="001E583F"/>
    <w:rsid w:val="001F12DF"/>
    <w:rsid w:val="001F1599"/>
    <w:rsid w:val="001F1961"/>
    <w:rsid w:val="001F19C4"/>
    <w:rsid w:val="001F6B91"/>
    <w:rsid w:val="001F7A8B"/>
    <w:rsid w:val="002041AA"/>
    <w:rsid w:val="002043F0"/>
    <w:rsid w:val="002060B9"/>
    <w:rsid w:val="00211E0B"/>
    <w:rsid w:val="00213BCA"/>
    <w:rsid w:val="00215A1B"/>
    <w:rsid w:val="00216BB2"/>
    <w:rsid w:val="00222F2C"/>
    <w:rsid w:val="00230496"/>
    <w:rsid w:val="00232575"/>
    <w:rsid w:val="0023589F"/>
    <w:rsid w:val="00247258"/>
    <w:rsid w:val="00250356"/>
    <w:rsid w:val="002565C8"/>
    <w:rsid w:val="002574B9"/>
    <w:rsid w:val="00257CAC"/>
    <w:rsid w:val="00264807"/>
    <w:rsid w:val="0028099F"/>
    <w:rsid w:val="002815FC"/>
    <w:rsid w:val="00295F1A"/>
    <w:rsid w:val="002974E9"/>
    <w:rsid w:val="002A189E"/>
    <w:rsid w:val="002A1C6D"/>
    <w:rsid w:val="002A214F"/>
    <w:rsid w:val="002A6D75"/>
    <w:rsid w:val="002A7F94"/>
    <w:rsid w:val="002B109A"/>
    <w:rsid w:val="002B12DC"/>
    <w:rsid w:val="002B16A1"/>
    <w:rsid w:val="002B1765"/>
    <w:rsid w:val="002B2A16"/>
    <w:rsid w:val="002B400C"/>
    <w:rsid w:val="002B5293"/>
    <w:rsid w:val="002B5F94"/>
    <w:rsid w:val="002C1973"/>
    <w:rsid w:val="002C3A37"/>
    <w:rsid w:val="002C4661"/>
    <w:rsid w:val="002C57D6"/>
    <w:rsid w:val="002C6D45"/>
    <w:rsid w:val="002D15DD"/>
    <w:rsid w:val="002D1828"/>
    <w:rsid w:val="002D28D9"/>
    <w:rsid w:val="002D4CF0"/>
    <w:rsid w:val="002D6E53"/>
    <w:rsid w:val="002D743E"/>
    <w:rsid w:val="002E0C3F"/>
    <w:rsid w:val="002E2296"/>
    <w:rsid w:val="002E23C9"/>
    <w:rsid w:val="002E257C"/>
    <w:rsid w:val="002E6DB4"/>
    <w:rsid w:val="002F024B"/>
    <w:rsid w:val="002F046D"/>
    <w:rsid w:val="002F1811"/>
    <w:rsid w:val="003007E7"/>
    <w:rsid w:val="00301764"/>
    <w:rsid w:val="00302B3E"/>
    <w:rsid w:val="00306B1E"/>
    <w:rsid w:val="00321665"/>
    <w:rsid w:val="003229D8"/>
    <w:rsid w:val="00323AD2"/>
    <w:rsid w:val="0032508A"/>
    <w:rsid w:val="0032737D"/>
    <w:rsid w:val="00336080"/>
    <w:rsid w:val="00336C97"/>
    <w:rsid w:val="00337D65"/>
    <w:rsid w:val="00337F88"/>
    <w:rsid w:val="00342432"/>
    <w:rsid w:val="0034444E"/>
    <w:rsid w:val="003446A0"/>
    <w:rsid w:val="00350B59"/>
    <w:rsid w:val="00352D4B"/>
    <w:rsid w:val="00354724"/>
    <w:rsid w:val="00354CED"/>
    <w:rsid w:val="0035638C"/>
    <w:rsid w:val="003564DC"/>
    <w:rsid w:val="00370928"/>
    <w:rsid w:val="00373041"/>
    <w:rsid w:val="003761D2"/>
    <w:rsid w:val="003806F0"/>
    <w:rsid w:val="00382512"/>
    <w:rsid w:val="0038499B"/>
    <w:rsid w:val="00385E32"/>
    <w:rsid w:val="00391B5C"/>
    <w:rsid w:val="003A1C51"/>
    <w:rsid w:val="003A30C6"/>
    <w:rsid w:val="003A46BB"/>
    <w:rsid w:val="003A4EC7"/>
    <w:rsid w:val="003A550E"/>
    <w:rsid w:val="003A7295"/>
    <w:rsid w:val="003B115E"/>
    <w:rsid w:val="003B1F60"/>
    <w:rsid w:val="003B3A7E"/>
    <w:rsid w:val="003B4643"/>
    <w:rsid w:val="003C2CC4"/>
    <w:rsid w:val="003C3176"/>
    <w:rsid w:val="003C7026"/>
    <w:rsid w:val="003D4B23"/>
    <w:rsid w:val="003D58A1"/>
    <w:rsid w:val="003D6C76"/>
    <w:rsid w:val="003D7D9E"/>
    <w:rsid w:val="003E278A"/>
    <w:rsid w:val="003E3D94"/>
    <w:rsid w:val="003F07CB"/>
    <w:rsid w:val="003F557E"/>
    <w:rsid w:val="003F72F0"/>
    <w:rsid w:val="004019C8"/>
    <w:rsid w:val="004024E2"/>
    <w:rsid w:val="004032CF"/>
    <w:rsid w:val="00413520"/>
    <w:rsid w:val="00414F7A"/>
    <w:rsid w:val="00431D4D"/>
    <w:rsid w:val="004325CB"/>
    <w:rsid w:val="00432608"/>
    <w:rsid w:val="00433A82"/>
    <w:rsid w:val="00440A07"/>
    <w:rsid w:val="00450EF8"/>
    <w:rsid w:val="00456441"/>
    <w:rsid w:val="00462880"/>
    <w:rsid w:val="0047298C"/>
    <w:rsid w:val="0047429E"/>
    <w:rsid w:val="004769ED"/>
    <w:rsid w:val="00476F24"/>
    <w:rsid w:val="0048402E"/>
    <w:rsid w:val="004909E7"/>
    <w:rsid w:val="004917A1"/>
    <w:rsid w:val="0049311D"/>
    <w:rsid w:val="004B2A91"/>
    <w:rsid w:val="004B45B0"/>
    <w:rsid w:val="004B7EA2"/>
    <w:rsid w:val="004C55B0"/>
    <w:rsid w:val="004D51F6"/>
    <w:rsid w:val="004D63B1"/>
    <w:rsid w:val="004D6D1E"/>
    <w:rsid w:val="004E4179"/>
    <w:rsid w:val="004E608F"/>
    <w:rsid w:val="004E7160"/>
    <w:rsid w:val="004F3F8F"/>
    <w:rsid w:val="004F6BA0"/>
    <w:rsid w:val="00503BEA"/>
    <w:rsid w:val="00512C18"/>
    <w:rsid w:val="00530289"/>
    <w:rsid w:val="00533616"/>
    <w:rsid w:val="00535170"/>
    <w:rsid w:val="00535ABA"/>
    <w:rsid w:val="00536572"/>
    <w:rsid w:val="005371A0"/>
    <w:rsid w:val="0053768B"/>
    <w:rsid w:val="005420F2"/>
    <w:rsid w:val="00542768"/>
    <w:rsid w:val="0054285C"/>
    <w:rsid w:val="005445FF"/>
    <w:rsid w:val="00546138"/>
    <w:rsid w:val="00547A88"/>
    <w:rsid w:val="0055514F"/>
    <w:rsid w:val="005566B9"/>
    <w:rsid w:val="00560572"/>
    <w:rsid w:val="00563388"/>
    <w:rsid w:val="00564BF4"/>
    <w:rsid w:val="005670DF"/>
    <w:rsid w:val="005708B5"/>
    <w:rsid w:val="00573297"/>
    <w:rsid w:val="00584173"/>
    <w:rsid w:val="005850DE"/>
    <w:rsid w:val="00587C17"/>
    <w:rsid w:val="00595520"/>
    <w:rsid w:val="005A0287"/>
    <w:rsid w:val="005A44B9"/>
    <w:rsid w:val="005A548A"/>
    <w:rsid w:val="005A5AE3"/>
    <w:rsid w:val="005B1BA0"/>
    <w:rsid w:val="005B3673"/>
    <w:rsid w:val="005B3BEA"/>
    <w:rsid w:val="005B3DB3"/>
    <w:rsid w:val="005C58F0"/>
    <w:rsid w:val="005C700B"/>
    <w:rsid w:val="005D15CA"/>
    <w:rsid w:val="005D1867"/>
    <w:rsid w:val="005D2C39"/>
    <w:rsid w:val="005D390C"/>
    <w:rsid w:val="005E6AAF"/>
    <w:rsid w:val="005F3066"/>
    <w:rsid w:val="005F3E61"/>
    <w:rsid w:val="005F51F6"/>
    <w:rsid w:val="005F69C7"/>
    <w:rsid w:val="005F7732"/>
    <w:rsid w:val="00600027"/>
    <w:rsid w:val="00602982"/>
    <w:rsid w:val="00603A98"/>
    <w:rsid w:val="00604DDD"/>
    <w:rsid w:val="006115CC"/>
    <w:rsid w:val="00611FC4"/>
    <w:rsid w:val="00613302"/>
    <w:rsid w:val="006176FB"/>
    <w:rsid w:val="00617EFC"/>
    <w:rsid w:val="0062380F"/>
    <w:rsid w:val="0062564C"/>
    <w:rsid w:val="00630FCB"/>
    <w:rsid w:val="00632F10"/>
    <w:rsid w:val="00633628"/>
    <w:rsid w:val="00633825"/>
    <w:rsid w:val="0064017F"/>
    <w:rsid w:val="00640B26"/>
    <w:rsid w:val="00642312"/>
    <w:rsid w:val="00642502"/>
    <w:rsid w:val="006470FA"/>
    <w:rsid w:val="0064748F"/>
    <w:rsid w:val="00651A29"/>
    <w:rsid w:val="006643C6"/>
    <w:rsid w:val="00667D6B"/>
    <w:rsid w:val="00671B0D"/>
    <w:rsid w:val="006770B2"/>
    <w:rsid w:val="00682407"/>
    <w:rsid w:val="00683A93"/>
    <w:rsid w:val="006853B3"/>
    <w:rsid w:val="006940E1"/>
    <w:rsid w:val="006A1D39"/>
    <w:rsid w:val="006A3C72"/>
    <w:rsid w:val="006A7392"/>
    <w:rsid w:val="006B03A1"/>
    <w:rsid w:val="006B67D9"/>
    <w:rsid w:val="006B6FE3"/>
    <w:rsid w:val="006C5535"/>
    <w:rsid w:val="006D0589"/>
    <w:rsid w:val="006D513E"/>
    <w:rsid w:val="006E2D41"/>
    <w:rsid w:val="006E564B"/>
    <w:rsid w:val="006E7154"/>
    <w:rsid w:val="006F0884"/>
    <w:rsid w:val="006F3F42"/>
    <w:rsid w:val="007003CD"/>
    <w:rsid w:val="00703A6D"/>
    <w:rsid w:val="0070701E"/>
    <w:rsid w:val="0070702F"/>
    <w:rsid w:val="0071447C"/>
    <w:rsid w:val="00714B5C"/>
    <w:rsid w:val="00715BE5"/>
    <w:rsid w:val="0072632A"/>
    <w:rsid w:val="0073337B"/>
    <w:rsid w:val="007358E8"/>
    <w:rsid w:val="00736ECE"/>
    <w:rsid w:val="007408A0"/>
    <w:rsid w:val="00741FCD"/>
    <w:rsid w:val="0074533B"/>
    <w:rsid w:val="00745BA0"/>
    <w:rsid w:val="007513C0"/>
    <w:rsid w:val="00751C10"/>
    <w:rsid w:val="00753C81"/>
    <w:rsid w:val="00755BB0"/>
    <w:rsid w:val="00762EA6"/>
    <w:rsid w:val="00763B98"/>
    <w:rsid w:val="0076432E"/>
    <w:rsid w:val="007643BC"/>
    <w:rsid w:val="00764F01"/>
    <w:rsid w:val="00770846"/>
    <w:rsid w:val="007810E1"/>
    <w:rsid w:val="00781D93"/>
    <w:rsid w:val="00790877"/>
    <w:rsid w:val="007942D2"/>
    <w:rsid w:val="0079577B"/>
    <w:rsid w:val="007959FE"/>
    <w:rsid w:val="00795E37"/>
    <w:rsid w:val="00797B67"/>
    <w:rsid w:val="007A0CF1"/>
    <w:rsid w:val="007A38B0"/>
    <w:rsid w:val="007A57B8"/>
    <w:rsid w:val="007A6BE6"/>
    <w:rsid w:val="007A7CC0"/>
    <w:rsid w:val="007B1DF4"/>
    <w:rsid w:val="007B5DDD"/>
    <w:rsid w:val="007B614B"/>
    <w:rsid w:val="007B6A61"/>
    <w:rsid w:val="007B6BA5"/>
    <w:rsid w:val="007C2A8D"/>
    <w:rsid w:val="007C3390"/>
    <w:rsid w:val="007C42D8"/>
    <w:rsid w:val="007C4681"/>
    <w:rsid w:val="007C4F4B"/>
    <w:rsid w:val="007C68C8"/>
    <w:rsid w:val="007D5759"/>
    <w:rsid w:val="007D6D44"/>
    <w:rsid w:val="007D7362"/>
    <w:rsid w:val="007E1F70"/>
    <w:rsid w:val="007E36CB"/>
    <w:rsid w:val="007E4914"/>
    <w:rsid w:val="007E64BE"/>
    <w:rsid w:val="007F1E0D"/>
    <w:rsid w:val="007F2E11"/>
    <w:rsid w:val="007F546E"/>
    <w:rsid w:val="007F5CE2"/>
    <w:rsid w:val="007F6611"/>
    <w:rsid w:val="008018E5"/>
    <w:rsid w:val="00803B7F"/>
    <w:rsid w:val="0081060D"/>
    <w:rsid w:val="00810BAC"/>
    <w:rsid w:val="008175E9"/>
    <w:rsid w:val="008203B2"/>
    <w:rsid w:val="0082405C"/>
    <w:rsid w:val="008242D7"/>
    <w:rsid w:val="00825578"/>
    <w:rsid w:val="0082577B"/>
    <w:rsid w:val="00830D15"/>
    <w:rsid w:val="00832F2B"/>
    <w:rsid w:val="0083344C"/>
    <w:rsid w:val="00834DF7"/>
    <w:rsid w:val="00841620"/>
    <w:rsid w:val="008419FE"/>
    <w:rsid w:val="00843148"/>
    <w:rsid w:val="00843945"/>
    <w:rsid w:val="008522F9"/>
    <w:rsid w:val="008558E7"/>
    <w:rsid w:val="00857A4B"/>
    <w:rsid w:val="0086054B"/>
    <w:rsid w:val="00866893"/>
    <w:rsid w:val="00866F02"/>
    <w:rsid w:val="00867D18"/>
    <w:rsid w:val="008707F8"/>
    <w:rsid w:val="00871F9A"/>
    <w:rsid w:val="00871FD5"/>
    <w:rsid w:val="00875C1D"/>
    <w:rsid w:val="00876B8E"/>
    <w:rsid w:val="0088172E"/>
    <w:rsid w:val="00881EFA"/>
    <w:rsid w:val="00883E28"/>
    <w:rsid w:val="00887A7D"/>
    <w:rsid w:val="0089256A"/>
    <w:rsid w:val="008979B1"/>
    <w:rsid w:val="008A57C8"/>
    <w:rsid w:val="008A5859"/>
    <w:rsid w:val="008A6792"/>
    <w:rsid w:val="008A6B25"/>
    <w:rsid w:val="008A6C4F"/>
    <w:rsid w:val="008A7787"/>
    <w:rsid w:val="008B389E"/>
    <w:rsid w:val="008B41F4"/>
    <w:rsid w:val="008B59E3"/>
    <w:rsid w:val="008B5FC8"/>
    <w:rsid w:val="008C00E4"/>
    <w:rsid w:val="008C5B2D"/>
    <w:rsid w:val="008C5BCB"/>
    <w:rsid w:val="008D045E"/>
    <w:rsid w:val="008D0966"/>
    <w:rsid w:val="008D0D4F"/>
    <w:rsid w:val="008D3F25"/>
    <w:rsid w:val="008D4D82"/>
    <w:rsid w:val="008E0E09"/>
    <w:rsid w:val="008E0E46"/>
    <w:rsid w:val="008E4437"/>
    <w:rsid w:val="008E5A5D"/>
    <w:rsid w:val="008E7116"/>
    <w:rsid w:val="008F143B"/>
    <w:rsid w:val="008F33C4"/>
    <w:rsid w:val="008F3882"/>
    <w:rsid w:val="008F3C40"/>
    <w:rsid w:val="008F4B7C"/>
    <w:rsid w:val="008F73B3"/>
    <w:rsid w:val="00904D63"/>
    <w:rsid w:val="00906BFE"/>
    <w:rsid w:val="00914DC3"/>
    <w:rsid w:val="00915275"/>
    <w:rsid w:val="00915C95"/>
    <w:rsid w:val="00916B9C"/>
    <w:rsid w:val="00924CF0"/>
    <w:rsid w:val="00926E47"/>
    <w:rsid w:val="009324AE"/>
    <w:rsid w:val="00945B24"/>
    <w:rsid w:val="00946D3D"/>
    <w:rsid w:val="00946EAC"/>
    <w:rsid w:val="00947162"/>
    <w:rsid w:val="009479C1"/>
    <w:rsid w:val="00953163"/>
    <w:rsid w:val="009601FF"/>
    <w:rsid w:val="0096068B"/>
    <w:rsid w:val="00960D5D"/>
    <w:rsid w:val="009610D0"/>
    <w:rsid w:val="00962A6F"/>
    <w:rsid w:val="0096375C"/>
    <w:rsid w:val="009662E6"/>
    <w:rsid w:val="0097095E"/>
    <w:rsid w:val="00971DA2"/>
    <w:rsid w:val="00974F7C"/>
    <w:rsid w:val="00980DD8"/>
    <w:rsid w:val="00980F57"/>
    <w:rsid w:val="00982DDC"/>
    <w:rsid w:val="0098592B"/>
    <w:rsid w:val="00985AB9"/>
    <w:rsid w:val="00985FC4"/>
    <w:rsid w:val="00986DFE"/>
    <w:rsid w:val="00987FC0"/>
    <w:rsid w:val="00990766"/>
    <w:rsid w:val="00991261"/>
    <w:rsid w:val="0099198F"/>
    <w:rsid w:val="00992C68"/>
    <w:rsid w:val="0099552C"/>
    <w:rsid w:val="00995FA1"/>
    <w:rsid w:val="009964C4"/>
    <w:rsid w:val="009A6B7B"/>
    <w:rsid w:val="009A7B81"/>
    <w:rsid w:val="009B29EA"/>
    <w:rsid w:val="009C144C"/>
    <w:rsid w:val="009C15C1"/>
    <w:rsid w:val="009C59B9"/>
    <w:rsid w:val="009D01C0"/>
    <w:rsid w:val="009D0FD7"/>
    <w:rsid w:val="009D3BF3"/>
    <w:rsid w:val="009D6A08"/>
    <w:rsid w:val="009E0A16"/>
    <w:rsid w:val="009E3437"/>
    <w:rsid w:val="009E7970"/>
    <w:rsid w:val="009F2C95"/>
    <w:rsid w:val="009F2EAC"/>
    <w:rsid w:val="009F55EE"/>
    <w:rsid w:val="009F57E3"/>
    <w:rsid w:val="00A00D3D"/>
    <w:rsid w:val="00A07EBB"/>
    <w:rsid w:val="00A10F4F"/>
    <w:rsid w:val="00A11067"/>
    <w:rsid w:val="00A1269B"/>
    <w:rsid w:val="00A12A18"/>
    <w:rsid w:val="00A138AB"/>
    <w:rsid w:val="00A1704A"/>
    <w:rsid w:val="00A23E9E"/>
    <w:rsid w:val="00A31669"/>
    <w:rsid w:val="00A370D7"/>
    <w:rsid w:val="00A41BB8"/>
    <w:rsid w:val="00A425EB"/>
    <w:rsid w:val="00A433C3"/>
    <w:rsid w:val="00A4488E"/>
    <w:rsid w:val="00A45CB7"/>
    <w:rsid w:val="00A47439"/>
    <w:rsid w:val="00A72F22"/>
    <w:rsid w:val="00A733BC"/>
    <w:rsid w:val="00A748A6"/>
    <w:rsid w:val="00A749C1"/>
    <w:rsid w:val="00A76A69"/>
    <w:rsid w:val="00A77D0C"/>
    <w:rsid w:val="00A80B8D"/>
    <w:rsid w:val="00A824E7"/>
    <w:rsid w:val="00A865A7"/>
    <w:rsid w:val="00A879A4"/>
    <w:rsid w:val="00A910B4"/>
    <w:rsid w:val="00A92AF7"/>
    <w:rsid w:val="00A955E7"/>
    <w:rsid w:val="00A95750"/>
    <w:rsid w:val="00A96696"/>
    <w:rsid w:val="00A976DD"/>
    <w:rsid w:val="00AA0FF8"/>
    <w:rsid w:val="00AA3567"/>
    <w:rsid w:val="00AB2CE7"/>
    <w:rsid w:val="00AB2D13"/>
    <w:rsid w:val="00AC0F2C"/>
    <w:rsid w:val="00AC502A"/>
    <w:rsid w:val="00AC58F4"/>
    <w:rsid w:val="00AC7298"/>
    <w:rsid w:val="00AC7C33"/>
    <w:rsid w:val="00AD79E9"/>
    <w:rsid w:val="00AE622C"/>
    <w:rsid w:val="00AF3A98"/>
    <w:rsid w:val="00AF58C1"/>
    <w:rsid w:val="00B01321"/>
    <w:rsid w:val="00B03E68"/>
    <w:rsid w:val="00B05D2C"/>
    <w:rsid w:val="00B06643"/>
    <w:rsid w:val="00B1269C"/>
    <w:rsid w:val="00B15055"/>
    <w:rsid w:val="00B17FC5"/>
    <w:rsid w:val="00B2175D"/>
    <w:rsid w:val="00B23A4E"/>
    <w:rsid w:val="00B27044"/>
    <w:rsid w:val="00B30179"/>
    <w:rsid w:val="00B32DAA"/>
    <w:rsid w:val="00B37B15"/>
    <w:rsid w:val="00B4482F"/>
    <w:rsid w:val="00B45C02"/>
    <w:rsid w:val="00B4691D"/>
    <w:rsid w:val="00B56A74"/>
    <w:rsid w:val="00B609E7"/>
    <w:rsid w:val="00B628EC"/>
    <w:rsid w:val="00B62EEE"/>
    <w:rsid w:val="00B63F27"/>
    <w:rsid w:val="00B70F5A"/>
    <w:rsid w:val="00B71791"/>
    <w:rsid w:val="00B72A1E"/>
    <w:rsid w:val="00B75E02"/>
    <w:rsid w:val="00B80493"/>
    <w:rsid w:val="00B80D50"/>
    <w:rsid w:val="00B81E12"/>
    <w:rsid w:val="00B8509D"/>
    <w:rsid w:val="00B9110C"/>
    <w:rsid w:val="00BA339B"/>
    <w:rsid w:val="00BB1D4F"/>
    <w:rsid w:val="00BB2862"/>
    <w:rsid w:val="00BB3D9E"/>
    <w:rsid w:val="00BB5263"/>
    <w:rsid w:val="00BB6C09"/>
    <w:rsid w:val="00BC1E7E"/>
    <w:rsid w:val="00BC2E45"/>
    <w:rsid w:val="00BC3E26"/>
    <w:rsid w:val="00BC4C12"/>
    <w:rsid w:val="00BC5369"/>
    <w:rsid w:val="00BC74E9"/>
    <w:rsid w:val="00BD242C"/>
    <w:rsid w:val="00BE36A9"/>
    <w:rsid w:val="00BE5463"/>
    <w:rsid w:val="00BE618E"/>
    <w:rsid w:val="00BE6AD7"/>
    <w:rsid w:val="00BE7BEC"/>
    <w:rsid w:val="00BF0A5A"/>
    <w:rsid w:val="00BF0E63"/>
    <w:rsid w:val="00BF103C"/>
    <w:rsid w:val="00BF12A3"/>
    <w:rsid w:val="00BF16D7"/>
    <w:rsid w:val="00BF218C"/>
    <w:rsid w:val="00BF2373"/>
    <w:rsid w:val="00BF36F3"/>
    <w:rsid w:val="00C03A88"/>
    <w:rsid w:val="00C044E2"/>
    <w:rsid w:val="00C048CB"/>
    <w:rsid w:val="00C066F3"/>
    <w:rsid w:val="00C06865"/>
    <w:rsid w:val="00C07CA9"/>
    <w:rsid w:val="00C10783"/>
    <w:rsid w:val="00C11B07"/>
    <w:rsid w:val="00C129D5"/>
    <w:rsid w:val="00C131B1"/>
    <w:rsid w:val="00C13F36"/>
    <w:rsid w:val="00C15DC2"/>
    <w:rsid w:val="00C225E4"/>
    <w:rsid w:val="00C250FE"/>
    <w:rsid w:val="00C30AAC"/>
    <w:rsid w:val="00C31A6C"/>
    <w:rsid w:val="00C36878"/>
    <w:rsid w:val="00C42610"/>
    <w:rsid w:val="00C443B6"/>
    <w:rsid w:val="00C44BB0"/>
    <w:rsid w:val="00C45BBB"/>
    <w:rsid w:val="00C463DD"/>
    <w:rsid w:val="00C505CD"/>
    <w:rsid w:val="00C60D93"/>
    <w:rsid w:val="00C62A7A"/>
    <w:rsid w:val="00C70809"/>
    <w:rsid w:val="00C745C3"/>
    <w:rsid w:val="00C76BF5"/>
    <w:rsid w:val="00C805A7"/>
    <w:rsid w:val="00C83923"/>
    <w:rsid w:val="00C9213B"/>
    <w:rsid w:val="00CA2221"/>
    <w:rsid w:val="00CA24A4"/>
    <w:rsid w:val="00CA3137"/>
    <w:rsid w:val="00CA3AF1"/>
    <w:rsid w:val="00CA44E1"/>
    <w:rsid w:val="00CA6540"/>
    <w:rsid w:val="00CA7045"/>
    <w:rsid w:val="00CB1981"/>
    <w:rsid w:val="00CB348D"/>
    <w:rsid w:val="00CB34BE"/>
    <w:rsid w:val="00CB4FCE"/>
    <w:rsid w:val="00CB51DE"/>
    <w:rsid w:val="00CB5B76"/>
    <w:rsid w:val="00CB763D"/>
    <w:rsid w:val="00CC0178"/>
    <w:rsid w:val="00CC1589"/>
    <w:rsid w:val="00CC1B3A"/>
    <w:rsid w:val="00CC3136"/>
    <w:rsid w:val="00CC4E06"/>
    <w:rsid w:val="00CC4EC6"/>
    <w:rsid w:val="00CD1C17"/>
    <w:rsid w:val="00CD2214"/>
    <w:rsid w:val="00CD46F5"/>
    <w:rsid w:val="00CD58A9"/>
    <w:rsid w:val="00CD6883"/>
    <w:rsid w:val="00CD6C29"/>
    <w:rsid w:val="00CE2428"/>
    <w:rsid w:val="00CE2D0B"/>
    <w:rsid w:val="00CE4A8F"/>
    <w:rsid w:val="00CE52ED"/>
    <w:rsid w:val="00CF071D"/>
    <w:rsid w:val="00CF102B"/>
    <w:rsid w:val="00CF116C"/>
    <w:rsid w:val="00D00745"/>
    <w:rsid w:val="00D03595"/>
    <w:rsid w:val="00D1319A"/>
    <w:rsid w:val="00D15B04"/>
    <w:rsid w:val="00D2031B"/>
    <w:rsid w:val="00D22806"/>
    <w:rsid w:val="00D231B0"/>
    <w:rsid w:val="00D23EAC"/>
    <w:rsid w:val="00D25583"/>
    <w:rsid w:val="00D25EC1"/>
    <w:rsid w:val="00D25FE2"/>
    <w:rsid w:val="00D37DA9"/>
    <w:rsid w:val="00D406A7"/>
    <w:rsid w:val="00D43252"/>
    <w:rsid w:val="00D44D86"/>
    <w:rsid w:val="00D4540B"/>
    <w:rsid w:val="00D50A7A"/>
    <w:rsid w:val="00D50B7D"/>
    <w:rsid w:val="00D52012"/>
    <w:rsid w:val="00D52588"/>
    <w:rsid w:val="00D53D19"/>
    <w:rsid w:val="00D57536"/>
    <w:rsid w:val="00D61C55"/>
    <w:rsid w:val="00D6633F"/>
    <w:rsid w:val="00D704E5"/>
    <w:rsid w:val="00D72727"/>
    <w:rsid w:val="00D731DD"/>
    <w:rsid w:val="00D73D7E"/>
    <w:rsid w:val="00D8478F"/>
    <w:rsid w:val="00D871AC"/>
    <w:rsid w:val="00D90395"/>
    <w:rsid w:val="00D90415"/>
    <w:rsid w:val="00D917F9"/>
    <w:rsid w:val="00D91E8D"/>
    <w:rsid w:val="00D978C6"/>
    <w:rsid w:val="00DA0956"/>
    <w:rsid w:val="00DA121A"/>
    <w:rsid w:val="00DA357F"/>
    <w:rsid w:val="00DA3E12"/>
    <w:rsid w:val="00DA5671"/>
    <w:rsid w:val="00DB00AA"/>
    <w:rsid w:val="00DB0BFD"/>
    <w:rsid w:val="00DB5900"/>
    <w:rsid w:val="00DB66FA"/>
    <w:rsid w:val="00DC18AD"/>
    <w:rsid w:val="00DC2BFF"/>
    <w:rsid w:val="00DC36B8"/>
    <w:rsid w:val="00DC5541"/>
    <w:rsid w:val="00DC584A"/>
    <w:rsid w:val="00DD3FE8"/>
    <w:rsid w:val="00DE0CB9"/>
    <w:rsid w:val="00DE178B"/>
    <w:rsid w:val="00DE5105"/>
    <w:rsid w:val="00DF1147"/>
    <w:rsid w:val="00DF1A1E"/>
    <w:rsid w:val="00DF1BE5"/>
    <w:rsid w:val="00DF4518"/>
    <w:rsid w:val="00DF45EB"/>
    <w:rsid w:val="00DF6A82"/>
    <w:rsid w:val="00DF7CAE"/>
    <w:rsid w:val="00E02011"/>
    <w:rsid w:val="00E04FFB"/>
    <w:rsid w:val="00E05AE0"/>
    <w:rsid w:val="00E05E6D"/>
    <w:rsid w:val="00E06CCB"/>
    <w:rsid w:val="00E1773B"/>
    <w:rsid w:val="00E324A0"/>
    <w:rsid w:val="00E37495"/>
    <w:rsid w:val="00E423C0"/>
    <w:rsid w:val="00E50BC6"/>
    <w:rsid w:val="00E53624"/>
    <w:rsid w:val="00E550E7"/>
    <w:rsid w:val="00E57974"/>
    <w:rsid w:val="00E62258"/>
    <w:rsid w:val="00E62965"/>
    <w:rsid w:val="00E63E5A"/>
    <w:rsid w:val="00E6414C"/>
    <w:rsid w:val="00E672F0"/>
    <w:rsid w:val="00E7260F"/>
    <w:rsid w:val="00E80AB5"/>
    <w:rsid w:val="00E813CE"/>
    <w:rsid w:val="00E82C50"/>
    <w:rsid w:val="00E86772"/>
    <w:rsid w:val="00E8702D"/>
    <w:rsid w:val="00E87C7D"/>
    <w:rsid w:val="00E916A9"/>
    <w:rsid w:val="00E916DE"/>
    <w:rsid w:val="00E9388E"/>
    <w:rsid w:val="00E96630"/>
    <w:rsid w:val="00EA20BE"/>
    <w:rsid w:val="00EA586A"/>
    <w:rsid w:val="00EB38B8"/>
    <w:rsid w:val="00EB5B1B"/>
    <w:rsid w:val="00EC10B9"/>
    <w:rsid w:val="00EC1A07"/>
    <w:rsid w:val="00ED18DC"/>
    <w:rsid w:val="00ED6201"/>
    <w:rsid w:val="00ED7A2A"/>
    <w:rsid w:val="00ED7F40"/>
    <w:rsid w:val="00EE4832"/>
    <w:rsid w:val="00EF1D7F"/>
    <w:rsid w:val="00EF4426"/>
    <w:rsid w:val="00F0137E"/>
    <w:rsid w:val="00F0148F"/>
    <w:rsid w:val="00F132D7"/>
    <w:rsid w:val="00F21786"/>
    <w:rsid w:val="00F237F4"/>
    <w:rsid w:val="00F30B84"/>
    <w:rsid w:val="00F347BC"/>
    <w:rsid w:val="00F3742B"/>
    <w:rsid w:val="00F40CCF"/>
    <w:rsid w:val="00F41E7B"/>
    <w:rsid w:val="00F41FDB"/>
    <w:rsid w:val="00F42082"/>
    <w:rsid w:val="00F42BD8"/>
    <w:rsid w:val="00F463C5"/>
    <w:rsid w:val="00F5337D"/>
    <w:rsid w:val="00F5390C"/>
    <w:rsid w:val="00F542ED"/>
    <w:rsid w:val="00F56D63"/>
    <w:rsid w:val="00F60127"/>
    <w:rsid w:val="00F609A9"/>
    <w:rsid w:val="00F6280E"/>
    <w:rsid w:val="00F63A40"/>
    <w:rsid w:val="00F72E74"/>
    <w:rsid w:val="00F7472D"/>
    <w:rsid w:val="00F80C99"/>
    <w:rsid w:val="00F867EC"/>
    <w:rsid w:val="00F91B2B"/>
    <w:rsid w:val="00F96CB6"/>
    <w:rsid w:val="00FA28CC"/>
    <w:rsid w:val="00FA3135"/>
    <w:rsid w:val="00FA3269"/>
    <w:rsid w:val="00FB468B"/>
    <w:rsid w:val="00FC03CD"/>
    <w:rsid w:val="00FC0646"/>
    <w:rsid w:val="00FC0826"/>
    <w:rsid w:val="00FC161F"/>
    <w:rsid w:val="00FC2FC6"/>
    <w:rsid w:val="00FC55A7"/>
    <w:rsid w:val="00FC68B7"/>
    <w:rsid w:val="00FD0A90"/>
    <w:rsid w:val="00FD1D35"/>
    <w:rsid w:val="00FD6382"/>
    <w:rsid w:val="00FD6E23"/>
    <w:rsid w:val="00FE58E6"/>
    <w:rsid w:val="00FE69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175AFCD2"/>
  <w15:chartTrackingRefBased/>
  <w15:docId w15:val="{9AD88CB2-792D-42DE-9916-088BD6F1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uiPriority w:val="99"/>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rsid w:val="00FA3269"/>
    <w:rPr>
      <w:lang w:val="en-GB" w:eastAsia="en-US"/>
    </w:rPr>
  </w:style>
  <w:style w:type="character" w:customStyle="1" w:styleId="H1GChar">
    <w:name w:val="_ H_1_G Char"/>
    <w:link w:val="H1G"/>
    <w:qFormat/>
    <w:rsid w:val="00D6633F"/>
    <w:rPr>
      <w:b/>
      <w:sz w:val="24"/>
      <w:lang w:eastAsia="en-US"/>
    </w:rPr>
  </w:style>
  <w:style w:type="character" w:customStyle="1" w:styleId="SingleTxtGChar">
    <w:name w:val="_ Single Txt_G Char"/>
    <w:qFormat/>
    <w:locked/>
    <w:rsid w:val="0079577B"/>
    <w:rPr>
      <w:lang w:val="en-GB" w:eastAsia="en-US"/>
    </w:rPr>
  </w:style>
  <w:style w:type="character" w:customStyle="1" w:styleId="UnresolvedMention1">
    <w:name w:val="Unresolved Mention1"/>
    <w:basedOn w:val="DefaultParagraphFont"/>
    <w:uiPriority w:val="99"/>
    <w:semiHidden/>
    <w:unhideWhenUsed/>
    <w:rsid w:val="00C03A88"/>
    <w:rPr>
      <w:color w:val="605E5C"/>
      <w:shd w:val="clear" w:color="auto" w:fill="E1DFDD"/>
    </w:rPr>
  </w:style>
  <w:style w:type="paragraph" w:styleId="ListParagraph">
    <w:name w:val="List Paragraph"/>
    <w:basedOn w:val="Normal"/>
    <w:uiPriority w:val="34"/>
    <w:qFormat/>
    <w:rsid w:val="00E06CCB"/>
    <w:pPr>
      <w:spacing w:after="200" w:line="276" w:lineRule="auto"/>
      <w:ind w:left="720"/>
      <w:contextualSpacing/>
    </w:pPr>
    <w:rPr>
      <w:rFonts w:ascii="Calibri" w:hAnsi="Calibri"/>
      <w:color w:val="00000A"/>
      <w:sz w:val="22"/>
      <w:szCs w:val="22"/>
    </w:rPr>
  </w:style>
  <w:style w:type="character" w:customStyle="1" w:styleId="H23GChar">
    <w:name w:val="_ H_2/3_G Char"/>
    <w:link w:val="H23G"/>
    <w:locked/>
    <w:rsid w:val="008E4437"/>
    <w:rPr>
      <w:b/>
      <w:lang w:val="en-GB"/>
    </w:rPr>
  </w:style>
  <w:style w:type="paragraph" w:customStyle="1" w:styleId="Titre31">
    <w:name w:val="Titre 31"/>
    <w:basedOn w:val="Normal"/>
    <w:next w:val="Normal"/>
    <w:qFormat/>
    <w:rsid w:val="00857A4B"/>
    <w:pPr>
      <w:suppressAutoHyphens/>
      <w:spacing w:after="0"/>
      <w:outlineLvl w:val="2"/>
    </w:pPr>
  </w:style>
  <w:style w:type="character" w:customStyle="1" w:styleId="FootnoteTextChar">
    <w:name w:val="Footnote Text Char"/>
    <w:aliases w:val="5_G Char"/>
    <w:link w:val="FootnoteText"/>
    <w:qFormat/>
    <w:rsid w:val="00857A4B"/>
    <w:rPr>
      <w:sz w:val="18"/>
      <w:lang w:val="en-GB"/>
    </w:rPr>
  </w:style>
  <w:style w:type="character" w:customStyle="1" w:styleId="Ancredenotedebasdepage">
    <w:name w:val="Ancre de note de bas de page"/>
    <w:rsid w:val="00857A4B"/>
    <w:rPr>
      <w:vertAlign w:val="superscript"/>
    </w:rPr>
  </w:style>
  <w:style w:type="paragraph" w:customStyle="1" w:styleId="Default">
    <w:name w:val="Default"/>
    <w:rsid w:val="00A92AF7"/>
    <w:pPr>
      <w:autoSpaceDE w:val="0"/>
      <w:autoSpaceDN w:val="0"/>
      <w:adjustRightInd w:val="0"/>
    </w:pPr>
    <w:rPr>
      <w:color w:val="000000"/>
      <w:sz w:val="24"/>
      <w:szCs w:val="24"/>
    </w:rPr>
  </w:style>
  <w:style w:type="paragraph" w:customStyle="1" w:styleId="indent-1">
    <w:name w:val="indent-1"/>
    <w:basedOn w:val="Normal"/>
    <w:rsid w:val="00751C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costh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Christine Barrio-Champeau</DisplayName>
        <AccountId>49</AccountId>
        <AccountType/>
      </UserInfo>
      <UserInfo>
        <DisplayName>Romain Hubert</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0D251-4914-43D2-8613-65A800ED9A57}">
  <ds:schemaRefs>
    <ds:schemaRef ds:uri="http://schemas.microsoft.com/sharepoint/v3/contenttype/forms"/>
  </ds:schemaRefs>
</ds:datastoreItem>
</file>

<file path=customXml/itemProps2.xml><?xml version="1.0" encoding="utf-8"?>
<ds:datastoreItem xmlns:ds="http://schemas.openxmlformats.org/officeDocument/2006/customXml" ds:itemID="{B0E29F96-A8B4-4B40-BF7F-A219AB10C4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78E0E-7F4D-46F4-AFBB-5B9C3DB41CCD}">
  <ds:schemaRefs>
    <ds:schemaRef ds:uri="http://schemas.openxmlformats.org/officeDocument/2006/bibliography"/>
  </ds:schemaRefs>
</ds:datastoreItem>
</file>

<file path=customXml/itemProps4.xml><?xml version="1.0" encoding="utf-8"?>
<ds:datastoreItem xmlns:ds="http://schemas.openxmlformats.org/officeDocument/2006/customXml" ds:itemID="{AB2C0F42-10C3-4B97-976C-A4EE6505C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968</Words>
  <Characters>5523</Characters>
  <Application>Microsoft Office Word</Application>
  <DocSecurity>0</DocSecurity>
  <Lines>46</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INF</vt:lpstr>
      <vt:lpstr>INF</vt:lpstr>
      <vt:lpstr>INF</vt:lpstr>
    </vt:vector>
  </TitlesOfParts>
  <Company>UNECE</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dc:title>
  <dc:subject/>
  <dc:creator>Berthet</dc:creator>
  <cp:keywords/>
  <cp:lastModifiedBy>Romain Hubert</cp:lastModifiedBy>
  <cp:revision>16</cp:revision>
  <cp:lastPrinted>2019-09-06T13:58:00Z</cp:lastPrinted>
  <dcterms:created xsi:type="dcterms:W3CDTF">2022-03-12T08:28:00Z</dcterms:created>
  <dcterms:modified xsi:type="dcterms:W3CDTF">2022-03-12T09:58:00Z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