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37D8" w14:textId="77777777" w:rsidR="00760E7B" w:rsidRPr="00B042C8" w:rsidRDefault="00760E7B" w:rsidP="00760E7B">
      <w:pPr>
        <w:spacing w:before="120"/>
        <w:rPr>
          <w:b/>
          <w:sz w:val="28"/>
          <w:szCs w:val="28"/>
        </w:rPr>
      </w:pPr>
      <w:r w:rsidRPr="00B042C8">
        <w:rPr>
          <w:b/>
          <w:sz w:val="28"/>
          <w:szCs w:val="28"/>
        </w:rPr>
        <w:t>Economic Commission for Europe</w:t>
      </w:r>
    </w:p>
    <w:p w14:paraId="02002ED1" w14:textId="77777777" w:rsidR="00760E7B" w:rsidRPr="00B042C8" w:rsidRDefault="00760E7B" w:rsidP="00760E7B">
      <w:pPr>
        <w:spacing w:before="120"/>
        <w:rPr>
          <w:sz w:val="28"/>
          <w:szCs w:val="28"/>
        </w:rPr>
      </w:pPr>
      <w:r w:rsidRPr="00B042C8">
        <w:rPr>
          <w:sz w:val="28"/>
          <w:szCs w:val="28"/>
        </w:rPr>
        <w:t>Inland Transport Committee</w:t>
      </w:r>
    </w:p>
    <w:p w14:paraId="5C10B721" w14:textId="77777777" w:rsidR="00760E7B" w:rsidRPr="00B042C8" w:rsidRDefault="00760E7B" w:rsidP="00760E7B">
      <w:pPr>
        <w:spacing w:before="120" w:after="120"/>
        <w:rPr>
          <w:b/>
          <w:sz w:val="24"/>
          <w:szCs w:val="24"/>
        </w:rPr>
      </w:pPr>
      <w:r w:rsidRPr="00B042C8">
        <w:rPr>
          <w:b/>
          <w:sz w:val="24"/>
          <w:szCs w:val="24"/>
        </w:rPr>
        <w:t>Working Party on the Transport of Dangerous Goods</w:t>
      </w:r>
    </w:p>
    <w:p w14:paraId="084E5778" w14:textId="77777777" w:rsidR="00760E7B" w:rsidRPr="00B042C8" w:rsidRDefault="00760E7B" w:rsidP="00760E7B">
      <w:pPr>
        <w:rPr>
          <w:b/>
        </w:rPr>
      </w:pPr>
      <w:r w:rsidRPr="00B042C8">
        <w:rPr>
          <w:b/>
        </w:rPr>
        <w:t>Joint Meeting of the RID Committee of Experts and the</w:t>
      </w:r>
    </w:p>
    <w:p w14:paraId="407E3EFB" w14:textId="1ACBBBDD" w:rsidR="00760E7B" w:rsidRPr="00B042C8" w:rsidRDefault="00760E7B" w:rsidP="00760E7B">
      <w:pPr>
        <w:rPr>
          <w:b/>
        </w:rPr>
      </w:pPr>
      <w:r w:rsidRPr="00B042C8">
        <w:rPr>
          <w:b/>
        </w:rPr>
        <w:t>Working Party on the Transport of Dangerous Goods</w:t>
      </w:r>
      <w:r w:rsidRPr="00B042C8">
        <w:rPr>
          <w:b/>
        </w:rPr>
        <w:tab/>
      </w:r>
      <w:r w:rsidRPr="00B042C8">
        <w:rPr>
          <w:b/>
        </w:rPr>
        <w:tab/>
      </w:r>
      <w:r w:rsidRPr="00B042C8">
        <w:rPr>
          <w:b/>
        </w:rPr>
        <w:tab/>
      </w:r>
      <w:r w:rsidRPr="00B042C8">
        <w:rPr>
          <w:b/>
        </w:rPr>
        <w:tab/>
      </w:r>
      <w:r w:rsidRPr="00B042C8">
        <w:rPr>
          <w:b/>
        </w:rPr>
        <w:tab/>
      </w:r>
      <w:r w:rsidR="0023068F">
        <w:rPr>
          <w:b/>
        </w:rPr>
        <w:t>10</w:t>
      </w:r>
      <w:r w:rsidR="00B91BBD">
        <w:rPr>
          <w:b/>
        </w:rPr>
        <w:t xml:space="preserve"> </w:t>
      </w:r>
      <w:r w:rsidR="007F62EC">
        <w:rPr>
          <w:b/>
        </w:rPr>
        <w:t>March</w:t>
      </w:r>
      <w:r w:rsidR="00F47153">
        <w:rPr>
          <w:b/>
        </w:rPr>
        <w:t xml:space="preserve"> </w:t>
      </w:r>
      <w:r w:rsidR="00166CE1">
        <w:rPr>
          <w:b/>
        </w:rPr>
        <w:t>2</w:t>
      </w:r>
      <w:r w:rsidR="00500B84">
        <w:rPr>
          <w:b/>
        </w:rPr>
        <w:t>02</w:t>
      </w:r>
      <w:r w:rsidR="00F47153">
        <w:rPr>
          <w:b/>
        </w:rPr>
        <w:t>2</w:t>
      </w:r>
    </w:p>
    <w:p w14:paraId="4642F95A" w14:textId="2B07634D" w:rsidR="00760E7B" w:rsidRPr="0033026F" w:rsidRDefault="00713F97" w:rsidP="00AA6D94">
      <w:r>
        <w:t>Bern</w:t>
      </w:r>
      <w:r w:rsidR="00AA6D94" w:rsidRPr="0033026F">
        <w:t xml:space="preserve">, </w:t>
      </w:r>
      <w:r>
        <w:t xml:space="preserve">14-18 March </w:t>
      </w:r>
      <w:r w:rsidR="005662DD">
        <w:t>2022</w:t>
      </w:r>
    </w:p>
    <w:p w14:paraId="1264C731" w14:textId="04C3D9B2" w:rsidR="00760E7B" w:rsidRDefault="00760E7B" w:rsidP="00760E7B">
      <w:r w:rsidRPr="0033026F">
        <w:t xml:space="preserve">Item </w:t>
      </w:r>
      <w:r w:rsidR="0023068F">
        <w:t>5 a</w:t>
      </w:r>
      <w:r w:rsidR="007F62EC">
        <w:t>)</w:t>
      </w:r>
      <w:r w:rsidRPr="0033026F">
        <w:t xml:space="preserve"> of the provisional agenda</w:t>
      </w:r>
    </w:p>
    <w:p w14:paraId="3F3A5FF1" w14:textId="336DE541" w:rsidR="00FA6DA6" w:rsidRPr="00FA6DA6" w:rsidRDefault="007F62EC" w:rsidP="00B175D8">
      <w:pPr>
        <w:rPr>
          <w:b/>
        </w:rPr>
      </w:pPr>
      <w:r>
        <w:rPr>
          <w:b/>
        </w:rPr>
        <w:t>Proposals for amendments to RID/ADR/</w:t>
      </w:r>
      <w:r w:rsidR="00390912">
        <w:rPr>
          <w:b/>
        </w:rPr>
        <w:t>ADN</w:t>
      </w:r>
      <w:r w:rsidR="00390912">
        <w:rPr>
          <w:b/>
        </w:rPr>
        <w:br/>
      </w:r>
      <w:r w:rsidR="00AF23E1">
        <w:rPr>
          <w:b/>
        </w:rPr>
        <w:t>p</w:t>
      </w:r>
      <w:r w:rsidR="00390912">
        <w:rPr>
          <w:b/>
        </w:rPr>
        <w:t>ending issues</w:t>
      </w:r>
    </w:p>
    <w:p w14:paraId="3D7F82C8" w14:textId="180F2127" w:rsidR="00E70778" w:rsidRPr="00685E7E" w:rsidRDefault="009B1518" w:rsidP="00685E7E">
      <w:pPr>
        <w:pStyle w:val="HChG"/>
      </w:pPr>
      <w:r>
        <w:tab/>
      </w:r>
      <w:r>
        <w:tab/>
      </w:r>
      <w:r w:rsidR="001C1EDB">
        <w:tab/>
      </w:r>
      <w:r w:rsidR="00685E7E">
        <w:t xml:space="preserve">Transport of electric energy systems and lithium ion batteries </w:t>
      </w:r>
      <w:r w:rsidR="007F62EC">
        <w:t>Comments to ECE/TR</w:t>
      </w:r>
      <w:r w:rsidR="00685E7E">
        <w:t>ANS/WP.15/AC.1/2022/20</w:t>
      </w:r>
    </w:p>
    <w:p w14:paraId="5FC91184" w14:textId="6E66447E" w:rsidR="00881C0C" w:rsidRDefault="00881C0C" w:rsidP="00881C0C">
      <w:pPr>
        <w:pStyle w:val="H1G"/>
      </w:pPr>
      <w:r>
        <w:tab/>
      </w:r>
      <w:r>
        <w:tab/>
      </w:r>
      <w:r w:rsidR="00795C2B" w:rsidRPr="007C7BC4">
        <w:t xml:space="preserve">Transmitted by the Government of </w:t>
      </w:r>
      <w:r w:rsidR="007F62EC">
        <w:t>France</w:t>
      </w:r>
    </w:p>
    <w:p w14:paraId="29F93AB4" w14:textId="6B310080" w:rsidR="005412AA" w:rsidRPr="00E62425" w:rsidRDefault="005662DD" w:rsidP="005662DD">
      <w:pPr>
        <w:pStyle w:val="HChG"/>
      </w:pPr>
      <w:r>
        <w:tab/>
      </w:r>
      <w:r>
        <w:tab/>
      </w:r>
      <w:r w:rsidR="007F62EC">
        <w:t>Introduction</w:t>
      </w:r>
    </w:p>
    <w:p w14:paraId="3D12AD20" w14:textId="6810A345" w:rsidR="00DC1E81" w:rsidRPr="00E62425" w:rsidRDefault="005662DD" w:rsidP="005662DD">
      <w:pPr>
        <w:pStyle w:val="SingleTxtG"/>
      </w:pPr>
      <w:r>
        <w:t>1.</w:t>
      </w:r>
      <w:r>
        <w:tab/>
      </w:r>
      <w:r w:rsidR="00685E7E">
        <w:t xml:space="preserve">France would like to thank Sweden for its continued effort to deal with this issue. We believe it is a real issue. The use of electric power systems for the use on workplaces but also </w:t>
      </w:r>
      <w:r w:rsidR="004C702B">
        <w:t>in</w:t>
      </w:r>
      <w:r w:rsidR="00685E7E">
        <w:t xml:space="preserve"> power tools or even small mobility engines should be encouraged as it is cleaner than other fuels. </w:t>
      </w:r>
      <w:r w:rsidR="00C54517">
        <w:t>W</w:t>
      </w:r>
      <w:r w:rsidR="00685E7E">
        <w:t xml:space="preserve">e </w:t>
      </w:r>
      <w:r w:rsidR="00C54517">
        <w:t xml:space="preserve">also </w:t>
      </w:r>
      <w:r w:rsidR="00685E7E">
        <w:t xml:space="preserve">agree that currently the regulation is a disadvantage to the use of these </w:t>
      </w:r>
      <w:r w:rsidR="00824425">
        <w:t>system</w:t>
      </w:r>
      <w:r w:rsidR="00CC5576">
        <w:t>s and batteries i</w:t>
      </w:r>
      <w:r w:rsidR="00824425">
        <w:t>n general</w:t>
      </w:r>
      <w:r w:rsidR="008C3A79">
        <w:t>.</w:t>
      </w:r>
    </w:p>
    <w:p w14:paraId="66FA7277" w14:textId="1BF9B631" w:rsidR="00CC5576" w:rsidRDefault="005662DD" w:rsidP="00CC5576">
      <w:pPr>
        <w:pStyle w:val="SingleTxtG"/>
      </w:pPr>
      <w:r>
        <w:t>2.</w:t>
      </w:r>
      <w:r>
        <w:tab/>
      </w:r>
      <w:r w:rsidR="002D244D">
        <w:t>However</w:t>
      </w:r>
      <w:r w:rsidR="00456EE1">
        <w:t xml:space="preserve">, </w:t>
      </w:r>
      <w:r w:rsidR="00CC5576">
        <w:t>we believe that</w:t>
      </w:r>
      <w:r w:rsidR="00824425">
        <w:t xml:space="preserve"> the issue is broader and cover</w:t>
      </w:r>
      <w:r w:rsidR="00CC5576">
        <w:t>s</w:t>
      </w:r>
      <w:r w:rsidR="00824425">
        <w:t xml:space="preserve"> more items than batteries in cargo transport units as defined </w:t>
      </w:r>
      <w:r w:rsidR="00115FA2">
        <w:t>in</w:t>
      </w:r>
      <w:r w:rsidR="00824425">
        <w:t xml:space="preserve"> UN 3536.</w:t>
      </w:r>
      <w:r w:rsidR="00CC5576">
        <w:t xml:space="preserve"> </w:t>
      </w:r>
      <w:r w:rsidR="00D1673D">
        <w:t>P</w:t>
      </w:r>
      <w:r w:rsidR="00CC5576">
        <w:t xml:space="preserve">ower supplies are </w:t>
      </w:r>
      <w:r w:rsidR="00D1673D">
        <w:t xml:space="preserve">indeed </w:t>
      </w:r>
      <w:r w:rsidR="00CC5576">
        <w:t xml:space="preserve">used </w:t>
      </w:r>
      <w:r w:rsidR="00EA4E45">
        <w:t xml:space="preserve">on workplaces </w:t>
      </w:r>
      <w:r w:rsidR="00CC5576">
        <w:t xml:space="preserve">but also batteries </w:t>
      </w:r>
      <w:r w:rsidR="00A37D04">
        <w:t>for</w:t>
      </w:r>
      <w:r w:rsidR="00CC5576">
        <w:t xml:space="preserve"> power tools and they need to be carried. </w:t>
      </w:r>
      <w:r w:rsidR="00381732">
        <w:t>D</w:t>
      </w:r>
      <w:r w:rsidR="00CC5576">
        <w:t>ue to the definition of UN</w:t>
      </w:r>
      <w:r w:rsidR="006D1CFC">
        <w:t> </w:t>
      </w:r>
      <w:r w:rsidR="00CC5576">
        <w:t>3536 there is an overlap between small units classified under this entry (smallest possible size 1 m</w:t>
      </w:r>
      <w:r w:rsidR="00CC5576" w:rsidRPr="006D1CFC">
        <w:rPr>
          <w:vertAlign w:val="superscript"/>
        </w:rPr>
        <w:t>3</w:t>
      </w:r>
      <w:r w:rsidR="00CC5576">
        <w:t>) and big batteries or battery assemblies falling under UN</w:t>
      </w:r>
      <w:r w:rsidR="006D1CFC">
        <w:t xml:space="preserve"> </w:t>
      </w:r>
      <w:r w:rsidR="00CC5576">
        <w:t>3480.</w:t>
      </w:r>
    </w:p>
    <w:p w14:paraId="0B9FB944" w14:textId="0FFAC77B" w:rsidR="00CC5576" w:rsidRDefault="00CC5576" w:rsidP="00CC5576">
      <w:pPr>
        <w:pStyle w:val="SingleTxtG"/>
      </w:pPr>
      <w:r>
        <w:t>3.</w:t>
      </w:r>
      <w:r>
        <w:tab/>
        <w:t xml:space="preserve">The exemption system </w:t>
      </w:r>
      <w:r w:rsidR="00EC2410">
        <w:t>under 1.1.3.6</w:t>
      </w:r>
      <w:r>
        <w:t xml:space="preserve"> has been designed at a time where knowledge and experience concerning batteries was not as complete as today and it is particularly unfair compared to other dangerous goods such as flammable liquid that are competing with them. </w:t>
      </w:r>
      <w:r w:rsidR="00EC2410">
        <w:t>We now have a better idea on how</w:t>
      </w:r>
      <w:r>
        <w:t xml:space="preserve"> threshold </w:t>
      </w:r>
      <w:r w:rsidR="00EC2410">
        <w:t>of 333</w:t>
      </w:r>
      <w:r w:rsidR="003F6BE5">
        <w:t xml:space="preserve"> </w:t>
      </w:r>
      <w:r w:rsidR="00EC2410">
        <w:t xml:space="preserve">kg </w:t>
      </w:r>
      <w:r w:rsidR="00C74290">
        <w:t>(</w:t>
      </w:r>
      <w:r>
        <w:t xml:space="preserve">expressed </w:t>
      </w:r>
      <w:r w:rsidR="008B2A53">
        <w:t>as</w:t>
      </w:r>
      <w:r>
        <w:t xml:space="preserve"> mass</w:t>
      </w:r>
      <w:r w:rsidR="0017181C">
        <w:t>)</w:t>
      </w:r>
      <w:r w:rsidR="00EC2410">
        <w:t xml:space="preserve"> is not representing the real risk of these batteries. </w:t>
      </w:r>
      <w:r w:rsidR="00E433C6">
        <w:t>It is even contra productive as a stronger batteries with more weight in non-energetic part would be penalized in comparison to a lighter one.</w:t>
      </w:r>
    </w:p>
    <w:p w14:paraId="36B2939D" w14:textId="7DB2F98F" w:rsidR="00EC2410" w:rsidRDefault="00EC2410" w:rsidP="00CC5576">
      <w:pPr>
        <w:pStyle w:val="SingleTxtG"/>
      </w:pPr>
      <w:r>
        <w:t>4.</w:t>
      </w:r>
      <w:r>
        <w:tab/>
      </w:r>
      <w:r w:rsidR="00E433C6">
        <w:t xml:space="preserve">As </w:t>
      </w:r>
      <w:r w:rsidR="00D612D2">
        <w:t>our</w:t>
      </w:r>
      <w:r w:rsidR="00E433C6">
        <w:t xml:space="preserve"> work aims at drafting the 2025 </w:t>
      </w:r>
      <w:r w:rsidR="001179D5">
        <w:t>amendments,</w:t>
      </w:r>
      <w:r w:rsidR="00E433C6">
        <w:t xml:space="preserve"> we are of the opinion that this opportunity should be used to broaden the scope </w:t>
      </w:r>
      <w:r w:rsidR="00033867">
        <w:t xml:space="preserve">of </w:t>
      </w:r>
      <w:r w:rsidR="00E433C6">
        <w:t xml:space="preserve">discussion </w:t>
      </w:r>
      <w:r w:rsidR="00A645C2">
        <w:t xml:space="preserve">to get a </w:t>
      </w:r>
      <w:r w:rsidR="00E433C6">
        <w:t xml:space="preserve">solid solution that would deal with the issue of transport exemptions for power units and batteries in a </w:t>
      </w:r>
      <w:r w:rsidR="003D3718">
        <w:t xml:space="preserve">more </w:t>
      </w:r>
      <w:r w:rsidR="00E433C6">
        <w:t>consistent way</w:t>
      </w:r>
      <w:r w:rsidR="008A74BB">
        <w:t>.</w:t>
      </w:r>
    </w:p>
    <w:p w14:paraId="796EC5CF" w14:textId="561CCDB9" w:rsidR="00E433C6" w:rsidRDefault="00E433C6" w:rsidP="00CC5576">
      <w:pPr>
        <w:pStyle w:val="SingleTxtG"/>
      </w:pPr>
      <w:r>
        <w:t>5</w:t>
      </w:r>
      <w:r w:rsidR="008A74BB">
        <w:t>.</w:t>
      </w:r>
      <w:r>
        <w:tab/>
        <w:t>The threshold value should be expressed in energy content or capacity (k</w:t>
      </w:r>
      <w:r w:rsidR="00F72D0C">
        <w:t>W</w:t>
      </w:r>
      <w:r>
        <w:t>h</w:t>
      </w:r>
      <w:r w:rsidR="001179D5">
        <w:t>)</w:t>
      </w:r>
      <w:r>
        <w:t xml:space="preserve"> and on a</w:t>
      </w:r>
      <w:r w:rsidR="00F72D0C">
        <w:t>n</w:t>
      </w:r>
      <w:r>
        <w:t xml:space="preserve"> equivalent risk reasoning similar to the one applied for other type of goods, and not only on the size and type currently in use because these will change over time.</w:t>
      </w:r>
    </w:p>
    <w:p w14:paraId="274C460B" w14:textId="4A6779A2" w:rsidR="00B15EC6" w:rsidRDefault="00B15EC6" w:rsidP="00CC5576">
      <w:pPr>
        <w:pStyle w:val="SingleTxtG"/>
      </w:pPr>
      <w:r>
        <w:t>6</w:t>
      </w:r>
      <w:r w:rsidR="008A74BB">
        <w:t>.</w:t>
      </w:r>
      <w:r>
        <w:tab/>
        <w:t xml:space="preserve">The size of batteries accepted in mobility application can be used as an </w:t>
      </w:r>
      <w:r w:rsidR="00535820">
        <w:t>indication,</w:t>
      </w:r>
      <w:r>
        <w:t xml:space="preserve"> but it should take care of the ones used in heav</w:t>
      </w:r>
      <w:r w:rsidR="00D45D69">
        <w:t>y</w:t>
      </w:r>
      <w:r>
        <w:t xml:space="preserve"> vehicles and not only </w:t>
      </w:r>
      <w:r w:rsidR="00C87F68">
        <w:t>passenger cars</w:t>
      </w:r>
      <w:r w:rsidR="00A2276D">
        <w:t xml:space="preserve"> (i</w:t>
      </w:r>
      <w:r>
        <w:t>n the same way tha</w:t>
      </w:r>
      <w:r w:rsidR="00A2276D">
        <w:t>n</w:t>
      </w:r>
      <w:r>
        <w:t xml:space="preserve"> the quantity of flammable liquids relate</w:t>
      </w:r>
      <w:r w:rsidR="00E80144">
        <w:t>s</w:t>
      </w:r>
      <w:r>
        <w:t xml:space="preserve"> more to the quantity in heavy goods trucks</w:t>
      </w:r>
      <w:r w:rsidR="00A2276D">
        <w:t>)</w:t>
      </w:r>
      <w:r>
        <w:t>.</w:t>
      </w:r>
    </w:p>
    <w:p w14:paraId="60565483" w14:textId="05AFA632" w:rsidR="00B15EC6" w:rsidRDefault="00283C5D" w:rsidP="008A74BB">
      <w:pPr>
        <w:pStyle w:val="SingleTxtG"/>
      </w:pPr>
      <w:r>
        <w:t>7</w:t>
      </w:r>
      <w:r w:rsidR="008A74BB">
        <w:t>.</w:t>
      </w:r>
      <w:r>
        <w:tab/>
        <w:t>We see UN</w:t>
      </w:r>
      <w:r w:rsidR="00B1583D">
        <w:t xml:space="preserve"> </w:t>
      </w:r>
      <w:r>
        <w:t>3536 as an equivalent to UN 3528 to UN</w:t>
      </w:r>
      <w:r w:rsidR="0012741A">
        <w:t xml:space="preserve"> </w:t>
      </w:r>
      <w:r>
        <w:t xml:space="preserve">3530 when applied to power supply engine and </w:t>
      </w:r>
      <w:r w:rsidR="001925BA">
        <w:t>special provision</w:t>
      </w:r>
      <w:r>
        <w:t xml:space="preserve"> 389 as equivalent to </w:t>
      </w:r>
      <w:r w:rsidR="0036501C">
        <w:t xml:space="preserve">SP </w:t>
      </w:r>
      <w:r>
        <w:t xml:space="preserve">363 in this respect. An exemption should be defined in 1.1.3 and it is better not to change </w:t>
      </w:r>
      <w:r w:rsidR="0036501C">
        <w:t xml:space="preserve">the </w:t>
      </w:r>
      <w:r>
        <w:t>text</w:t>
      </w:r>
      <w:r w:rsidR="0036501C" w:rsidRPr="0036501C">
        <w:t xml:space="preserve"> </w:t>
      </w:r>
      <w:r w:rsidR="0036501C">
        <w:t>of the UN Model Regulations</w:t>
      </w:r>
      <w:r>
        <w:t>.</w:t>
      </w:r>
    </w:p>
    <w:p w14:paraId="61CA5B2C" w14:textId="164E82AC" w:rsidR="00B15EC6" w:rsidRDefault="00B15EC6" w:rsidP="00B15EC6">
      <w:pPr>
        <w:pStyle w:val="HChG"/>
      </w:pPr>
      <w:r>
        <w:lastRenderedPageBreak/>
        <w:tab/>
      </w:r>
      <w:r>
        <w:tab/>
        <w:t>Information about the size of batteries in use in vehicles</w:t>
      </w:r>
    </w:p>
    <w:p w14:paraId="00CF57D9" w14:textId="1154DEC5" w:rsidR="00B15EC6" w:rsidRPr="00B15EC6" w:rsidRDefault="00283C5D" w:rsidP="00BA3F79">
      <w:pPr>
        <w:spacing w:after="120"/>
        <w:ind w:left="1134" w:right="1134"/>
        <w:jc w:val="both"/>
        <w:rPr>
          <w:lang w:val="en-US"/>
        </w:rPr>
      </w:pPr>
      <w:r>
        <w:t>8.</w:t>
      </w:r>
      <w:r w:rsidR="00B15EC6" w:rsidRPr="00B15EC6">
        <w:tab/>
      </w:r>
      <w:r w:rsidR="00B15EC6" w:rsidRPr="00B15EC6">
        <w:rPr>
          <w:lang w:val="en-US"/>
        </w:rPr>
        <w:t>Currently many electric vehicles are in circulation on the road. The nominal energy of e-car battery varies from 18 kWh for small urban vehicle, up to 100 kWh for a sedan. The table below detail battery energy of different vehicles in 2021.</w:t>
      </w:r>
    </w:p>
    <w:p w14:paraId="36B5F1CA" w14:textId="32636C43" w:rsidR="00B15EC6" w:rsidRDefault="00B15EC6" w:rsidP="00CC5576">
      <w:pPr>
        <w:pStyle w:val="SingleTxtG"/>
        <w:rPr>
          <w:lang w:val="en-US"/>
        </w:rPr>
      </w:pPr>
      <w:r w:rsidRPr="001E556D">
        <w:rPr>
          <w:rFonts w:ascii="Marianne Light" w:hAnsi="Marianne Light"/>
          <w:noProof/>
          <w:sz w:val="22"/>
          <w:lang w:val="fr-FR" w:eastAsia="fr-FR"/>
        </w:rPr>
        <w:drawing>
          <wp:inline distT="0" distB="0" distL="0" distR="0" wp14:anchorId="2B3D0BE0" wp14:editId="5FFD596E">
            <wp:extent cx="4533900" cy="3554686"/>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905" t="19926" r="31166" b="17938"/>
                    <a:stretch/>
                  </pic:blipFill>
                  <pic:spPr bwMode="auto">
                    <a:xfrm>
                      <a:off x="0" y="0"/>
                      <a:ext cx="4549659" cy="3567041"/>
                    </a:xfrm>
                    <a:prstGeom prst="rect">
                      <a:avLst/>
                    </a:prstGeom>
                    <a:ln>
                      <a:noFill/>
                    </a:ln>
                    <a:extLst>
                      <a:ext uri="{53640926-AAD7-44D8-BBD7-CCE9431645EC}">
                        <a14:shadowObscured xmlns:a14="http://schemas.microsoft.com/office/drawing/2010/main"/>
                      </a:ext>
                    </a:extLst>
                  </pic:spPr>
                </pic:pic>
              </a:graphicData>
            </a:graphic>
          </wp:inline>
        </w:drawing>
      </w:r>
    </w:p>
    <w:p w14:paraId="47730FCA" w14:textId="06933779" w:rsidR="00B15EC6" w:rsidRPr="0013630F" w:rsidRDefault="00B15EC6" w:rsidP="00B15EC6">
      <w:pPr>
        <w:pStyle w:val="Caption"/>
        <w:rPr>
          <w:rFonts w:ascii="Marianne Light" w:hAnsi="Marianne Light"/>
          <w:szCs w:val="20"/>
          <w:lang w:val="en-US"/>
        </w:rPr>
      </w:pPr>
      <w:r w:rsidRPr="0013630F">
        <w:rPr>
          <w:rFonts w:ascii="Marianne Light" w:hAnsi="Marianne Light"/>
          <w:szCs w:val="20"/>
          <w:lang w:val="en-US"/>
        </w:rPr>
        <w:t xml:space="preserve">Figure </w:t>
      </w:r>
      <w:r w:rsidRPr="0013630F">
        <w:rPr>
          <w:rFonts w:ascii="Marianne Light" w:hAnsi="Marianne Light"/>
          <w:szCs w:val="20"/>
        </w:rPr>
        <w:fldChar w:fldCharType="begin"/>
      </w:r>
      <w:r w:rsidRPr="0013630F">
        <w:rPr>
          <w:rFonts w:ascii="Marianne Light" w:hAnsi="Marianne Light"/>
          <w:szCs w:val="20"/>
          <w:lang w:val="en-US"/>
        </w:rPr>
        <w:instrText xml:space="preserve"> SEQ Figure \* ARABIC </w:instrText>
      </w:r>
      <w:r w:rsidRPr="0013630F">
        <w:rPr>
          <w:rFonts w:ascii="Marianne Light" w:hAnsi="Marianne Light"/>
          <w:szCs w:val="20"/>
        </w:rPr>
        <w:fldChar w:fldCharType="separate"/>
      </w:r>
      <w:r w:rsidRPr="0013630F">
        <w:rPr>
          <w:rFonts w:ascii="Marianne Light" w:hAnsi="Marianne Light"/>
          <w:noProof/>
          <w:szCs w:val="20"/>
          <w:lang w:val="en-US"/>
        </w:rPr>
        <w:t>1</w:t>
      </w:r>
      <w:r w:rsidRPr="0013630F">
        <w:rPr>
          <w:rFonts w:ascii="Marianne Light" w:hAnsi="Marianne Light"/>
          <w:szCs w:val="20"/>
        </w:rPr>
        <w:fldChar w:fldCharType="end"/>
      </w:r>
      <w:r w:rsidRPr="0013630F">
        <w:rPr>
          <w:rFonts w:ascii="Calibri" w:hAnsi="Calibri" w:cs="Calibri"/>
          <w:szCs w:val="20"/>
          <w:lang w:val="en-US"/>
        </w:rPr>
        <w:t> </w:t>
      </w:r>
      <w:r w:rsidRPr="0013630F">
        <w:rPr>
          <w:rFonts w:ascii="Marianne Light" w:hAnsi="Marianne Light"/>
          <w:szCs w:val="20"/>
          <w:lang w:val="en-US"/>
        </w:rPr>
        <w:t xml:space="preserve">: Review of electric vehicle energy storage and management system: </w:t>
      </w:r>
      <w:r w:rsidRPr="0013630F">
        <w:rPr>
          <w:rFonts w:ascii="Marianne Light" w:hAnsi="Marianne Light"/>
          <w:szCs w:val="20"/>
          <w:lang w:val="en-US"/>
        </w:rPr>
        <w:br/>
        <w:t>Standards, issues, and challenges Mohammad Kamrul et al. JES, 2021</w:t>
      </w:r>
    </w:p>
    <w:p w14:paraId="715AAD3B" w14:textId="2301510F" w:rsidR="00B15EC6" w:rsidRDefault="00283C5D" w:rsidP="00BA3F79">
      <w:pPr>
        <w:spacing w:after="120"/>
        <w:ind w:left="1134" w:right="1134"/>
        <w:jc w:val="both"/>
        <w:rPr>
          <w:lang w:val="en-US"/>
        </w:rPr>
      </w:pPr>
      <w:r>
        <w:rPr>
          <w:lang w:val="en-US"/>
        </w:rPr>
        <w:t>9.</w:t>
      </w:r>
      <w:r w:rsidR="00B15EC6" w:rsidRPr="00B15EC6">
        <w:rPr>
          <w:lang w:val="en-US"/>
        </w:rPr>
        <w:tab/>
        <w:t xml:space="preserve">In addition to individual cars, e-buses are also in circulation. For those large vehicles, </w:t>
      </w:r>
      <w:r w:rsidR="000B1A7A">
        <w:rPr>
          <w:lang w:val="en-US"/>
        </w:rPr>
        <w:t xml:space="preserve">the </w:t>
      </w:r>
      <w:r w:rsidR="00B15EC6" w:rsidRPr="00B15EC6">
        <w:rPr>
          <w:lang w:val="en-US"/>
        </w:rPr>
        <w:t>battery size is larger and depends on the charging possibilities offered on their road. The tables below show that typical battery nominal energy for this application varies between 100 kWh and 400 kWh. In conclusion, batteries as large as 400 kWh are already in use for mobility applications</w:t>
      </w:r>
      <w:r w:rsidR="001F3CCC">
        <w:rPr>
          <w:lang w:val="en-US"/>
        </w:rPr>
        <w:t>.</w:t>
      </w:r>
    </w:p>
    <w:p w14:paraId="19A4737E" w14:textId="24D3B4F6" w:rsidR="00B15EC6" w:rsidRDefault="00B15EC6" w:rsidP="00B15EC6">
      <w:pPr>
        <w:ind w:left="1134"/>
        <w:jc w:val="both"/>
        <w:rPr>
          <w:lang w:val="en-US"/>
        </w:rPr>
      </w:pPr>
      <w:r w:rsidRPr="001E556D">
        <w:rPr>
          <w:rFonts w:ascii="Marianne Light" w:hAnsi="Marianne Light"/>
          <w:noProof/>
          <w:sz w:val="22"/>
          <w:lang w:val="fr-FR" w:eastAsia="fr-FR"/>
        </w:rPr>
        <w:drawing>
          <wp:inline distT="0" distB="0" distL="0" distR="0" wp14:anchorId="68D20806" wp14:editId="5C8AB308">
            <wp:extent cx="4032710" cy="26860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165" t="31526" r="31296" b="9158"/>
                    <a:stretch/>
                  </pic:blipFill>
                  <pic:spPr bwMode="auto">
                    <a:xfrm>
                      <a:off x="0" y="0"/>
                      <a:ext cx="4038724" cy="2690056"/>
                    </a:xfrm>
                    <a:prstGeom prst="rect">
                      <a:avLst/>
                    </a:prstGeom>
                    <a:ln>
                      <a:noFill/>
                    </a:ln>
                    <a:extLst>
                      <a:ext uri="{53640926-AAD7-44D8-BBD7-CCE9431645EC}">
                        <a14:shadowObscured xmlns:a14="http://schemas.microsoft.com/office/drawing/2010/main"/>
                      </a:ext>
                    </a:extLst>
                  </pic:spPr>
                </pic:pic>
              </a:graphicData>
            </a:graphic>
          </wp:inline>
        </w:drawing>
      </w:r>
    </w:p>
    <w:p w14:paraId="72EBEBDD" w14:textId="77777777" w:rsidR="00B15EC6" w:rsidRPr="001E556D" w:rsidRDefault="00B15EC6" w:rsidP="00B15EC6">
      <w:pPr>
        <w:pStyle w:val="Caption"/>
        <w:rPr>
          <w:rFonts w:ascii="Marianne Light" w:hAnsi="Marianne Light"/>
          <w:sz w:val="22"/>
          <w:szCs w:val="22"/>
          <w:lang w:val="en-US"/>
        </w:rPr>
      </w:pPr>
      <w:r w:rsidRPr="001E556D">
        <w:rPr>
          <w:rFonts w:ascii="Marianne Light" w:hAnsi="Marianne Light"/>
          <w:sz w:val="22"/>
          <w:szCs w:val="22"/>
          <w:lang w:val="en-US"/>
        </w:rPr>
        <w:t xml:space="preserve">Figure </w:t>
      </w:r>
      <w:r w:rsidRPr="001E556D">
        <w:rPr>
          <w:rFonts w:ascii="Marianne Light" w:hAnsi="Marianne Light"/>
          <w:sz w:val="22"/>
          <w:szCs w:val="22"/>
        </w:rPr>
        <w:fldChar w:fldCharType="begin"/>
      </w:r>
      <w:r w:rsidRPr="001E556D">
        <w:rPr>
          <w:rFonts w:ascii="Marianne Light" w:hAnsi="Marianne Light"/>
          <w:sz w:val="22"/>
          <w:szCs w:val="22"/>
          <w:lang w:val="en-US"/>
        </w:rPr>
        <w:instrText xml:space="preserve"> SEQ Figure \* ARABIC </w:instrText>
      </w:r>
      <w:r w:rsidRPr="001E556D">
        <w:rPr>
          <w:rFonts w:ascii="Marianne Light" w:hAnsi="Marianne Light"/>
          <w:sz w:val="22"/>
          <w:szCs w:val="22"/>
        </w:rPr>
        <w:fldChar w:fldCharType="separate"/>
      </w:r>
      <w:r>
        <w:rPr>
          <w:rFonts w:ascii="Marianne Light" w:hAnsi="Marianne Light"/>
          <w:noProof/>
          <w:sz w:val="22"/>
          <w:szCs w:val="22"/>
          <w:lang w:val="en-US"/>
        </w:rPr>
        <w:t>2</w:t>
      </w:r>
      <w:r w:rsidRPr="001E556D">
        <w:rPr>
          <w:rFonts w:ascii="Marianne Light" w:hAnsi="Marianne Light"/>
          <w:sz w:val="22"/>
          <w:szCs w:val="22"/>
        </w:rPr>
        <w:fldChar w:fldCharType="end"/>
      </w:r>
      <w:r w:rsidRPr="001E556D">
        <w:rPr>
          <w:rFonts w:ascii="Calibri" w:hAnsi="Calibri" w:cs="Calibri"/>
          <w:sz w:val="22"/>
          <w:szCs w:val="22"/>
          <w:lang w:val="en-US"/>
        </w:rPr>
        <w:t> </w:t>
      </w:r>
      <w:r w:rsidRPr="001E556D">
        <w:rPr>
          <w:rFonts w:ascii="Marianne Light" w:hAnsi="Marianne Light"/>
          <w:sz w:val="22"/>
          <w:szCs w:val="22"/>
          <w:lang w:val="en-US"/>
        </w:rPr>
        <w:t xml:space="preserve">: choice of the battery for e-buses depending on charging possibilities. </w:t>
      </w:r>
      <w:r>
        <w:rPr>
          <w:rFonts w:ascii="Marianne Light" w:hAnsi="Marianne Light"/>
          <w:sz w:val="22"/>
          <w:szCs w:val="22"/>
          <w:lang w:val="en-US"/>
        </w:rPr>
        <w:br/>
      </w:r>
      <w:r w:rsidRPr="001E556D">
        <w:rPr>
          <w:rFonts w:ascii="Marianne Light" w:hAnsi="Marianne Light"/>
          <w:sz w:val="22"/>
          <w:szCs w:val="22"/>
          <w:lang w:val="en-US"/>
        </w:rPr>
        <w:t>Source : UITP conference 2018 from RWTH</w:t>
      </w:r>
    </w:p>
    <w:p w14:paraId="39433529" w14:textId="01B27540" w:rsidR="00B15EC6" w:rsidRPr="004B4436" w:rsidRDefault="004B4436" w:rsidP="00BA3F79">
      <w:pPr>
        <w:keepNext/>
        <w:keepLines/>
        <w:ind w:left="1134" w:right="1134"/>
        <w:jc w:val="both"/>
        <w:rPr>
          <w:b/>
          <w:sz w:val="28"/>
          <w:szCs w:val="28"/>
          <w:lang w:val="en-US"/>
        </w:rPr>
      </w:pPr>
      <w:r>
        <w:rPr>
          <w:b/>
          <w:sz w:val="28"/>
          <w:szCs w:val="28"/>
        </w:rPr>
        <w:t>Rationale for defining exemption thresholds for batteries based on their capacity</w:t>
      </w:r>
    </w:p>
    <w:p w14:paraId="6E77D288" w14:textId="7419D4BD" w:rsidR="00DE5AEE" w:rsidRPr="00BA3F79" w:rsidRDefault="002463C6" w:rsidP="00BA3F79">
      <w:pPr>
        <w:pStyle w:val="Heading1"/>
        <w:keepNext/>
        <w:keepLines/>
        <w:suppressAutoHyphens w:val="0"/>
        <w:spacing w:before="240" w:after="120"/>
        <w:ind w:right="1134"/>
        <w:jc w:val="both"/>
        <w:rPr>
          <w:sz w:val="24"/>
          <w:szCs w:val="24"/>
          <w:lang w:val="en-US"/>
        </w:rPr>
      </w:pPr>
      <w:r w:rsidRPr="00BA3F79">
        <w:rPr>
          <w:sz w:val="24"/>
          <w:szCs w:val="24"/>
          <w:lang w:val="en-US"/>
        </w:rPr>
        <w:t>A.</w:t>
      </w:r>
      <w:r w:rsidR="00BA3F79" w:rsidRPr="00BA3F79">
        <w:rPr>
          <w:sz w:val="24"/>
          <w:szCs w:val="24"/>
          <w:lang w:val="en-US"/>
        </w:rPr>
        <w:tab/>
      </w:r>
      <w:r w:rsidR="00DE5AEE" w:rsidRPr="00BA3F79">
        <w:rPr>
          <w:sz w:val="24"/>
          <w:szCs w:val="24"/>
          <w:lang w:val="en-US"/>
        </w:rPr>
        <w:t>Equivalence in term of total combustion energy and expected maximal heat release rate</w:t>
      </w:r>
    </w:p>
    <w:p w14:paraId="63827A0E" w14:textId="7DCDC895" w:rsidR="00DE5AEE" w:rsidRPr="00DE5AEE" w:rsidRDefault="002463C6" w:rsidP="00BA3F79">
      <w:pPr>
        <w:spacing w:after="120"/>
        <w:ind w:left="1134" w:right="1134"/>
        <w:jc w:val="both"/>
        <w:rPr>
          <w:lang w:val="en-US"/>
        </w:rPr>
      </w:pPr>
      <w:r>
        <w:rPr>
          <w:lang w:val="en-US"/>
        </w:rPr>
        <w:t>1</w:t>
      </w:r>
      <w:r w:rsidR="00D453B5">
        <w:rPr>
          <w:lang w:val="en-US"/>
        </w:rPr>
        <w:t>0</w:t>
      </w:r>
      <w:r>
        <w:rPr>
          <w:lang w:val="en-US"/>
        </w:rPr>
        <w:t>.</w:t>
      </w:r>
      <w:r>
        <w:rPr>
          <w:lang w:val="en-US"/>
        </w:rPr>
        <w:tab/>
      </w:r>
      <w:r w:rsidR="00DE5AEE" w:rsidRPr="00DE5AEE">
        <w:rPr>
          <w:lang w:val="en-US"/>
        </w:rPr>
        <w:t xml:space="preserve">We propose to compare thermal effects in </w:t>
      </w:r>
      <w:r w:rsidR="00BE7508">
        <w:rPr>
          <w:lang w:val="en-US"/>
        </w:rPr>
        <w:t xml:space="preserve">the </w:t>
      </w:r>
      <w:r w:rsidR="00DE5AEE" w:rsidRPr="00DE5AEE">
        <w:rPr>
          <w:lang w:val="en-US"/>
        </w:rPr>
        <w:t xml:space="preserve">case of combustion of batteries versus combustion of petrol and </w:t>
      </w:r>
      <w:r w:rsidR="00BE7508">
        <w:rPr>
          <w:lang w:val="en-US"/>
        </w:rPr>
        <w:t>d</w:t>
      </w:r>
      <w:r w:rsidR="00DE5AEE" w:rsidRPr="00DE5AEE">
        <w:rPr>
          <w:lang w:val="en-US"/>
        </w:rPr>
        <w:t>iesel. The maximum quantities of those two dangerous goods as specified in table 1.1.3.6 and exempted from provisions laid down in ADR will be used for calculation: 333 L for petrol and 1000 L for diesel</w:t>
      </w:r>
      <w:r w:rsidR="00624C7D">
        <w:rPr>
          <w:lang w:val="en-US"/>
        </w:rPr>
        <w:t>.</w:t>
      </w:r>
    </w:p>
    <w:p w14:paraId="477B3771" w14:textId="2FD16B88" w:rsidR="00DE5AEE" w:rsidRPr="00D13700" w:rsidRDefault="00DE5AEE" w:rsidP="00524942">
      <w:pPr>
        <w:pStyle w:val="ListParagraph"/>
        <w:numPr>
          <w:ilvl w:val="0"/>
          <w:numId w:val="38"/>
        </w:numPr>
        <w:spacing w:after="160" w:line="259" w:lineRule="auto"/>
        <w:ind w:left="1701" w:right="-142" w:hanging="567"/>
        <w:jc w:val="both"/>
        <w:rPr>
          <w:rFonts w:ascii="Times New Roman" w:hAnsi="Times New Roman"/>
          <w:sz w:val="20"/>
          <w:szCs w:val="20"/>
          <w:u w:val="single"/>
          <w:lang w:val="en-US"/>
        </w:rPr>
      </w:pPr>
      <w:r w:rsidRPr="00D13700">
        <w:rPr>
          <w:rFonts w:ascii="Times New Roman" w:hAnsi="Times New Roman"/>
          <w:sz w:val="20"/>
          <w:szCs w:val="20"/>
          <w:u w:val="single"/>
          <w:lang w:val="en-US"/>
        </w:rPr>
        <w:t>Total energy of combustion</w:t>
      </w:r>
    </w:p>
    <w:p w14:paraId="5D0ABA5F" w14:textId="1E62347E" w:rsidR="00DE5AEE" w:rsidRPr="00DE5AEE" w:rsidRDefault="002463C6" w:rsidP="00BA3F79">
      <w:pPr>
        <w:spacing w:after="120"/>
        <w:ind w:left="1134" w:right="1134"/>
        <w:jc w:val="both"/>
        <w:rPr>
          <w:lang w:val="en-US"/>
        </w:rPr>
      </w:pPr>
      <w:r>
        <w:rPr>
          <w:lang w:val="en-US"/>
        </w:rPr>
        <w:t>1</w:t>
      </w:r>
      <w:r w:rsidR="00D453B5">
        <w:rPr>
          <w:lang w:val="en-US"/>
        </w:rPr>
        <w:t>1</w:t>
      </w:r>
      <w:r>
        <w:rPr>
          <w:lang w:val="en-US"/>
        </w:rPr>
        <w:t>.</w:t>
      </w:r>
      <w:r>
        <w:rPr>
          <w:lang w:val="en-US"/>
        </w:rPr>
        <w:tab/>
      </w:r>
      <w:r w:rsidR="00DE5AEE" w:rsidRPr="00DE5AEE">
        <w:rPr>
          <w:lang w:val="en-US"/>
        </w:rPr>
        <w:t>Using energy content given in 1.1.3.2 for diesel and petrol (36 MJ/L and 32 MJ/L respectively) we calculate the total energy of combustion for the defined quantities:</w:t>
      </w:r>
    </w:p>
    <w:p w14:paraId="7F9CC3EC" w14:textId="77777777" w:rsidR="00DE5AEE" w:rsidRPr="00DE5AEE" w:rsidRDefault="00DE5AEE" w:rsidP="00AC31F0">
      <w:pPr>
        <w:spacing w:after="120"/>
        <w:ind w:left="1701" w:right="-142"/>
        <w:jc w:val="both"/>
        <w:rPr>
          <w:b/>
          <w:bCs/>
          <w:lang w:val="en-US"/>
        </w:rPr>
      </w:pPr>
      <w:r w:rsidRPr="00DE5AEE">
        <w:rPr>
          <w:b/>
          <w:bCs/>
          <w:lang w:val="en-US"/>
        </w:rPr>
        <w:t xml:space="preserve">333 L of petrol </w:t>
      </w:r>
      <w:r w:rsidRPr="00DE5AEE">
        <w:rPr>
          <w:b/>
          <w:bCs/>
          <w:lang w:val="en-US"/>
        </w:rPr>
        <w:sym w:font="Wingdings" w:char="F0E0"/>
      </w:r>
      <w:r w:rsidRPr="00DE5AEE">
        <w:rPr>
          <w:b/>
          <w:bCs/>
          <w:lang w:val="en-US"/>
        </w:rPr>
        <w:t xml:space="preserve"> 12 000 MJ</w:t>
      </w:r>
      <w:r w:rsidRPr="00DE5AEE">
        <w:rPr>
          <w:rStyle w:val="FootnoteReference"/>
          <w:b/>
          <w:bCs/>
          <w:sz w:val="20"/>
          <w:lang w:val="en-US"/>
        </w:rPr>
        <w:footnoteReference w:id="2"/>
      </w:r>
    </w:p>
    <w:p w14:paraId="3C1526C7" w14:textId="77777777" w:rsidR="00DE5AEE" w:rsidRPr="00DE5AEE" w:rsidRDefault="00DE5AEE" w:rsidP="00AC31F0">
      <w:pPr>
        <w:spacing w:after="120"/>
        <w:ind w:left="1701" w:right="-142"/>
        <w:jc w:val="both"/>
        <w:rPr>
          <w:b/>
          <w:bCs/>
          <w:lang w:val="en-US"/>
        </w:rPr>
      </w:pPr>
      <w:r w:rsidRPr="00DE5AEE">
        <w:rPr>
          <w:b/>
          <w:bCs/>
          <w:lang w:val="en-US"/>
        </w:rPr>
        <w:t xml:space="preserve">1000 L of diesel </w:t>
      </w:r>
      <w:r w:rsidRPr="00DE5AEE">
        <w:rPr>
          <w:b/>
          <w:bCs/>
          <w:lang w:val="en-US"/>
        </w:rPr>
        <w:sym w:font="Wingdings" w:char="F0E0"/>
      </w:r>
      <w:r w:rsidRPr="00DE5AEE">
        <w:rPr>
          <w:b/>
          <w:bCs/>
          <w:lang w:val="en-US"/>
        </w:rPr>
        <w:t>36 000 MJ</w:t>
      </w:r>
      <w:r w:rsidRPr="00DE5AEE">
        <w:rPr>
          <w:rStyle w:val="FootnoteReference"/>
          <w:b/>
          <w:bCs/>
          <w:sz w:val="20"/>
          <w:lang w:val="en-US"/>
        </w:rPr>
        <w:footnoteReference w:id="3"/>
      </w:r>
    </w:p>
    <w:p w14:paraId="127D6574" w14:textId="50EF5299" w:rsidR="00DE5AEE" w:rsidRPr="00DE5AEE" w:rsidRDefault="00421A1A" w:rsidP="00BA3F79">
      <w:pPr>
        <w:spacing w:after="120"/>
        <w:ind w:left="1134" w:right="1134"/>
        <w:jc w:val="both"/>
        <w:rPr>
          <w:lang w:val="en-US"/>
        </w:rPr>
      </w:pPr>
      <w:r>
        <w:rPr>
          <w:lang w:val="en-US"/>
        </w:rPr>
        <w:t>1</w:t>
      </w:r>
      <w:r w:rsidR="00D453B5">
        <w:rPr>
          <w:lang w:val="en-US"/>
        </w:rPr>
        <w:t>2</w:t>
      </w:r>
      <w:r>
        <w:rPr>
          <w:lang w:val="en-US"/>
        </w:rPr>
        <w:t>.</w:t>
      </w:r>
      <w:r>
        <w:rPr>
          <w:lang w:val="en-US"/>
        </w:rPr>
        <w:tab/>
      </w:r>
      <w:r w:rsidR="00DE5AEE" w:rsidRPr="00DE5AEE">
        <w:rPr>
          <w:lang w:val="en-US"/>
        </w:rPr>
        <w:t>For batteries there is no well-defined value to convert battery electrical energy in term of total combustion energy. Nonetheless, based on numerous tests run at Ineris a value of 90</w:t>
      </w:r>
      <w:r w:rsidR="00BA3F79">
        <w:rPr>
          <w:lang w:val="en-US"/>
        </w:rPr>
        <w:t> </w:t>
      </w:r>
      <w:r w:rsidR="00DE5AEE" w:rsidRPr="00DE5AEE">
        <w:rPr>
          <w:lang w:val="en-US"/>
        </w:rPr>
        <w:t>MJ/kWh can be estimated and covers most of batteries technologies on the market.</w:t>
      </w:r>
    </w:p>
    <w:p w14:paraId="6FA9DFB7" w14:textId="301A8DC7" w:rsidR="00DE5AEE" w:rsidRPr="00DE5AEE" w:rsidRDefault="00421A1A" w:rsidP="0068782D">
      <w:pPr>
        <w:spacing w:after="120"/>
        <w:ind w:left="1134" w:right="1134"/>
        <w:jc w:val="both"/>
        <w:rPr>
          <w:b/>
          <w:bCs/>
          <w:lang w:val="en-US"/>
        </w:rPr>
      </w:pPr>
      <w:r>
        <w:rPr>
          <w:lang w:val="en-US"/>
        </w:rPr>
        <w:t>1</w:t>
      </w:r>
      <w:r w:rsidR="00D453B5">
        <w:rPr>
          <w:lang w:val="en-US"/>
        </w:rPr>
        <w:t>3</w:t>
      </w:r>
      <w:r>
        <w:rPr>
          <w:lang w:val="en-US"/>
        </w:rPr>
        <w:t>.</w:t>
      </w:r>
      <w:r>
        <w:rPr>
          <w:lang w:val="en-US"/>
        </w:rPr>
        <w:tab/>
      </w:r>
      <w:r w:rsidR="00DE5AEE" w:rsidRPr="00DE5AEE">
        <w:rPr>
          <w:lang w:val="en-US"/>
        </w:rPr>
        <w:t xml:space="preserve">Using this value, the range [12 000- 36 000] MJ converts to </w:t>
      </w:r>
      <w:r w:rsidR="00DE5AEE" w:rsidRPr="00DE5AEE">
        <w:rPr>
          <w:b/>
          <w:bCs/>
          <w:lang w:val="en-US"/>
        </w:rPr>
        <w:t>[133 – 400] kWh</w:t>
      </w:r>
    </w:p>
    <w:p w14:paraId="62F861BF" w14:textId="525CCC0F" w:rsidR="00DE5AEE" w:rsidRPr="0068782D" w:rsidRDefault="00DE5AEE" w:rsidP="00524942">
      <w:pPr>
        <w:pStyle w:val="ListParagraph"/>
        <w:numPr>
          <w:ilvl w:val="0"/>
          <w:numId w:val="38"/>
        </w:numPr>
        <w:spacing w:after="160" w:line="259" w:lineRule="auto"/>
        <w:ind w:left="1701" w:right="-142" w:hanging="567"/>
        <w:jc w:val="both"/>
        <w:rPr>
          <w:rFonts w:ascii="Times New Roman" w:hAnsi="Times New Roman"/>
          <w:sz w:val="20"/>
          <w:szCs w:val="20"/>
          <w:u w:val="single"/>
          <w:lang w:val="en-US"/>
        </w:rPr>
      </w:pPr>
      <w:r w:rsidRPr="0068782D">
        <w:rPr>
          <w:rFonts w:ascii="Times New Roman" w:hAnsi="Times New Roman"/>
          <w:sz w:val="20"/>
          <w:szCs w:val="20"/>
          <w:u w:val="single"/>
          <w:lang w:val="en-US"/>
        </w:rPr>
        <w:t>Heat release rate</w:t>
      </w:r>
    </w:p>
    <w:p w14:paraId="6DCAB660" w14:textId="605CC2E9" w:rsidR="00DE5AEE" w:rsidRPr="00DE5AEE" w:rsidRDefault="00983728" w:rsidP="0068782D">
      <w:pPr>
        <w:spacing w:after="120"/>
        <w:ind w:left="1134" w:right="1134"/>
        <w:jc w:val="both"/>
        <w:rPr>
          <w:lang w:val="en-US"/>
        </w:rPr>
      </w:pPr>
      <w:r>
        <w:rPr>
          <w:lang w:val="en-US"/>
        </w:rPr>
        <w:t>1</w:t>
      </w:r>
      <w:r w:rsidR="00D453B5">
        <w:rPr>
          <w:lang w:val="en-US"/>
        </w:rPr>
        <w:t>4</w:t>
      </w:r>
      <w:r>
        <w:rPr>
          <w:lang w:val="en-US"/>
        </w:rPr>
        <w:t>.</w:t>
      </w:r>
      <w:r>
        <w:rPr>
          <w:lang w:val="en-US"/>
        </w:rPr>
        <w:tab/>
      </w:r>
      <w:r w:rsidR="00DE5AEE" w:rsidRPr="00DE5AEE">
        <w:rPr>
          <w:lang w:val="en-US"/>
        </w:rPr>
        <w:t>The total energy of combustion is not the only parameter to</w:t>
      </w:r>
      <w:r w:rsidR="004F3E80">
        <w:rPr>
          <w:lang w:val="en-US"/>
        </w:rPr>
        <w:t xml:space="preserve"> be</w:t>
      </w:r>
      <w:r w:rsidR="00DE5AEE" w:rsidRPr="00DE5AEE">
        <w:rPr>
          <w:lang w:val="en-US"/>
        </w:rPr>
        <w:t xml:space="preserve"> take</w:t>
      </w:r>
      <w:r w:rsidR="004F3E80">
        <w:rPr>
          <w:lang w:val="en-US"/>
        </w:rPr>
        <w:t>n</w:t>
      </w:r>
      <w:r w:rsidR="00DE5AEE" w:rsidRPr="00DE5AEE">
        <w:rPr>
          <w:lang w:val="en-US"/>
        </w:rPr>
        <w:t xml:space="preserve"> into account. Indeed, the heat release rate, in MW, influence strongly the thermal hazard. This value is scenario dependent and could only be estimated. Two leak scenarios were considered for petrol assuming that combustion rate and heat of combustion do not vary strongly between the two products. The main difference between the two products, due to the authorized quantity, is the fire duration.</w:t>
      </w:r>
    </w:p>
    <w:p w14:paraId="14C3607D" w14:textId="77BC28E4" w:rsidR="00DE5AEE" w:rsidRPr="00DE5AEE" w:rsidRDefault="00386826" w:rsidP="0068782D">
      <w:pPr>
        <w:spacing w:after="120"/>
        <w:ind w:left="1134" w:right="1134"/>
        <w:jc w:val="both"/>
        <w:rPr>
          <w:lang w:val="en-US"/>
        </w:rPr>
      </w:pPr>
      <w:r>
        <w:rPr>
          <w:lang w:val="en-US"/>
        </w:rPr>
        <w:t>1</w:t>
      </w:r>
      <w:r w:rsidR="00D453B5">
        <w:rPr>
          <w:lang w:val="en-US"/>
        </w:rPr>
        <w:t>5</w:t>
      </w:r>
      <w:r>
        <w:rPr>
          <w:lang w:val="en-US"/>
        </w:rPr>
        <w:t>.</w:t>
      </w:r>
      <w:r>
        <w:rPr>
          <w:lang w:val="en-US"/>
        </w:rPr>
        <w:tab/>
      </w:r>
      <w:r w:rsidR="00DE5AEE" w:rsidRPr="00DE5AEE">
        <w:rPr>
          <w:lang w:val="en-US"/>
        </w:rPr>
        <w:t>Considering a petrol leak through a 1</w:t>
      </w:r>
      <w:r w:rsidR="00977EB6">
        <w:rPr>
          <w:lang w:val="en-US"/>
        </w:rPr>
        <w:t>-</w:t>
      </w:r>
      <w:r w:rsidR="00DE5AEE" w:rsidRPr="00DE5AEE">
        <w:rPr>
          <w:lang w:val="en-US"/>
        </w:rPr>
        <w:t>inch hole in a tank (heigh</w:t>
      </w:r>
      <w:r w:rsidR="00F910B4">
        <w:rPr>
          <w:lang w:val="en-US"/>
        </w:rPr>
        <w:t>t</w:t>
      </w:r>
      <w:r w:rsidR="00DE5AEE" w:rsidRPr="00DE5AEE">
        <w:rPr>
          <w:lang w:val="en-US"/>
        </w:rPr>
        <w:t xml:space="preserve"> 0.5 m) leads to a steady 11 m</w:t>
      </w:r>
      <w:r w:rsidR="00DE5AEE" w:rsidRPr="00DE5AEE">
        <w:rPr>
          <w:vertAlign w:val="superscript"/>
          <w:lang w:val="en-US"/>
        </w:rPr>
        <w:t>2</w:t>
      </w:r>
      <w:r w:rsidR="00DE5AEE" w:rsidRPr="00DE5AEE">
        <w:rPr>
          <w:lang w:val="en-US"/>
        </w:rPr>
        <w:t xml:space="preserve"> oil slick with a combustion rate of 0</w:t>
      </w:r>
      <w:r w:rsidR="00B03999">
        <w:rPr>
          <w:lang w:val="en-US"/>
        </w:rPr>
        <w:t>.</w:t>
      </w:r>
      <w:r w:rsidR="00DE5AEE" w:rsidRPr="00DE5AEE">
        <w:rPr>
          <w:lang w:val="en-US"/>
        </w:rPr>
        <w:t>66 kg/s.</w:t>
      </w:r>
    </w:p>
    <w:p w14:paraId="26594632" w14:textId="10DD10B9" w:rsidR="00DE5AEE" w:rsidRPr="00DE5AEE" w:rsidRDefault="00DE5AEE" w:rsidP="00B03999">
      <w:pPr>
        <w:spacing w:after="120"/>
        <w:ind w:left="1701" w:right="-142"/>
        <w:jc w:val="both"/>
        <w:rPr>
          <w:lang w:val="en-US"/>
        </w:rPr>
      </w:pPr>
      <w:r w:rsidRPr="00DE5AEE">
        <w:rPr>
          <w:b/>
          <w:bCs/>
          <w:lang w:val="en-US"/>
        </w:rPr>
        <w:t>For a 0</w:t>
      </w:r>
      <w:r w:rsidR="006C636D">
        <w:rPr>
          <w:b/>
          <w:bCs/>
          <w:lang w:val="en-US"/>
        </w:rPr>
        <w:t>.</w:t>
      </w:r>
      <w:r w:rsidRPr="00DE5AEE">
        <w:rPr>
          <w:b/>
          <w:bCs/>
          <w:lang w:val="en-US"/>
        </w:rPr>
        <w:t>5 m liquid height in the tank, it results in a 26.4 MW fire</w:t>
      </w:r>
      <w:r w:rsidRPr="00DE5AEE">
        <w:rPr>
          <w:lang w:val="en-US"/>
        </w:rPr>
        <w:t>.</w:t>
      </w:r>
    </w:p>
    <w:p w14:paraId="49E6BB23" w14:textId="72FD5A6D" w:rsidR="00DE5AEE" w:rsidRPr="00DE5AEE" w:rsidRDefault="00B03999" w:rsidP="0068782D">
      <w:pPr>
        <w:spacing w:after="120"/>
        <w:ind w:left="1134" w:right="1134"/>
        <w:jc w:val="both"/>
        <w:rPr>
          <w:lang w:val="en-US"/>
        </w:rPr>
      </w:pPr>
      <w:r>
        <w:rPr>
          <w:lang w:val="en-US"/>
        </w:rPr>
        <w:t>1</w:t>
      </w:r>
      <w:r w:rsidR="00D453B5">
        <w:rPr>
          <w:lang w:val="en-US"/>
        </w:rPr>
        <w:t>6</w:t>
      </w:r>
      <w:r>
        <w:rPr>
          <w:lang w:val="en-US"/>
        </w:rPr>
        <w:t>.</w:t>
      </w:r>
      <w:r>
        <w:rPr>
          <w:lang w:val="en-US"/>
        </w:rPr>
        <w:tab/>
      </w:r>
      <w:r w:rsidR="00DE5AEE" w:rsidRPr="00DE5AEE">
        <w:rPr>
          <w:lang w:val="en-US"/>
        </w:rPr>
        <w:t>Considering a petrol leak from a 1-inch hole in a tank (heigh</w:t>
      </w:r>
      <w:r w:rsidR="00F910B4">
        <w:rPr>
          <w:lang w:val="en-US"/>
        </w:rPr>
        <w:t>t</w:t>
      </w:r>
      <w:r w:rsidR="00DE5AEE" w:rsidRPr="00DE5AEE">
        <w:rPr>
          <w:lang w:val="en-US"/>
        </w:rPr>
        <w:t xml:space="preserve"> 1 m) leads to a steady</w:t>
      </w:r>
      <w:r w:rsidR="00D453B5">
        <w:rPr>
          <w:lang w:val="en-US"/>
        </w:rPr>
        <w:t> </w:t>
      </w:r>
      <w:r w:rsidR="00DE5AEE" w:rsidRPr="00DE5AEE">
        <w:rPr>
          <w:lang w:val="en-US"/>
        </w:rPr>
        <w:t>15</w:t>
      </w:r>
      <w:r w:rsidR="00236417">
        <w:rPr>
          <w:lang w:val="en-US"/>
        </w:rPr>
        <w:t> </w:t>
      </w:r>
      <w:r w:rsidR="00DE5AEE" w:rsidRPr="00DE5AEE">
        <w:rPr>
          <w:lang w:val="en-US"/>
        </w:rPr>
        <w:t>m</w:t>
      </w:r>
      <w:r w:rsidR="00DE5AEE" w:rsidRPr="00DE5AEE">
        <w:rPr>
          <w:vertAlign w:val="superscript"/>
          <w:lang w:val="en-US"/>
        </w:rPr>
        <w:t>2</w:t>
      </w:r>
      <w:r w:rsidR="00DE5AEE" w:rsidRPr="00DE5AEE">
        <w:rPr>
          <w:lang w:val="en-US"/>
        </w:rPr>
        <w:t xml:space="preserve"> oil slick with a combustion flow of 0</w:t>
      </w:r>
      <w:r w:rsidR="00D44F87">
        <w:rPr>
          <w:lang w:val="en-US"/>
        </w:rPr>
        <w:t>.</w:t>
      </w:r>
      <w:r w:rsidR="00DE5AEE" w:rsidRPr="00DE5AEE">
        <w:rPr>
          <w:lang w:val="en-US"/>
        </w:rPr>
        <w:t>9 kg/s.</w:t>
      </w:r>
    </w:p>
    <w:p w14:paraId="33A618CA" w14:textId="77777777" w:rsidR="00DE5AEE" w:rsidRPr="00DE5AEE" w:rsidRDefault="00DE5AEE" w:rsidP="00B03999">
      <w:pPr>
        <w:spacing w:after="120"/>
        <w:ind w:left="1701" w:right="-142"/>
        <w:jc w:val="both"/>
        <w:rPr>
          <w:b/>
          <w:bCs/>
          <w:lang w:val="en-US"/>
        </w:rPr>
      </w:pPr>
      <w:r w:rsidRPr="00DE5AEE">
        <w:rPr>
          <w:b/>
          <w:bCs/>
          <w:lang w:val="en-US"/>
        </w:rPr>
        <w:t>For a 1 m liquid height in the tank, it results in a 36 MW fire.</w:t>
      </w:r>
    </w:p>
    <w:p w14:paraId="0611C684" w14:textId="46905AAB" w:rsidR="00DE5AEE" w:rsidRPr="00DE5AEE" w:rsidRDefault="00D44F87" w:rsidP="0068782D">
      <w:pPr>
        <w:spacing w:after="120"/>
        <w:ind w:left="1134" w:right="1134"/>
        <w:jc w:val="both"/>
        <w:rPr>
          <w:lang w:val="en-US"/>
        </w:rPr>
      </w:pPr>
      <w:r>
        <w:rPr>
          <w:lang w:val="en-US"/>
        </w:rPr>
        <w:t>1</w:t>
      </w:r>
      <w:r w:rsidR="00236417">
        <w:rPr>
          <w:lang w:val="en-US"/>
        </w:rPr>
        <w:t>7</w:t>
      </w:r>
      <w:r>
        <w:rPr>
          <w:lang w:val="en-US"/>
        </w:rPr>
        <w:t>.</w:t>
      </w:r>
      <w:r>
        <w:rPr>
          <w:lang w:val="en-US"/>
        </w:rPr>
        <w:tab/>
      </w:r>
      <w:r w:rsidR="00DE5AEE" w:rsidRPr="00DE5AEE">
        <w:rPr>
          <w:lang w:val="en-US"/>
        </w:rPr>
        <w:t>For batteries, we propose again to use values based on Ineris tests ran on large batteries packs. For this kind of system, a value of 100 kW/kWh is proposed. This would correspond to a reaction time of 12 min</w:t>
      </w:r>
      <w:r w:rsidR="008B60D5">
        <w:rPr>
          <w:lang w:val="en-US"/>
        </w:rPr>
        <w:t>utes</w:t>
      </w:r>
      <w:r w:rsidR="00DE5AEE" w:rsidRPr="00DE5AEE">
        <w:rPr>
          <w:lang w:val="en-US"/>
        </w:rPr>
        <w:t>, which seems realistic.</w:t>
      </w:r>
    </w:p>
    <w:p w14:paraId="72F97437" w14:textId="5034B3A8" w:rsidR="00DE5AEE" w:rsidRPr="00DE5AEE" w:rsidRDefault="008B60D5" w:rsidP="0068782D">
      <w:pPr>
        <w:spacing w:after="120"/>
        <w:ind w:left="1134" w:right="1134"/>
        <w:jc w:val="both"/>
        <w:rPr>
          <w:lang w:val="en-US"/>
        </w:rPr>
      </w:pPr>
      <w:r>
        <w:rPr>
          <w:lang w:val="en-US"/>
        </w:rPr>
        <w:t>1</w:t>
      </w:r>
      <w:r w:rsidR="00236417">
        <w:rPr>
          <w:lang w:val="en-US"/>
        </w:rPr>
        <w:t>8</w:t>
      </w:r>
      <w:r>
        <w:rPr>
          <w:lang w:val="en-US"/>
        </w:rPr>
        <w:t>.</w:t>
      </w:r>
      <w:r>
        <w:rPr>
          <w:lang w:val="en-US"/>
        </w:rPr>
        <w:tab/>
      </w:r>
      <w:r w:rsidR="00DE5AEE" w:rsidRPr="00DE5AEE">
        <w:rPr>
          <w:lang w:val="en-US"/>
        </w:rPr>
        <w:t xml:space="preserve">Using this value, the range [26 - 36] MW converts to </w:t>
      </w:r>
      <w:r w:rsidR="00DE5AEE" w:rsidRPr="00DE5AEE">
        <w:rPr>
          <w:b/>
          <w:bCs/>
          <w:lang w:val="en-US"/>
        </w:rPr>
        <w:t>[260 – 360] kWh.</w:t>
      </w:r>
    </w:p>
    <w:p w14:paraId="66EC6002" w14:textId="5EBE02E8" w:rsidR="00DE5AEE" w:rsidRPr="00DE5AEE" w:rsidRDefault="00DE5AEE" w:rsidP="00071724">
      <w:pPr>
        <w:spacing w:after="120"/>
        <w:ind w:left="1701" w:right="1134"/>
        <w:jc w:val="both"/>
        <w:rPr>
          <w:lang w:val="en-US"/>
        </w:rPr>
      </w:pPr>
      <w:r w:rsidRPr="00DE5AEE">
        <w:rPr>
          <w:b/>
          <w:bCs/>
          <w:lang w:val="en-US"/>
        </w:rPr>
        <w:t xml:space="preserve">In conclusion, considering thermal considerations, the maximum quantities that can be </w:t>
      </w:r>
      <w:r w:rsidR="00EF6F51">
        <w:rPr>
          <w:b/>
          <w:bCs/>
          <w:lang w:val="en-US"/>
        </w:rPr>
        <w:t xml:space="preserve">specified is </w:t>
      </w:r>
      <w:r w:rsidR="00100A36">
        <w:rPr>
          <w:b/>
          <w:bCs/>
          <w:lang w:val="en-US"/>
        </w:rPr>
        <w:t>360 kWh</w:t>
      </w:r>
      <w:r w:rsidRPr="00DE5AEE">
        <w:rPr>
          <w:rStyle w:val="FootnoteReference"/>
          <w:b/>
          <w:bCs/>
          <w:sz w:val="20"/>
          <w:lang w:val="en-US"/>
        </w:rPr>
        <w:footnoteReference w:id="4"/>
      </w:r>
      <w:r w:rsidRPr="00DE5AEE">
        <w:rPr>
          <w:b/>
          <w:bCs/>
          <w:lang w:val="en-US"/>
        </w:rPr>
        <w:t>.</w:t>
      </w:r>
    </w:p>
    <w:p w14:paraId="49736A5C" w14:textId="2F6FA061" w:rsidR="00DE5AEE" w:rsidRPr="0027108E" w:rsidRDefault="002463C6" w:rsidP="00FB2880">
      <w:pPr>
        <w:pStyle w:val="Heading1"/>
        <w:keepNext/>
        <w:keepLines/>
        <w:suppressAutoHyphens w:val="0"/>
        <w:spacing w:before="240" w:after="120"/>
        <w:ind w:right="1134"/>
        <w:jc w:val="both"/>
        <w:rPr>
          <w:lang w:val="en-US"/>
        </w:rPr>
      </w:pPr>
      <w:r w:rsidRPr="0027108E">
        <w:rPr>
          <w:sz w:val="24"/>
          <w:szCs w:val="24"/>
          <w:lang w:val="en-US"/>
        </w:rPr>
        <w:t>B</w:t>
      </w:r>
      <w:r w:rsidR="00DE5AEE" w:rsidRPr="0027108E">
        <w:rPr>
          <w:sz w:val="24"/>
          <w:szCs w:val="24"/>
          <w:lang w:val="en-US"/>
        </w:rPr>
        <w:t>.</w:t>
      </w:r>
      <w:r w:rsidR="00071724" w:rsidRPr="0027108E">
        <w:rPr>
          <w:sz w:val="24"/>
          <w:szCs w:val="24"/>
          <w:lang w:val="en-US"/>
        </w:rPr>
        <w:tab/>
      </w:r>
      <w:r w:rsidR="00DE5AEE" w:rsidRPr="0027108E">
        <w:rPr>
          <w:sz w:val="24"/>
          <w:szCs w:val="24"/>
          <w:lang w:val="en-US"/>
        </w:rPr>
        <w:t xml:space="preserve">Other risks to </w:t>
      </w:r>
      <w:r w:rsidR="0027108E" w:rsidRPr="0027108E">
        <w:rPr>
          <w:sz w:val="24"/>
          <w:szCs w:val="24"/>
          <w:lang w:val="en-US"/>
        </w:rPr>
        <w:t xml:space="preserve">be </w:t>
      </w:r>
      <w:r w:rsidR="00DE5AEE" w:rsidRPr="0027108E">
        <w:rPr>
          <w:sz w:val="24"/>
          <w:szCs w:val="24"/>
          <w:lang w:val="en-US"/>
        </w:rPr>
        <w:t>consider</w:t>
      </w:r>
      <w:r w:rsidR="0027108E" w:rsidRPr="0027108E">
        <w:rPr>
          <w:sz w:val="24"/>
          <w:szCs w:val="24"/>
          <w:lang w:val="en-US"/>
        </w:rPr>
        <w:t>ed</w:t>
      </w:r>
    </w:p>
    <w:p w14:paraId="580717B0" w14:textId="5105B030" w:rsidR="00DE5AEE" w:rsidRPr="00DE5AEE" w:rsidRDefault="00DE5AEE" w:rsidP="00FB2880">
      <w:pPr>
        <w:pStyle w:val="ListParagraph"/>
        <w:keepNext/>
        <w:keepLines/>
        <w:spacing w:after="160" w:line="259" w:lineRule="auto"/>
        <w:ind w:left="1134" w:right="-142"/>
        <w:jc w:val="both"/>
        <w:rPr>
          <w:rFonts w:ascii="Times New Roman" w:hAnsi="Times New Roman"/>
          <w:sz w:val="20"/>
          <w:szCs w:val="20"/>
          <w:u w:val="single"/>
          <w:lang w:val="en-US"/>
        </w:rPr>
      </w:pPr>
      <w:r w:rsidRPr="00FB2880">
        <w:rPr>
          <w:rFonts w:ascii="Times New Roman" w:hAnsi="Times New Roman"/>
          <w:sz w:val="20"/>
          <w:szCs w:val="20"/>
          <w:lang w:val="en-US"/>
        </w:rPr>
        <w:t>a)</w:t>
      </w:r>
      <w:r w:rsidR="00FB2880" w:rsidRPr="00FB2880">
        <w:rPr>
          <w:rFonts w:ascii="Times New Roman" w:hAnsi="Times New Roman"/>
          <w:sz w:val="20"/>
          <w:szCs w:val="20"/>
          <w:lang w:val="en-US"/>
        </w:rPr>
        <w:tab/>
      </w:r>
      <w:r w:rsidRPr="00DE5AEE">
        <w:rPr>
          <w:rFonts w:ascii="Times New Roman" w:hAnsi="Times New Roman"/>
          <w:sz w:val="20"/>
          <w:szCs w:val="20"/>
          <w:u w:val="single"/>
          <w:lang w:val="en-US"/>
        </w:rPr>
        <w:t>Extinguishing difficulties and post-accidental pollution</w:t>
      </w:r>
    </w:p>
    <w:p w14:paraId="23249C6C" w14:textId="64A152C7" w:rsidR="00DE5AEE" w:rsidRPr="00DE5AEE" w:rsidRDefault="00236417" w:rsidP="00A53C3B">
      <w:pPr>
        <w:spacing w:after="120"/>
        <w:ind w:left="1134" w:right="1134"/>
        <w:jc w:val="both"/>
        <w:rPr>
          <w:lang w:val="en-US"/>
        </w:rPr>
      </w:pPr>
      <w:r>
        <w:rPr>
          <w:lang w:val="en-US"/>
        </w:rPr>
        <w:t>19</w:t>
      </w:r>
      <w:r w:rsidR="00FB2880">
        <w:rPr>
          <w:lang w:val="en-US"/>
        </w:rPr>
        <w:t>.</w:t>
      </w:r>
      <w:r w:rsidR="00FB2880">
        <w:rPr>
          <w:lang w:val="en-US"/>
        </w:rPr>
        <w:tab/>
      </w:r>
      <w:r w:rsidR="00DE5AEE" w:rsidRPr="00DE5AEE">
        <w:rPr>
          <w:lang w:val="en-US"/>
        </w:rPr>
        <w:t>Fire involving Li batteries are known to be difficult to extinguish but recommended extinguishing media are similar to other fire (water or water+additives) and a 360 kWh battery fire should not create much more issues than a 1000 L hydrocarbon fire. The only difficulty that could arise is in the case of Li-metal batteries (3090 and 3091) because of the water reactivity of Li-metal.</w:t>
      </w:r>
    </w:p>
    <w:p w14:paraId="4E919AC6" w14:textId="1A9E18E5" w:rsidR="00DE5AEE" w:rsidRDefault="00A53C3B" w:rsidP="00A53C3B">
      <w:pPr>
        <w:spacing w:after="120"/>
        <w:ind w:left="1134" w:right="1134"/>
        <w:jc w:val="both"/>
        <w:rPr>
          <w:lang w:val="en-US"/>
        </w:rPr>
      </w:pPr>
      <w:r>
        <w:rPr>
          <w:lang w:val="en-US"/>
        </w:rPr>
        <w:t>2</w:t>
      </w:r>
      <w:r w:rsidR="00236417">
        <w:rPr>
          <w:lang w:val="en-US"/>
        </w:rPr>
        <w:t>0</w:t>
      </w:r>
      <w:r>
        <w:rPr>
          <w:lang w:val="en-US"/>
        </w:rPr>
        <w:t>.</w:t>
      </w:r>
      <w:r>
        <w:rPr>
          <w:lang w:val="en-US"/>
        </w:rPr>
        <w:tab/>
      </w:r>
      <w:r w:rsidR="00DE5AEE" w:rsidRPr="00DE5AEE">
        <w:rPr>
          <w:lang w:val="en-US"/>
        </w:rPr>
        <w:t>Pollution of water expected as reported by EMPA (Switzerland) about in a study about “Risk minimization of electric vehicle fires in underground traffic infrastructures”. They conclude that, concerning electric vehicles, “a technical impairment of typical infrastructure components in underground car parks and road tunnels can be practically excluded. However, the battery specific emissions will lead to contamination which is of toxicological importance especially for decontamination and disposal works”. And recommends collecting and pre-treat extinguishing waters. This problem, even if different by nature from hydrocarbons fire, should not lead to worst situations.</w:t>
      </w:r>
    </w:p>
    <w:p w14:paraId="42EB78F8" w14:textId="3E157E3B" w:rsidR="00DE5AEE" w:rsidRPr="00A92421" w:rsidRDefault="00DE5AEE" w:rsidP="00D17C86">
      <w:pPr>
        <w:pStyle w:val="ListParagraph"/>
        <w:spacing w:after="160" w:line="259" w:lineRule="auto"/>
        <w:ind w:left="1134" w:right="-142"/>
        <w:jc w:val="both"/>
        <w:rPr>
          <w:rFonts w:ascii="Times New Roman" w:hAnsi="Times New Roman"/>
          <w:sz w:val="20"/>
          <w:szCs w:val="20"/>
          <w:u w:val="single"/>
          <w:lang w:val="en-US"/>
        </w:rPr>
      </w:pPr>
      <w:r w:rsidRPr="00A92421">
        <w:rPr>
          <w:rFonts w:ascii="Times New Roman" w:hAnsi="Times New Roman"/>
          <w:sz w:val="20"/>
          <w:szCs w:val="20"/>
          <w:lang w:val="en-US"/>
        </w:rPr>
        <w:t>b)</w:t>
      </w:r>
      <w:r w:rsidR="00A92421" w:rsidRPr="00A92421">
        <w:rPr>
          <w:rFonts w:ascii="Times New Roman" w:hAnsi="Times New Roman"/>
          <w:sz w:val="20"/>
          <w:szCs w:val="20"/>
          <w:lang w:val="en-US"/>
        </w:rPr>
        <w:tab/>
      </w:r>
      <w:r w:rsidRPr="00A92421">
        <w:rPr>
          <w:rFonts w:ascii="Times New Roman" w:hAnsi="Times New Roman"/>
          <w:sz w:val="20"/>
          <w:szCs w:val="20"/>
          <w:u w:val="single"/>
          <w:lang w:val="en-US"/>
        </w:rPr>
        <w:t>Explosive atmosphere</w:t>
      </w:r>
    </w:p>
    <w:p w14:paraId="5E8C902B" w14:textId="7E15C1FC" w:rsidR="00DE5AEE" w:rsidRPr="00DE5AEE" w:rsidRDefault="006163A1" w:rsidP="006163A1">
      <w:pPr>
        <w:spacing w:after="120"/>
        <w:ind w:left="1134" w:right="1134"/>
        <w:jc w:val="both"/>
        <w:rPr>
          <w:lang w:val="en-US"/>
        </w:rPr>
      </w:pPr>
      <w:r>
        <w:rPr>
          <w:lang w:val="en-US"/>
        </w:rPr>
        <w:t>2</w:t>
      </w:r>
      <w:r w:rsidR="00236417">
        <w:rPr>
          <w:lang w:val="en-US"/>
        </w:rPr>
        <w:t>1</w:t>
      </w:r>
      <w:r>
        <w:rPr>
          <w:lang w:val="en-US"/>
        </w:rPr>
        <w:t>.</w:t>
      </w:r>
      <w:r>
        <w:rPr>
          <w:lang w:val="en-US"/>
        </w:rPr>
        <w:tab/>
      </w:r>
      <w:r w:rsidR="00DE5AEE" w:rsidRPr="00DE5AEE">
        <w:rPr>
          <w:lang w:val="en-US"/>
        </w:rPr>
        <w:t xml:space="preserve">Another risk specific to batteries is the possible flammability of </w:t>
      </w:r>
      <w:r w:rsidR="00EF6F51" w:rsidRPr="00DE5AEE">
        <w:rPr>
          <w:lang w:val="en-US"/>
        </w:rPr>
        <w:t>gas that,</w:t>
      </w:r>
      <w:r w:rsidR="00DE5AEE" w:rsidRPr="00DE5AEE">
        <w:rPr>
          <w:lang w:val="en-US"/>
        </w:rPr>
        <w:t xml:space="preserve"> in some accidental scenario can lead to explosive atmosphere formation. In the case of transport in open atmosphere, this risk should be limited. In the case of tunnels, the ventilation should be sufficient to avoid the formation of large explosive atmosphere. Formation of explosive atmosphere can however be considered inside the transport engine itself. </w:t>
      </w:r>
    </w:p>
    <w:p w14:paraId="5183A5CD" w14:textId="7E141346" w:rsidR="00DE5AEE" w:rsidRPr="006163A1" w:rsidRDefault="006163A1" w:rsidP="006163A1">
      <w:pPr>
        <w:pStyle w:val="Heading1"/>
        <w:keepNext/>
        <w:keepLines/>
        <w:suppressAutoHyphens w:val="0"/>
        <w:spacing w:before="240" w:after="120"/>
        <w:ind w:right="1134"/>
        <w:jc w:val="both"/>
        <w:rPr>
          <w:sz w:val="24"/>
          <w:szCs w:val="24"/>
          <w:lang w:val="en-US"/>
        </w:rPr>
      </w:pPr>
      <w:r w:rsidRPr="006163A1">
        <w:rPr>
          <w:sz w:val="24"/>
          <w:szCs w:val="24"/>
          <w:lang w:val="en-US"/>
        </w:rPr>
        <w:t>C</w:t>
      </w:r>
      <w:r w:rsidR="00DE5AEE" w:rsidRPr="006163A1">
        <w:rPr>
          <w:sz w:val="24"/>
          <w:szCs w:val="24"/>
          <w:lang w:val="en-US"/>
        </w:rPr>
        <w:t>.</w:t>
      </w:r>
      <w:r w:rsidRPr="006163A1">
        <w:rPr>
          <w:sz w:val="24"/>
          <w:szCs w:val="24"/>
          <w:lang w:val="en-US"/>
        </w:rPr>
        <w:tab/>
      </w:r>
      <w:r w:rsidR="00DE5AEE" w:rsidRPr="006163A1">
        <w:rPr>
          <w:sz w:val="24"/>
          <w:szCs w:val="24"/>
          <w:lang w:val="en-US"/>
        </w:rPr>
        <w:t>Choice of the threshold</w:t>
      </w:r>
    </w:p>
    <w:p w14:paraId="630E98B4" w14:textId="127FDE8A" w:rsidR="004B4436" w:rsidRPr="00EF6F51" w:rsidRDefault="006163A1" w:rsidP="006163A1">
      <w:pPr>
        <w:spacing w:after="120"/>
        <w:ind w:left="1134" w:right="1134"/>
        <w:jc w:val="both"/>
      </w:pPr>
      <w:r>
        <w:rPr>
          <w:lang w:val="en-US"/>
        </w:rPr>
        <w:t>2</w:t>
      </w:r>
      <w:r w:rsidR="00236417">
        <w:rPr>
          <w:lang w:val="en-US"/>
        </w:rPr>
        <w:t>2</w:t>
      </w:r>
      <w:r>
        <w:rPr>
          <w:lang w:val="en-US"/>
        </w:rPr>
        <w:t>.</w:t>
      </w:r>
      <w:r>
        <w:rPr>
          <w:lang w:val="en-US"/>
        </w:rPr>
        <w:tab/>
      </w:r>
      <w:r w:rsidR="00DE5AEE" w:rsidRPr="00DE5AEE">
        <w:rPr>
          <w:lang w:val="en-US"/>
        </w:rPr>
        <w:t xml:space="preserve">Table 1.1.3.6.3 already defines specific maximal total quantity in column (3). It can be 0, 20, 333, 1000 or unlimited depending on the dangerous good classification. Reusing one of these thresholds would ensure coherence in the regulation and facilitate its implementation. Considering the range of equivalence between batteries and </w:t>
      </w:r>
      <w:r w:rsidR="00EF6F51">
        <w:rPr>
          <w:lang w:val="en-US"/>
        </w:rPr>
        <w:t>fuel calculated previously (</w:t>
      </w:r>
      <w:r w:rsidR="00100A36">
        <w:rPr>
          <w:lang w:val="en-US"/>
        </w:rPr>
        <w:t>up to 360</w:t>
      </w:r>
      <w:r w:rsidR="00DE5AEE" w:rsidRPr="00DE5AEE">
        <w:rPr>
          <w:lang w:val="en-US"/>
        </w:rPr>
        <w:t xml:space="preserve"> kWh), </w:t>
      </w:r>
      <w:r w:rsidR="00DE5AEE" w:rsidRPr="00DE5AEE">
        <w:rPr>
          <w:b/>
          <w:bCs/>
          <w:lang w:val="en-US"/>
        </w:rPr>
        <w:t>333 kWh would be coherent</w:t>
      </w:r>
      <w:r w:rsidR="00EF6F51">
        <w:rPr>
          <w:b/>
          <w:bCs/>
          <w:lang w:val="en-US"/>
        </w:rPr>
        <w:t xml:space="preserve">. </w:t>
      </w:r>
      <w:r w:rsidR="00EF6F51" w:rsidRPr="00EF6F51">
        <w:rPr>
          <w:bCs/>
          <w:lang w:val="en-US"/>
        </w:rPr>
        <w:t>It would be easy to implement because the table itse</w:t>
      </w:r>
      <w:r w:rsidR="00EF6F51">
        <w:rPr>
          <w:bCs/>
          <w:lang w:val="en-US"/>
        </w:rPr>
        <w:t>lf would not require any change. A new paragraph could be added to specify that the unit mentioned is in kWh instead of liters or kilograms. It would also be relevant to assign UN</w:t>
      </w:r>
      <w:r w:rsidR="00830761">
        <w:rPr>
          <w:bCs/>
          <w:lang w:val="en-US"/>
        </w:rPr>
        <w:t xml:space="preserve"> </w:t>
      </w:r>
      <w:r w:rsidR="00EF6F51">
        <w:rPr>
          <w:bCs/>
          <w:lang w:val="en-US"/>
        </w:rPr>
        <w:t>3536 to a transport category of 1.1.3.6 which is not the case today because the weight is over 333</w:t>
      </w:r>
      <w:r w:rsidR="00830761">
        <w:rPr>
          <w:bCs/>
          <w:lang w:val="en-US"/>
        </w:rPr>
        <w:t xml:space="preserve"> </w:t>
      </w:r>
      <w:r w:rsidR="00EF6F51">
        <w:rPr>
          <w:bCs/>
          <w:lang w:val="en-US"/>
        </w:rPr>
        <w:t>kg in any case.</w:t>
      </w:r>
    </w:p>
    <w:p w14:paraId="23B45A26" w14:textId="6A1B6531" w:rsidR="00EF6F51" w:rsidRDefault="00830761" w:rsidP="00830761">
      <w:pPr>
        <w:pStyle w:val="HChG"/>
        <w:rPr>
          <w:b w:val="0"/>
          <w:szCs w:val="28"/>
        </w:rPr>
      </w:pPr>
      <w:r>
        <w:tab/>
      </w:r>
      <w:r>
        <w:tab/>
      </w:r>
      <w:r w:rsidR="00EF6F51" w:rsidRPr="00830761">
        <w:t>Proposal</w:t>
      </w:r>
    </w:p>
    <w:p w14:paraId="11651435" w14:textId="795D6432" w:rsidR="00EF6F51" w:rsidRDefault="00830761" w:rsidP="00830761">
      <w:pPr>
        <w:spacing w:after="120"/>
        <w:ind w:left="1134" w:right="1134"/>
        <w:jc w:val="both"/>
      </w:pPr>
      <w:r>
        <w:t>2</w:t>
      </w:r>
      <w:r w:rsidR="00236417">
        <w:t>3</w:t>
      </w:r>
      <w:r>
        <w:t>.</w:t>
      </w:r>
      <w:r>
        <w:tab/>
      </w:r>
      <w:r w:rsidR="0012068C">
        <w:t xml:space="preserve">We are not </w:t>
      </w:r>
      <w:r w:rsidR="0012068C" w:rsidRPr="00830761">
        <w:rPr>
          <w:bCs/>
          <w:lang w:val="en-US"/>
        </w:rPr>
        <w:t>yet</w:t>
      </w:r>
      <w:r w:rsidR="0012068C">
        <w:t xml:space="preserve"> in the state </w:t>
      </w:r>
      <w:r w:rsidR="002B2549">
        <w:t>of</w:t>
      </w:r>
      <w:r w:rsidR="0012068C">
        <w:t xml:space="preserve"> draft</w:t>
      </w:r>
      <w:r w:rsidR="002B2549">
        <w:t>ing</w:t>
      </w:r>
      <w:r w:rsidR="0012068C">
        <w:t xml:space="preserve"> a text ready for adoption. However we propose to initiate a work that would </w:t>
      </w:r>
      <w:r w:rsidR="00305033">
        <w:t>consider</w:t>
      </w:r>
      <w:r w:rsidR="0012068C">
        <w:t xml:space="preserve"> these issue</w:t>
      </w:r>
      <w:r w:rsidR="00305033">
        <w:t>s</w:t>
      </w:r>
      <w:r w:rsidR="0012068C">
        <w:t xml:space="preserve"> in a more comprehensive way. It could be </w:t>
      </w:r>
      <w:r w:rsidR="001638F4">
        <w:t>based on</w:t>
      </w:r>
      <w:r w:rsidR="0012068C">
        <w:t xml:space="preserve"> the following points:</w:t>
      </w:r>
    </w:p>
    <w:p w14:paraId="39DBD02A" w14:textId="1258AAA5" w:rsidR="0012068C" w:rsidRPr="00A37205" w:rsidRDefault="00A37205" w:rsidP="00A37205">
      <w:pPr>
        <w:tabs>
          <w:tab w:val="left" w:pos="2268"/>
        </w:tabs>
        <w:spacing w:after="120"/>
        <w:ind w:left="2268" w:right="1134" w:hanging="567"/>
        <w:jc w:val="both"/>
      </w:pPr>
      <w:r>
        <w:t>(a)</w:t>
      </w:r>
      <w:r>
        <w:tab/>
      </w:r>
      <w:r w:rsidR="0012068C" w:rsidRPr="00A37205">
        <w:t>Include both UN</w:t>
      </w:r>
      <w:r w:rsidR="00244BFE">
        <w:t xml:space="preserve"> </w:t>
      </w:r>
      <w:r w:rsidR="0012068C" w:rsidRPr="00A37205">
        <w:t>3536 and UN</w:t>
      </w:r>
      <w:r w:rsidR="00244BFE">
        <w:t xml:space="preserve"> </w:t>
      </w:r>
      <w:r w:rsidR="0012068C" w:rsidRPr="00A37205">
        <w:t xml:space="preserve">3480 </w:t>
      </w:r>
      <w:r w:rsidR="00283C5D" w:rsidRPr="00A37205">
        <w:t>and think about the future sodium ion based technology</w:t>
      </w:r>
      <w:r w:rsidR="00C92531">
        <w:t>;</w:t>
      </w:r>
    </w:p>
    <w:p w14:paraId="244F4291" w14:textId="384815F3" w:rsidR="00283C5D" w:rsidRPr="00A37205" w:rsidRDefault="00A37205" w:rsidP="00A37205">
      <w:pPr>
        <w:tabs>
          <w:tab w:val="left" w:pos="2268"/>
        </w:tabs>
        <w:spacing w:after="120"/>
        <w:ind w:left="2268" w:right="1134" w:hanging="567"/>
        <w:jc w:val="both"/>
      </w:pPr>
      <w:r>
        <w:t>(b)</w:t>
      </w:r>
      <w:r>
        <w:tab/>
      </w:r>
      <w:r w:rsidR="00283C5D" w:rsidRPr="00A37205">
        <w:t>Work on a suitable exemption under 1.1.3 and preferably under 1.1.3.6</w:t>
      </w:r>
      <w:r w:rsidR="00C92531">
        <w:t>;</w:t>
      </w:r>
    </w:p>
    <w:p w14:paraId="0C4170E6" w14:textId="407EE411" w:rsidR="00283C5D" w:rsidRPr="00A37205" w:rsidRDefault="00A37205" w:rsidP="00A37205">
      <w:pPr>
        <w:tabs>
          <w:tab w:val="left" w:pos="2268"/>
        </w:tabs>
        <w:spacing w:after="120"/>
        <w:ind w:left="2268" w:right="1134" w:hanging="567"/>
        <w:jc w:val="both"/>
      </w:pPr>
      <w:r>
        <w:t>(c)</w:t>
      </w:r>
      <w:r>
        <w:tab/>
      </w:r>
      <w:r w:rsidR="00283C5D" w:rsidRPr="00A37205">
        <w:t>Define and agree on a threshold defined in kWh</w:t>
      </w:r>
      <w:r w:rsidR="00C92531">
        <w:t>;</w:t>
      </w:r>
    </w:p>
    <w:p w14:paraId="55FED54D" w14:textId="4B2D48A7" w:rsidR="00283C5D" w:rsidRPr="00A37205" w:rsidRDefault="00A37205" w:rsidP="00A37205">
      <w:pPr>
        <w:tabs>
          <w:tab w:val="left" w:pos="2268"/>
        </w:tabs>
        <w:spacing w:after="120"/>
        <w:ind w:left="2268" w:right="1134" w:hanging="567"/>
        <w:jc w:val="both"/>
      </w:pPr>
      <w:r>
        <w:t>(d)</w:t>
      </w:r>
      <w:r>
        <w:tab/>
      </w:r>
      <w:r w:rsidR="00283C5D" w:rsidRPr="00A37205">
        <w:t>Define the scope in terms of exempted object: batteries vs cells (cells should probably be treated differently), batteries “ready for use”, size of batteries …</w:t>
      </w:r>
      <w:r w:rsidR="00073D2E">
        <w:t>;</w:t>
      </w:r>
    </w:p>
    <w:p w14:paraId="13E04FE4" w14:textId="0548B861" w:rsidR="00283C5D" w:rsidRDefault="00A37205" w:rsidP="00A37205">
      <w:pPr>
        <w:tabs>
          <w:tab w:val="left" w:pos="2268"/>
        </w:tabs>
        <w:spacing w:after="120"/>
        <w:ind w:left="2268" w:right="1134" w:hanging="567"/>
        <w:jc w:val="both"/>
      </w:pPr>
      <w:r>
        <w:t>(e)</w:t>
      </w:r>
      <w:r>
        <w:tab/>
      </w:r>
      <w:r w:rsidR="00283C5D" w:rsidRPr="00A37205">
        <w:t>Check a possible implementation in 1.1.3.1</w:t>
      </w:r>
      <w:r w:rsidR="00073D2E">
        <w:t xml:space="preserve"> (</w:t>
      </w:r>
      <w:r w:rsidR="00283C5D" w:rsidRPr="00A37205">
        <w:t>c)</w:t>
      </w:r>
      <w:r w:rsidR="00073D2E">
        <w:t>.</w:t>
      </w:r>
    </w:p>
    <w:p w14:paraId="1A9B694E" w14:textId="5723904E" w:rsidR="00AF23E1" w:rsidRPr="00AF23E1" w:rsidRDefault="00AF23E1" w:rsidP="00AF23E1">
      <w:pPr>
        <w:spacing w:before="240"/>
        <w:jc w:val="center"/>
        <w:rPr>
          <w:u w:val="single"/>
        </w:rPr>
      </w:pPr>
      <w:r>
        <w:rPr>
          <w:u w:val="single"/>
        </w:rPr>
        <w:tab/>
      </w:r>
      <w:r>
        <w:rPr>
          <w:u w:val="single"/>
        </w:rPr>
        <w:tab/>
      </w:r>
      <w:r>
        <w:rPr>
          <w:u w:val="single"/>
        </w:rPr>
        <w:tab/>
      </w:r>
    </w:p>
    <w:sectPr w:rsidR="00AF23E1" w:rsidRPr="00AF23E1" w:rsidSect="002E500D">
      <w:headerReference w:type="even" r:id="rId13"/>
      <w:headerReference w:type="default" r:id="rId14"/>
      <w:footerReference w:type="even" r:id="rId15"/>
      <w:footerReference w:type="default" r:id="rId16"/>
      <w:headerReference w:type="first" r:id="rId17"/>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4CD2" w14:textId="77777777" w:rsidR="006C227F" w:rsidRDefault="006C227F"/>
  </w:endnote>
  <w:endnote w:type="continuationSeparator" w:id="0">
    <w:p w14:paraId="69BF1EB4" w14:textId="77777777" w:rsidR="006C227F" w:rsidRDefault="006C227F"/>
  </w:endnote>
  <w:endnote w:type="continuationNotice" w:id="1">
    <w:p w14:paraId="65197256" w14:textId="77777777" w:rsidR="006C227F" w:rsidRDefault="006C2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arianne Light">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4A3A" w14:textId="37BA8960" w:rsidR="007C1348" w:rsidRPr="009D2A5B" w:rsidRDefault="007C13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00A36">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71AA" w14:textId="5302286F"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00A36">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A84E" w14:textId="77777777" w:rsidR="006C227F" w:rsidRPr="000B175B" w:rsidRDefault="006C227F" w:rsidP="000B175B">
      <w:pPr>
        <w:tabs>
          <w:tab w:val="right" w:pos="2155"/>
        </w:tabs>
        <w:spacing w:after="80"/>
        <w:ind w:left="680"/>
        <w:rPr>
          <w:u w:val="single"/>
        </w:rPr>
      </w:pPr>
      <w:r>
        <w:rPr>
          <w:u w:val="single"/>
        </w:rPr>
        <w:tab/>
      </w:r>
    </w:p>
  </w:footnote>
  <w:footnote w:type="continuationSeparator" w:id="0">
    <w:p w14:paraId="117A6517" w14:textId="77777777" w:rsidR="006C227F" w:rsidRPr="00FC68B7" w:rsidRDefault="006C227F" w:rsidP="00FC68B7">
      <w:pPr>
        <w:tabs>
          <w:tab w:val="left" w:pos="2155"/>
        </w:tabs>
        <w:spacing w:after="80"/>
        <w:ind w:left="680"/>
        <w:rPr>
          <w:u w:val="single"/>
        </w:rPr>
      </w:pPr>
      <w:r>
        <w:rPr>
          <w:u w:val="single"/>
        </w:rPr>
        <w:tab/>
      </w:r>
    </w:p>
  </w:footnote>
  <w:footnote w:type="continuationNotice" w:id="1">
    <w:p w14:paraId="44D0EAF5" w14:textId="77777777" w:rsidR="006C227F" w:rsidRDefault="006C227F"/>
  </w:footnote>
  <w:footnote w:id="2">
    <w:p w14:paraId="3CEECF6F" w14:textId="2F774737" w:rsidR="00DE5AEE" w:rsidRPr="00D67647" w:rsidRDefault="0027108E" w:rsidP="00DE5AEE">
      <w:pPr>
        <w:pStyle w:val="FootnoteText"/>
        <w:rPr>
          <w:lang w:val="en-US"/>
        </w:rPr>
      </w:pPr>
      <w:r>
        <w:rPr>
          <w:lang w:val="en-US"/>
        </w:rPr>
        <w:tab/>
      </w:r>
      <w:r w:rsidR="00DE5AEE">
        <w:rPr>
          <w:rStyle w:val="FootnoteReference"/>
        </w:rPr>
        <w:footnoteRef/>
      </w:r>
      <w:r>
        <w:rPr>
          <w:lang w:val="en-US"/>
        </w:rPr>
        <w:tab/>
      </w:r>
      <w:r w:rsidR="00DE5AEE">
        <w:rPr>
          <w:lang w:val="en-US"/>
        </w:rPr>
        <w:t>This energy is below the limit fixed in 1.1.3.2 (a): “The total capacity of the fuel tanks or cylinder for a transport unit […] should not exceed 54 000</w:t>
      </w:r>
      <w:r w:rsidR="00FB2880">
        <w:rPr>
          <w:lang w:val="en-US"/>
        </w:rPr>
        <w:t xml:space="preserve"> </w:t>
      </w:r>
      <w:r w:rsidR="00DE5AEE">
        <w:rPr>
          <w:lang w:val="en-US"/>
        </w:rPr>
        <w:t>MJ energy-equivalent”</w:t>
      </w:r>
    </w:p>
  </w:footnote>
  <w:footnote w:id="3">
    <w:p w14:paraId="3098B0E3" w14:textId="0DF3D2DD" w:rsidR="00DE5AEE" w:rsidRPr="00D67647" w:rsidRDefault="0027108E" w:rsidP="00DE5AEE">
      <w:pPr>
        <w:pStyle w:val="FootnoteText"/>
        <w:rPr>
          <w:lang w:val="en-US"/>
        </w:rPr>
      </w:pPr>
      <w:r>
        <w:rPr>
          <w:lang w:val="en-US"/>
        </w:rPr>
        <w:tab/>
      </w:r>
      <w:r w:rsidR="00DE5AEE">
        <w:rPr>
          <w:rStyle w:val="FootnoteReference"/>
        </w:rPr>
        <w:footnoteRef/>
      </w:r>
      <w:r w:rsidR="00FB2880">
        <w:rPr>
          <w:lang w:val="en-US"/>
        </w:rPr>
        <w:tab/>
      </w:r>
      <w:r w:rsidR="00DE5AEE">
        <w:rPr>
          <w:lang w:val="en-US"/>
        </w:rPr>
        <w:t>This energy is below the limit fixed in 1.1.3.2 (a): “The total capacity of the fuel tanks or cylinder for a transport unit […] should not exceed 54 000</w:t>
      </w:r>
      <w:r w:rsidR="00FB2880">
        <w:rPr>
          <w:lang w:val="en-US"/>
        </w:rPr>
        <w:t xml:space="preserve"> </w:t>
      </w:r>
      <w:r w:rsidR="00DE5AEE">
        <w:rPr>
          <w:lang w:val="en-US"/>
        </w:rPr>
        <w:t>MJ energy-equivalent”</w:t>
      </w:r>
    </w:p>
  </w:footnote>
  <w:footnote w:id="4">
    <w:p w14:paraId="6CC6CCF4" w14:textId="27D5D15D" w:rsidR="00DE5AEE" w:rsidRPr="00ED7FB7" w:rsidRDefault="00FB2880" w:rsidP="00FB2880">
      <w:pPr>
        <w:pStyle w:val="FootnoteText"/>
        <w:rPr>
          <w:lang w:val="en-US"/>
        </w:rPr>
      </w:pPr>
      <w:r>
        <w:rPr>
          <w:lang w:val="en-US"/>
        </w:rPr>
        <w:tab/>
      </w:r>
      <w:r w:rsidR="00DE5AEE">
        <w:rPr>
          <w:rStyle w:val="FootnoteReference"/>
        </w:rPr>
        <w:footnoteRef/>
      </w:r>
      <w:r>
        <w:rPr>
          <w:lang w:val="en-US"/>
        </w:rPr>
        <w:tab/>
      </w:r>
      <w:r w:rsidR="00DE5AEE" w:rsidRPr="00ED7FB7">
        <w:rPr>
          <w:lang w:val="en-US"/>
        </w:rPr>
        <w:t>Considering classical values of current energy density of 250 Wh/kg for a cell and 150 Wh/kg for a system, such energy range would result in a mass range of [1 100 – 2 400] kg of system or [670 - 1440] kg of electrochemical elements.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E4ED" w14:textId="4DF7C4BC" w:rsidR="007C1348" w:rsidRPr="00D004E1" w:rsidRDefault="00610C3B" w:rsidP="008D6CB9">
    <w:pPr>
      <w:pStyle w:val="Header"/>
      <w:tabs>
        <w:tab w:val="right" w:pos="9126"/>
      </w:tabs>
      <w:rPr>
        <w:sz w:val="24"/>
        <w:szCs w:val="24"/>
      </w:rPr>
    </w:pPr>
    <w:r w:rsidRPr="00D004E1">
      <w:rPr>
        <w:sz w:val="24"/>
        <w:szCs w:val="24"/>
      </w:rPr>
      <w:t>INF.</w:t>
    </w:r>
    <w:r w:rsidR="00D004E1" w:rsidRPr="00D004E1">
      <w:rPr>
        <w:sz w:val="24"/>
        <w:szCs w:val="24"/>
      </w:rPr>
      <w:t>26</w:t>
    </w:r>
    <w:r w:rsidR="007C1348" w:rsidRPr="00D004E1">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DA25" w14:textId="76A25E27" w:rsidR="007C1348" w:rsidRPr="00D004E1" w:rsidRDefault="00D004E1" w:rsidP="00D004E1">
    <w:pPr>
      <w:pStyle w:val="Header"/>
      <w:jc w:val="right"/>
      <w:rPr>
        <w:sz w:val="24"/>
        <w:szCs w:val="24"/>
      </w:rPr>
    </w:pPr>
    <w:r w:rsidRPr="00D004E1">
      <w:rPr>
        <w:sz w:val="24"/>
        <w:szCs w:val="24"/>
      </w:rPr>
      <w:t>INF.26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76A7" w14:textId="237A6E20" w:rsidR="00986611" w:rsidRPr="00334AF1" w:rsidRDefault="00334AF1" w:rsidP="00334AF1">
    <w:pPr>
      <w:pStyle w:val="Header"/>
      <w:jc w:val="right"/>
      <w:rPr>
        <w:sz w:val="24"/>
        <w:szCs w:val="24"/>
      </w:rPr>
    </w:pPr>
    <w:r w:rsidRPr="00334AF1">
      <w:rPr>
        <w:sz w:val="24"/>
        <w:szCs w:val="24"/>
      </w:rPr>
      <w:t>INF.</w:t>
    </w:r>
    <w:r w:rsidR="00A669DF">
      <w:rPr>
        <w:sz w:val="24"/>
        <w:szCs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0CF82983"/>
    <w:multiLevelType w:val="hybridMultilevel"/>
    <w:tmpl w:val="6FC2C442"/>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44547"/>
    <w:multiLevelType w:val="hybridMultilevel"/>
    <w:tmpl w:val="5D8E7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56910"/>
    <w:multiLevelType w:val="hybridMultilevel"/>
    <w:tmpl w:val="E79C0F96"/>
    <w:lvl w:ilvl="0" w:tplc="A4FCFC4E">
      <w:start w:val="1"/>
      <w:numFmt w:val="decimal"/>
      <w:lvlText w:val="%1-"/>
      <w:lvlJc w:val="left"/>
      <w:pPr>
        <w:ind w:left="405" w:hanging="360"/>
      </w:pPr>
    </w:lvl>
    <w:lvl w:ilvl="1" w:tplc="F1562D66">
      <w:start w:val="1"/>
      <w:numFmt w:val="lowerLetter"/>
      <w:lvlText w:val="%2."/>
      <w:lvlJc w:val="left"/>
      <w:pPr>
        <w:ind w:left="1125" w:hanging="360"/>
      </w:pPr>
    </w:lvl>
    <w:lvl w:ilvl="2" w:tplc="1A020FBC">
      <w:start w:val="1"/>
      <w:numFmt w:val="lowerRoman"/>
      <w:lvlText w:val="%3."/>
      <w:lvlJc w:val="right"/>
      <w:pPr>
        <w:ind w:left="1845" w:hanging="180"/>
      </w:pPr>
    </w:lvl>
    <w:lvl w:ilvl="3" w:tplc="02E45EF0">
      <w:start w:val="1"/>
      <w:numFmt w:val="decimal"/>
      <w:lvlText w:val="%4."/>
      <w:lvlJc w:val="left"/>
      <w:pPr>
        <w:ind w:left="2565" w:hanging="360"/>
      </w:pPr>
    </w:lvl>
    <w:lvl w:ilvl="4" w:tplc="BBCAAB86">
      <w:start w:val="1"/>
      <w:numFmt w:val="lowerLetter"/>
      <w:lvlText w:val="%5."/>
      <w:lvlJc w:val="left"/>
      <w:pPr>
        <w:ind w:left="3285" w:hanging="360"/>
      </w:pPr>
    </w:lvl>
    <w:lvl w:ilvl="5" w:tplc="A5B8F69C">
      <w:start w:val="1"/>
      <w:numFmt w:val="lowerRoman"/>
      <w:lvlText w:val="%6."/>
      <w:lvlJc w:val="right"/>
      <w:pPr>
        <w:ind w:left="4005" w:hanging="180"/>
      </w:pPr>
    </w:lvl>
    <w:lvl w:ilvl="6" w:tplc="57829BF6">
      <w:start w:val="1"/>
      <w:numFmt w:val="decimal"/>
      <w:lvlText w:val="%7."/>
      <w:lvlJc w:val="left"/>
      <w:pPr>
        <w:ind w:left="4725" w:hanging="360"/>
      </w:pPr>
    </w:lvl>
    <w:lvl w:ilvl="7" w:tplc="C7968336">
      <w:start w:val="1"/>
      <w:numFmt w:val="lowerLetter"/>
      <w:lvlText w:val="%8."/>
      <w:lvlJc w:val="left"/>
      <w:pPr>
        <w:ind w:left="5445" w:hanging="360"/>
      </w:pPr>
    </w:lvl>
    <w:lvl w:ilvl="8" w:tplc="3B62705C">
      <w:start w:val="1"/>
      <w:numFmt w:val="lowerRoman"/>
      <w:lvlText w:val="%9."/>
      <w:lvlJc w:val="right"/>
      <w:pPr>
        <w:ind w:left="6165" w:hanging="180"/>
      </w:pPr>
    </w:lvl>
  </w:abstractNum>
  <w:abstractNum w:abstractNumId="23" w15:restartNumberingAfterBreak="0">
    <w:nsid w:val="3CD16379"/>
    <w:multiLevelType w:val="hybridMultilevel"/>
    <w:tmpl w:val="E0968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035C4D"/>
    <w:multiLevelType w:val="hybridMultilevel"/>
    <w:tmpl w:val="9640B582"/>
    <w:lvl w:ilvl="0" w:tplc="4102618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5" w15:restartNumberingAfterBreak="0">
    <w:nsid w:val="3FFB301E"/>
    <w:multiLevelType w:val="hybridMultilevel"/>
    <w:tmpl w:val="1FEE3E08"/>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4F4436"/>
    <w:multiLevelType w:val="hybridMultilevel"/>
    <w:tmpl w:val="AB02EBCA"/>
    <w:lvl w:ilvl="0" w:tplc="2EF4C172">
      <w:start w:val="1"/>
      <w:numFmt w:val="decimal"/>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7"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8" w15:restartNumberingAfterBreak="0">
    <w:nsid w:val="4ECC1F8C"/>
    <w:multiLevelType w:val="hybridMultilevel"/>
    <w:tmpl w:val="91BC48FE"/>
    <w:lvl w:ilvl="0" w:tplc="08090017">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567E720B"/>
    <w:multiLevelType w:val="hybridMultilevel"/>
    <w:tmpl w:val="39AE4598"/>
    <w:lvl w:ilvl="0" w:tplc="FD52E51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0" w15:restartNumberingAfterBreak="0">
    <w:nsid w:val="5693193E"/>
    <w:multiLevelType w:val="hybridMultilevel"/>
    <w:tmpl w:val="B19C4248"/>
    <w:lvl w:ilvl="0" w:tplc="3272ADF0">
      <w:start w:val="1"/>
      <w:numFmt w:val="bullet"/>
      <w:lvlText w:val="/"/>
      <w:lvlJc w:val="left"/>
      <w:pPr>
        <w:ind w:left="720" w:hanging="360"/>
      </w:pPr>
      <w:rPr>
        <w:rFonts w:ascii="Arial" w:hAnsi="Arial" w:hint="default"/>
        <w:b w:val="0"/>
        <w:i w:val="0"/>
        <w:color w:val="003087"/>
        <w:sz w:val="20"/>
        <w:u w:val="none" w:color="003087"/>
      </w:rPr>
    </w:lvl>
    <w:lvl w:ilvl="1" w:tplc="687027F8">
      <w:start w:val="1"/>
      <w:numFmt w:val="bullet"/>
      <w:lvlText w:val="o"/>
      <w:lvlJc w:val="left"/>
      <w:pPr>
        <w:ind w:left="1440" w:hanging="360"/>
      </w:pPr>
      <w:rPr>
        <w:rFonts w:ascii="Courier New" w:hAnsi="Courier New" w:cs="Courier New" w:hint="default"/>
      </w:rPr>
    </w:lvl>
    <w:lvl w:ilvl="2" w:tplc="A7C6DEAA" w:tentative="1">
      <w:start w:val="1"/>
      <w:numFmt w:val="bullet"/>
      <w:lvlText w:val=""/>
      <w:lvlJc w:val="left"/>
      <w:pPr>
        <w:ind w:left="2160" w:hanging="360"/>
      </w:pPr>
      <w:rPr>
        <w:rFonts w:ascii="Wingdings" w:hAnsi="Wingdings" w:hint="default"/>
      </w:rPr>
    </w:lvl>
    <w:lvl w:ilvl="3" w:tplc="C5E6BE90" w:tentative="1">
      <w:start w:val="1"/>
      <w:numFmt w:val="bullet"/>
      <w:lvlText w:val=""/>
      <w:lvlJc w:val="left"/>
      <w:pPr>
        <w:ind w:left="2880" w:hanging="360"/>
      </w:pPr>
      <w:rPr>
        <w:rFonts w:ascii="Symbol" w:hAnsi="Symbol" w:hint="default"/>
      </w:rPr>
    </w:lvl>
    <w:lvl w:ilvl="4" w:tplc="38EC004A" w:tentative="1">
      <w:start w:val="1"/>
      <w:numFmt w:val="bullet"/>
      <w:lvlText w:val="o"/>
      <w:lvlJc w:val="left"/>
      <w:pPr>
        <w:ind w:left="3600" w:hanging="360"/>
      </w:pPr>
      <w:rPr>
        <w:rFonts w:ascii="Courier New" w:hAnsi="Courier New" w:cs="Courier New" w:hint="default"/>
      </w:rPr>
    </w:lvl>
    <w:lvl w:ilvl="5" w:tplc="579A08F8" w:tentative="1">
      <w:start w:val="1"/>
      <w:numFmt w:val="bullet"/>
      <w:lvlText w:val=""/>
      <w:lvlJc w:val="left"/>
      <w:pPr>
        <w:ind w:left="4320" w:hanging="360"/>
      </w:pPr>
      <w:rPr>
        <w:rFonts w:ascii="Wingdings" w:hAnsi="Wingdings" w:hint="default"/>
      </w:rPr>
    </w:lvl>
    <w:lvl w:ilvl="6" w:tplc="728CEE90" w:tentative="1">
      <w:start w:val="1"/>
      <w:numFmt w:val="bullet"/>
      <w:lvlText w:val=""/>
      <w:lvlJc w:val="left"/>
      <w:pPr>
        <w:ind w:left="5040" w:hanging="360"/>
      </w:pPr>
      <w:rPr>
        <w:rFonts w:ascii="Symbol" w:hAnsi="Symbol" w:hint="default"/>
      </w:rPr>
    </w:lvl>
    <w:lvl w:ilvl="7" w:tplc="9F46B7F8" w:tentative="1">
      <w:start w:val="1"/>
      <w:numFmt w:val="bullet"/>
      <w:lvlText w:val="o"/>
      <w:lvlJc w:val="left"/>
      <w:pPr>
        <w:ind w:left="5760" w:hanging="360"/>
      </w:pPr>
      <w:rPr>
        <w:rFonts w:ascii="Courier New" w:hAnsi="Courier New" w:cs="Courier New" w:hint="default"/>
      </w:rPr>
    </w:lvl>
    <w:lvl w:ilvl="8" w:tplc="266C7ECE" w:tentative="1">
      <w:start w:val="1"/>
      <w:numFmt w:val="bullet"/>
      <w:lvlText w:val=""/>
      <w:lvlJc w:val="left"/>
      <w:pPr>
        <w:ind w:left="6480"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385E4D"/>
    <w:multiLevelType w:val="hybridMultilevel"/>
    <w:tmpl w:val="FBF6A6A4"/>
    <w:lvl w:ilvl="0" w:tplc="C6C0427E">
      <w:start w:val="1"/>
      <w:numFmt w:val="decimal"/>
      <w:lvlText w:val="%1."/>
      <w:lvlJc w:val="left"/>
      <w:pPr>
        <w:ind w:left="1704" w:hanging="570"/>
      </w:pPr>
      <w:rPr>
        <w:rFonts w:hint="default"/>
      </w:rPr>
    </w:lvl>
    <w:lvl w:ilvl="1" w:tplc="0809000F">
      <w:start w:val="1"/>
      <w:numFmt w:val="decimal"/>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6C530792"/>
    <w:multiLevelType w:val="hybridMultilevel"/>
    <w:tmpl w:val="571637EA"/>
    <w:lvl w:ilvl="0" w:tplc="661A76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E17316E"/>
    <w:multiLevelType w:val="hybridMultilevel"/>
    <w:tmpl w:val="F1B8B796"/>
    <w:lvl w:ilvl="0" w:tplc="649C0D34">
      <w:start w:val="2"/>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36"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1E072F"/>
    <w:multiLevelType w:val="hybridMultilevel"/>
    <w:tmpl w:val="2AF0B696"/>
    <w:lvl w:ilvl="0" w:tplc="4FD4F4A0">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8" w15:restartNumberingAfterBreak="0">
    <w:nsid w:val="79383029"/>
    <w:multiLevelType w:val="hybridMultilevel"/>
    <w:tmpl w:val="3F3EB92C"/>
    <w:lvl w:ilvl="0" w:tplc="C4E4F7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9"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BAC4D53"/>
    <w:multiLevelType w:val="hybridMultilevel"/>
    <w:tmpl w:val="463E21CA"/>
    <w:lvl w:ilvl="0" w:tplc="C6C0427E">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31"/>
  </w:num>
  <w:num w:numId="15">
    <w:abstractNumId w:val="14"/>
  </w:num>
  <w:num w:numId="16">
    <w:abstractNumId w:val="11"/>
  </w:num>
  <w:num w:numId="17">
    <w:abstractNumId w:val="27"/>
  </w:num>
  <w:num w:numId="18">
    <w:abstractNumId w:val="41"/>
  </w:num>
  <w:num w:numId="19">
    <w:abstractNumId w:val="33"/>
  </w:num>
  <w:num w:numId="20">
    <w:abstractNumId w:val="12"/>
  </w:num>
  <w:num w:numId="21">
    <w:abstractNumId w:val="15"/>
  </w:num>
  <w:num w:numId="22">
    <w:abstractNumId w:val="18"/>
  </w:num>
  <w:num w:numId="23">
    <w:abstractNumId w:val="36"/>
  </w:num>
  <w:num w:numId="24">
    <w:abstractNumId w:val="20"/>
  </w:num>
  <w:num w:numId="25">
    <w:abstractNumId w:val="40"/>
  </w:num>
  <w:num w:numId="26">
    <w:abstractNumId w:val="32"/>
  </w:num>
  <w:num w:numId="27">
    <w:abstractNumId w:val="17"/>
  </w:num>
  <w:num w:numId="28">
    <w:abstractNumId w:val="13"/>
  </w:num>
  <w:num w:numId="29">
    <w:abstractNumId w:val="25"/>
  </w:num>
  <w:num w:numId="30">
    <w:abstractNumId w:val="19"/>
  </w:num>
  <w:num w:numId="31">
    <w:abstractNumId w:val="39"/>
  </w:num>
  <w:num w:numId="32">
    <w:abstractNumId w:val="23"/>
  </w:num>
  <w:num w:numId="33">
    <w:abstractNumId w:val="2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4"/>
  </w:num>
  <w:num w:numId="37">
    <w:abstractNumId w:val="26"/>
  </w:num>
  <w:num w:numId="38">
    <w:abstractNumId w:val="24"/>
  </w:num>
  <w:num w:numId="39">
    <w:abstractNumId w:val="35"/>
  </w:num>
  <w:num w:numId="40">
    <w:abstractNumId w:val="29"/>
  </w:num>
  <w:num w:numId="41">
    <w:abstractNumId w:val="37"/>
  </w:num>
  <w:num w:numId="42">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fr-FR" w:vendorID="64" w:dllVersion="6" w:nlCheck="1" w:checkStyle="0"/>
  <w:activeWritingStyle w:appName="MSWord" w:lang="nl-NL"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3107"/>
    <w:rsid w:val="0000500E"/>
    <w:rsid w:val="00010BE8"/>
    <w:rsid w:val="00011FC3"/>
    <w:rsid w:val="00016292"/>
    <w:rsid w:val="00016765"/>
    <w:rsid w:val="00024BD8"/>
    <w:rsid w:val="00033867"/>
    <w:rsid w:val="00034400"/>
    <w:rsid w:val="0003441A"/>
    <w:rsid w:val="00034A36"/>
    <w:rsid w:val="00037F90"/>
    <w:rsid w:val="0004095A"/>
    <w:rsid w:val="00041876"/>
    <w:rsid w:val="00041F40"/>
    <w:rsid w:val="000430E1"/>
    <w:rsid w:val="00044A54"/>
    <w:rsid w:val="00044CAF"/>
    <w:rsid w:val="00046B1F"/>
    <w:rsid w:val="000476D3"/>
    <w:rsid w:val="000478A2"/>
    <w:rsid w:val="000509A7"/>
    <w:rsid w:val="00050F6B"/>
    <w:rsid w:val="0005203F"/>
    <w:rsid w:val="000525CD"/>
    <w:rsid w:val="00052867"/>
    <w:rsid w:val="0005583C"/>
    <w:rsid w:val="000572B1"/>
    <w:rsid w:val="00057E97"/>
    <w:rsid w:val="00060229"/>
    <w:rsid w:val="00060E4C"/>
    <w:rsid w:val="0006124B"/>
    <w:rsid w:val="00062B07"/>
    <w:rsid w:val="00064C46"/>
    <w:rsid w:val="00066384"/>
    <w:rsid w:val="000705A8"/>
    <w:rsid w:val="00071724"/>
    <w:rsid w:val="00072C8C"/>
    <w:rsid w:val="000733B5"/>
    <w:rsid w:val="00073D2E"/>
    <w:rsid w:val="00074984"/>
    <w:rsid w:val="00074D52"/>
    <w:rsid w:val="0007696F"/>
    <w:rsid w:val="00076BC3"/>
    <w:rsid w:val="00076E7D"/>
    <w:rsid w:val="000777DB"/>
    <w:rsid w:val="00077F21"/>
    <w:rsid w:val="00080491"/>
    <w:rsid w:val="00080820"/>
    <w:rsid w:val="0008179C"/>
    <w:rsid w:val="00081815"/>
    <w:rsid w:val="00082C32"/>
    <w:rsid w:val="00084FD7"/>
    <w:rsid w:val="000852B7"/>
    <w:rsid w:val="00085B9E"/>
    <w:rsid w:val="00092544"/>
    <w:rsid w:val="000931C0"/>
    <w:rsid w:val="00093785"/>
    <w:rsid w:val="0009461C"/>
    <w:rsid w:val="0009594B"/>
    <w:rsid w:val="000A0DD0"/>
    <w:rsid w:val="000A2CA2"/>
    <w:rsid w:val="000B0595"/>
    <w:rsid w:val="000B1333"/>
    <w:rsid w:val="000B175B"/>
    <w:rsid w:val="000B1A7A"/>
    <w:rsid w:val="000B2B15"/>
    <w:rsid w:val="000B2C53"/>
    <w:rsid w:val="000B39C4"/>
    <w:rsid w:val="000B3A0F"/>
    <w:rsid w:val="000B4EF7"/>
    <w:rsid w:val="000B642F"/>
    <w:rsid w:val="000B6A0E"/>
    <w:rsid w:val="000C03FF"/>
    <w:rsid w:val="000C2C03"/>
    <w:rsid w:val="000C2D2E"/>
    <w:rsid w:val="000C3415"/>
    <w:rsid w:val="000C4D51"/>
    <w:rsid w:val="000D4774"/>
    <w:rsid w:val="000D73E4"/>
    <w:rsid w:val="000E0415"/>
    <w:rsid w:val="000E0CB1"/>
    <w:rsid w:val="000E5E55"/>
    <w:rsid w:val="000E7AB7"/>
    <w:rsid w:val="000F1028"/>
    <w:rsid w:val="000F1DD1"/>
    <w:rsid w:val="000F6FC8"/>
    <w:rsid w:val="000F7098"/>
    <w:rsid w:val="000F7C0B"/>
    <w:rsid w:val="000F7D50"/>
    <w:rsid w:val="00100A36"/>
    <w:rsid w:val="001017C8"/>
    <w:rsid w:val="00102D8C"/>
    <w:rsid w:val="00103DD2"/>
    <w:rsid w:val="00104A5B"/>
    <w:rsid w:val="001103AA"/>
    <w:rsid w:val="00113658"/>
    <w:rsid w:val="0011529D"/>
    <w:rsid w:val="00115FA2"/>
    <w:rsid w:val="0011666B"/>
    <w:rsid w:val="001179D5"/>
    <w:rsid w:val="0012068C"/>
    <w:rsid w:val="001208AC"/>
    <w:rsid w:val="00122664"/>
    <w:rsid w:val="001263CA"/>
    <w:rsid w:val="001269FF"/>
    <w:rsid w:val="001273A4"/>
    <w:rsid w:val="0012741A"/>
    <w:rsid w:val="00132F8C"/>
    <w:rsid w:val="001338CE"/>
    <w:rsid w:val="0013630F"/>
    <w:rsid w:val="001405C5"/>
    <w:rsid w:val="00141246"/>
    <w:rsid w:val="00143472"/>
    <w:rsid w:val="00145F26"/>
    <w:rsid w:val="00147C38"/>
    <w:rsid w:val="00150CF1"/>
    <w:rsid w:val="00150D3D"/>
    <w:rsid w:val="0015207E"/>
    <w:rsid w:val="001530E9"/>
    <w:rsid w:val="00153B2F"/>
    <w:rsid w:val="00155068"/>
    <w:rsid w:val="001555B7"/>
    <w:rsid w:val="0015746D"/>
    <w:rsid w:val="00157732"/>
    <w:rsid w:val="00157E4C"/>
    <w:rsid w:val="00160874"/>
    <w:rsid w:val="00161B7D"/>
    <w:rsid w:val="001638F4"/>
    <w:rsid w:val="00163A31"/>
    <w:rsid w:val="001640D7"/>
    <w:rsid w:val="00164562"/>
    <w:rsid w:val="00165F3A"/>
    <w:rsid w:val="00166B95"/>
    <w:rsid w:val="00166CE1"/>
    <w:rsid w:val="001672AD"/>
    <w:rsid w:val="0017181C"/>
    <w:rsid w:val="00174607"/>
    <w:rsid w:val="00174858"/>
    <w:rsid w:val="00175157"/>
    <w:rsid w:val="0017587F"/>
    <w:rsid w:val="00176712"/>
    <w:rsid w:val="00177953"/>
    <w:rsid w:val="00182FE8"/>
    <w:rsid w:val="001837B1"/>
    <w:rsid w:val="00184673"/>
    <w:rsid w:val="00185EE7"/>
    <w:rsid w:val="00186B58"/>
    <w:rsid w:val="001925BA"/>
    <w:rsid w:val="001A0A4C"/>
    <w:rsid w:val="001A3098"/>
    <w:rsid w:val="001A4834"/>
    <w:rsid w:val="001A4DD3"/>
    <w:rsid w:val="001A6463"/>
    <w:rsid w:val="001A713B"/>
    <w:rsid w:val="001B13A5"/>
    <w:rsid w:val="001B2578"/>
    <w:rsid w:val="001B4B04"/>
    <w:rsid w:val="001C0B30"/>
    <w:rsid w:val="001C0FF0"/>
    <w:rsid w:val="001C1EDB"/>
    <w:rsid w:val="001C272C"/>
    <w:rsid w:val="001C2E1D"/>
    <w:rsid w:val="001C305B"/>
    <w:rsid w:val="001C5D07"/>
    <w:rsid w:val="001C5FB3"/>
    <w:rsid w:val="001C6663"/>
    <w:rsid w:val="001C7546"/>
    <w:rsid w:val="001C7895"/>
    <w:rsid w:val="001C7A36"/>
    <w:rsid w:val="001D0BD2"/>
    <w:rsid w:val="001D0C8C"/>
    <w:rsid w:val="001D1419"/>
    <w:rsid w:val="001D168A"/>
    <w:rsid w:val="001D26DF"/>
    <w:rsid w:val="001D38D2"/>
    <w:rsid w:val="001D3A03"/>
    <w:rsid w:val="001D5F7D"/>
    <w:rsid w:val="001D70F6"/>
    <w:rsid w:val="001D7665"/>
    <w:rsid w:val="001D7F46"/>
    <w:rsid w:val="001E0B9E"/>
    <w:rsid w:val="001E1034"/>
    <w:rsid w:val="001E5809"/>
    <w:rsid w:val="001E6236"/>
    <w:rsid w:val="001E64AE"/>
    <w:rsid w:val="001E7B67"/>
    <w:rsid w:val="001F061E"/>
    <w:rsid w:val="001F1D4A"/>
    <w:rsid w:val="001F1F59"/>
    <w:rsid w:val="001F3504"/>
    <w:rsid w:val="001F3CCC"/>
    <w:rsid w:val="001F7435"/>
    <w:rsid w:val="002017A5"/>
    <w:rsid w:val="00202DA8"/>
    <w:rsid w:val="00207DB1"/>
    <w:rsid w:val="0021157B"/>
    <w:rsid w:val="00211E0B"/>
    <w:rsid w:val="00212021"/>
    <w:rsid w:val="00212864"/>
    <w:rsid w:val="00213CEE"/>
    <w:rsid w:val="00217CC1"/>
    <w:rsid w:val="00223811"/>
    <w:rsid w:val="0023068F"/>
    <w:rsid w:val="002315E8"/>
    <w:rsid w:val="002328AB"/>
    <w:rsid w:val="00236417"/>
    <w:rsid w:val="002375F5"/>
    <w:rsid w:val="002424BA"/>
    <w:rsid w:val="0024284F"/>
    <w:rsid w:val="0024308C"/>
    <w:rsid w:val="00243488"/>
    <w:rsid w:val="002437DB"/>
    <w:rsid w:val="002442CC"/>
    <w:rsid w:val="00244BFE"/>
    <w:rsid w:val="00244FA4"/>
    <w:rsid w:val="002463C6"/>
    <w:rsid w:val="00252D39"/>
    <w:rsid w:val="00253284"/>
    <w:rsid w:val="0025480C"/>
    <w:rsid w:val="00256A67"/>
    <w:rsid w:val="00256C0A"/>
    <w:rsid w:val="00262491"/>
    <w:rsid w:val="002627D6"/>
    <w:rsid w:val="00267F5F"/>
    <w:rsid w:val="00270556"/>
    <w:rsid w:val="0027108E"/>
    <w:rsid w:val="00277C12"/>
    <w:rsid w:val="0028148A"/>
    <w:rsid w:val="00281BB3"/>
    <w:rsid w:val="0028276E"/>
    <w:rsid w:val="00282BB1"/>
    <w:rsid w:val="002839AE"/>
    <w:rsid w:val="00283C5D"/>
    <w:rsid w:val="00284958"/>
    <w:rsid w:val="002860E2"/>
    <w:rsid w:val="00286B4D"/>
    <w:rsid w:val="0029159C"/>
    <w:rsid w:val="002968AE"/>
    <w:rsid w:val="00296FF8"/>
    <w:rsid w:val="002A0307"/>
    <w:rsid w:val="002A1967"/>
    <w:rsid w:val="002A4D42"/>
    <w:rsid w:val="002A603B"/>
    <w:rsid w:val="002A7CBC"/>
    <w:rsid w:val="002B2549"/>
    <w:rsid w:val="002B4105"/>
    <w:rsid w:val="002C22B0"/>
    <w:rsid w:val="002C3CD3"/>
    <w:rsid w:val="002C3EB2"/>
    <w:rsid w:val="002C4C85"/>
    <w:rsid w:val="002C511A"/>
    <w:rsid w:val="002C66B7"/>
    <w:rsid w:val="002C69C0"/>
    <w:rsid w:val="002D0A44"/>
    <w:rsid w:val="002D0BE9"/>
    <w:rsid w:val="002D244D"/>
    <w:rsid w:val="002D285D"/>
    <w:rsid w:val="002D2D05"/>
    <w:rsid w:val="002D392F"/>
    <w:rsid w:val="002D4643"/>
    <w:rsid w:val="002D4B6C"/>
    <w:rsid w:val="002D78DF"/>
    <w:rsid w:val="002D79D8"/>
    <w:rsid w:val="002E0F37"/>
    <w:rsid w:val="002E2DA5"/>
    <w:rsid w:val="002E2F9C"/>
    <w:rsid w:val="002E500D"/>
    <w:rsid w:val="002F06E1"/>
    <w:rsid w:val="002F175C"/>
    <w:rsid w:val="002F483F"/>
    <w:rsid w:val="002F6BCF"/>
    <w:rsid w:val="002F78F1"/>
    <w:rsid w:val="00302E18"/>
    <w:rsid w:val="00303F45"/>
    <w:rsid w:val="00304A55"/>
    <w:rsid w:val="00305033"/>
    <w:rsid w:val="00307AEF"/>
    <w:rsid w:val="003100C7"/>
    <w:rsid w:val="00310455"/>
    <w:rsid w:val="00312506"/>
    <w:rsid w:val="003126C9"/>
    <w:rsid w:val="003126F5"/>
    <w:rsid w:val="003229D8"/>
    <w:rsid w:val="00324232"/>
    <w:rsid w:val="00324416"/>
    <w:rsid w:val="00325566"/>
    <w:rsid w:val="00325CCB"/>
    <w:rsid w:val="0033026F"/>
    <w:rsid w:val="00331732"/>
    <w:rsid w:val="00334454"/>
    <w:rsid w:val="00334AF1"/>
    <w:rsid w:val="00334F0F"/>
    <w:rsid w:val="0034001F"/>
    <w:rsid w:val="00340542"/>
    <w:rsid w:val="00340D6B"/>
    <w:rsid w:val="00341C7B"/>
    <w:rsid w:val="00351974"/>
    <w:rsid w:val="00352709"/>
    <w:rsid w:val="00352994"/>
    <w:rsid w:val="00352D09"/>
    <w:rsid w:val="0035555C"/>
    <w:rsid w:val="00355786"/>
    <w:rsid w:val="00362B29"/>
    <w:rsid w:val="0036501C"/>
    <w:rsid w:val="003670CE"/>
    <w:rsid w:val="003679E1"/>
    <w:rsid w:val="00371178"/>
    <w:rsid w:val="00380694"/>
    <w:rsid w:val="00381475"/>
    <w:rsid w:val="00381732"/>
    <w:rsid w:val="00381D79"/>
    <w:rsid w:val="003826B7"/>
    <w:rsid w:val="00382D5F"/>
    <w:rsid w:val="003864C5"/>
    <w:rsid w:val="00386826"/>
    <w:rsid w:val="00390763"/>
    <w:rsid w:val="003908B2"/>
    <w:rsid w:val="00390912"/>
    <w:rsid w:val="00392D7D"/>
    <w:rsid w:val="00394FA6"/>
    <w:rsid w:val="00397630"/>
    <w:rsid w:val="003A18AF"/>
    <w:rsid w:val="003A1E7F"/>
    <w:rsid w:val="003A39EA"/>
    <w:rsid w:val="003A6810"/>
    <w:rsid w:val="003A7787"/>
    <w:rsid w:val="003B095A"/>
    <w:rsid w:val="003B1217"/>
    <w:rsid w:val="003B23C8"/>
    <w:rsid w:val="003B41D6"/>
    <w:rsid w:val="003B5431"/>
    <w:rsid w:val="003B5F3B"/>
    <w:rsid w:val="003B6EC4"/>
    <w:rsid w:val="003C01C9"/>
    <w:rsid w:val="003C1B8A"/>
    <w:rsid w:val="003C2CC4"/>
    <w:rsid w:val="003D03C2"/>
    <w:rsid w:val="003D3718"/>
    <w:rsid w:val="003D4B23"/>
    <w:rsid w:val="003D5E89"/>
    <w:rsid w:val="003E6666"/>
    <w:rsid w:val="003F01D4"/>
    <w:rsid w:val="003F6344"/>
    <w:rsid w:val="003F6BE5"/>
    <w:rsid w:val="003F7686"/>
    <w:rsid w:val="003F78E2"/>
    <w:rsid w:val="00401F7D"/>
    <w:rsid w:val="00402A20"/>
    <w:rsid w:val="00403055"/>
    <w:rsid w:val="00403C13"/>
    <w:rsid w:val="00405778"/>
    <w:rsid w:val="004059B4"/>
    <w:rsid w:val="00405D3D"/>
    <w:rsid w:val="00410C89"/>
    <w:rsid w:val="004115DD"/>
    <w:rsid w:val="00413387"/>
    <w:rsid w:val="00413B2E"/>
    <w:rsid w:val="00421A1A"/>
    <w:rsid w:val="00422E03"/>
    <w:rsid w:val="00426B9B"/>
    <w:rsid w:val="004276AB"/>
    <w:rsid w:val="004301F2"/>
    <w:rsid w:val="00430EFE"/>
    <w:rsid w:val="004325CB"/>
    <w:rsid w:val="00435AE5"/>
    <w:rsid w:val="00437C85"/>
    <w:rsid w:val="00441896"/>
    <w:rsid w:val="004429ED"/>
    <w:rsid w:val="00442A83"/>
    <w:rsid w:val="00443AB5"/>
    <w:rsid w:val="00452A4C"/>
    <w:rsid w:val="0045431D"/>
    <w:rsid w:val="0045495B"/>
    <w:rsid w:val="00454985"/>
    <w:rsid w:val="00455CB8"/>
    <w:rsid w:val="00456EE1"/>
    <w:rsid w:val="00462DD9"/>
    <w:rsid w:val="00462F14"/>
    <w:rsid w:val="00471FAF"/>
    <w:rsid w:val="00473E3E"/>
    <w:rsid w:val="00474E9F"/>
    <w:rsid w:val="00476275"/>
    <w:rsid w:val="00476932"/>
    <w:rsid w:val="00476C92"/>
    <w:rsid w:val="004821F4"/>
    <w:rsid w:val="004832A7"/>
    <w:rsid w:val="00483694"/>
    <w:rsid w:val="0048397A"/>
    <w:rsid w:val="0048428B"/>
    <w:rsid w:val="00484A89"/>
    <w:rsid w:val="004850BD"/>
    <w:rsid w:val="00486346"/>
    <w:rsid w:val="00486651"/>
    <w:rsid w:val="0048695D"/>
    <w:rsid w:val="004906B9"/>
    <w:rsid w:val="004913EF"/>
    <w:rsid w:val="00491931"/>
    <w:rsid w:val="004937E8"/>
    <w:rsid w:val="00494398"/>
    <w:rsid w:val="00497492"/>
    <w:rsid w:val="004A12F2"/>
    <w:rsid w:val="004A15DF"/>
    <w:rsid w:val="004B10A3"/>
    <w:rsid w:val="004B13D9"/>
    <w:rsid w:val="004B2F6F"/>
    <w:rsid w:val="004B31D0"/>
    <w:rsid w:val="004B41CD"/>
    <w:rsid w:val="004B4436"/>
    <w:rsid w:val="004B48B6"/>
    <w:rsid w:val="004B724D"/>
    <w:rsid w:val="004B7399"/>
    <w:rsid w:val="004C023F"/>
    <w:rsid w:val="004C1615"/>
    <w:rsid w:val="004C2461"/>
    <w:rsid w:val="004C5918"/>
    <w:rsid w:val="004C5E34"/>
    <w:rsid w:val="004C6D83"/>
    <w:rsid w:val="004C702B"/>
    <w:rsid w:val="004C7462"/>
    <w:rsid w:val="004C7F0D"/>
    <w:rsid w:val="004D1DCD"/>
    <w:rsid w:val="004D4561"/>
    <w:rsid w:val="004D4E04"/>
    <w:rsid w:val="004D5426"/>
    <w:rsid w:val="004D7FB3"/>
    <w:rsid w:val="004E01EA"/>
    <w:rsid w:val="004E0C05"/>
    <w:rsid w:val="004E15E6"/>
    <w:rsid w:val="004E5A04"/>
    <w:rsid w:val="004E750C"/>
    <w:rsid w:val="004E77B2"/>
    <w:rsid w:val="004F3E80"/>
    <w:rsid w:val="00500672"/>
    <w:rsid w:val="00500B84"/>
    <w:rsid w:val="005018A3"/>
    <w:rsid w:val="00502140"/>
    <w:rsid w:val="00503D2A"/>
    <w:rsid w:val="00503DEB"/>
    <w:rsid w:val="00503E2F"/>
    <w:rsid w:val="0050420C"/>
    <w:rsid w:val="00504B2D"/>
    <w:rsid w:val="00504E10"/>
    <w:rsid w:val="0051131F"/>
    <w:rsid w:val="00511A9B"/>
    <w:rsid w:val="00512247"/>
    <w:rsid w:val="0051779B"/>
    <w:rsid w:val="0052136D"/>
    <w:rsid w:val="00522B58"/>
    <w:rsid w:val="005230F9"/>
    <w:rsid w:val="00524942"/>
    <w:rsid w:val="0052775E"/>
    <w:rsid w:val="00531AA4"/>
    <w:rsid w:val="005343AB"/>
    <w:rsid w:val="00535820"/>
    <w:rsid w:val="00535C90"/>
    <w:rsid w:val="00536489"/>
    <w:rsid w:val="00541160"/>
    <w:rsid w:val="005412AA"/>
    <w:rsid w:val="005420F2"/>
    <w:rsid w:val="00543704"/>
    <w:rsid w:val="00543785"/>
    <w:rsid w:val="0054563D"/>
    <w:rsid w:val="00545927"/>
    <w:rsid w:val="00546993"/>
    <w:rsid w:val="005469E1"/>
    <w:rsid w:val="00546AD4"/>
    <w:rsid w:val="0055281F"/>
    <w:rsid w:val="005551E8"/>
    <w:rsid w:val="00561EF8"/>
    <w:rsid w:val="005628B6"/>
    <w:rsid w:val="0056531D"/>
    <w:rsid w:val="005662DD"/>
    <w:rsid w:val="00570F9C"/>
    <w:rsid w:val="00572AD7"/>
    <w:rsid w:val="00573421"/>
    <w:rsid w:val="0057625F"/>
    <w:rsid w:val="005775C9"/>
    <w:rsid w:val="005779FA"/>
    <w:rsid w:val="00581555"/>
    <w:rsid w:val="00584EA7"/>
    <w:rsid w:val="00585E7B"/>
    <w:rsid w:val="00586609"/>
    <w:rsid w:val="00586737"/>
    <w:rsid w:val="005868E5"/>
    <w:rsid w:val="005921CC"/>
    <w:rsid w:val="005966C8"/>
    <w:rsid w:val="00597EDC"/>
    <w:rsid w:val="005A2D41"/>
    <w:rsid w:val="005A4796"/>
    <w:rsid w:val="005A51E1"/>
    <w:rsid w:val="005A56AE"/>
    <w:rsid w:val="005A575C"/>
    <w:rsid w:val="005A5FB7"/>
    <w:rsid w:val="005B17EA"/>
    <w:rsid w:val="005B3DB3"/>
    <w:rsid w:val="005B4E13"/>
    <w:rsid w:val="005B5780"/>
    <w:rsid w:val="005B6F2D"/>
    <w:rsid w:val="005B7000"/>
    <w:rsid w:val="005B71EC"/>
    <w:rsid w:val="005C7577"/>
    <w:rsid w:val="005D24F5"/>
    <w:rsid w:val="005E0180"/>
    <w:rsid w:val="005E0D1A"/>
    <w:rsid w:val="005E1BF6"/>
    <w:rsid w:val="005E4188"/>
    <w:rsid w:val="005E54AA"/>
    <w:rsid w:val="005E6A69"/>
    <w:rsid w:val="005E6A77"/>
    <w:rsid w:val="005E7F46"/>
    <w:rsid w:val="005F0B13"/>
    <w:rsid w:val="005F4C77"/>
    <w:rsid w:val="005F58C6"/>
    <w:rsid w:val="005F7B75"/>
    <w:rsid w:val="005F7DDA"/>
    <w:rsid w:val="006001EE"/>
    <w:rsid w:val="006009AF"/>
    <w:rsid w:val="00604C7D"/>
    <w:rsid w:val="00605042"/>
    <w:rsid w:val="006056AF"/>
    <w:rsid w:val="00605F84"/>
    <w:rsid w:val="00606B8D"/>
    <w:rsid w:val="00606EFA"/>
    <w:rsid w:val="00607B00"/>
    <w:rsid w:val="00610C3B"/>
    <w:rsid w:val="00611FC4"/>
    <w:rsid w:val="006163A1"/>
    <w:rsid w:val="006176FB"/>
    <w:rsid w:val="0061795B"/>
    <w:rsid w:val="00617DA4"/>
    <w:rsid w:val="006200E5"/>
    <w:rsid w:val="006201E2"/>
    <w:rsid w:val="00622F39"/>
    <w:rsid w:val="006235AE"/>
    <w:rsid w:val="00623FE6"/>
    <w:rsid w:val="00624C7D"/>
    <w:rsid w:val="00627450"/>
    <w:rsid w:val="00630417"/>
    <w:rsid w:val="0063128B"/>
    <w:rsid w:val="0063620C"/>
    <w:rsid w:val="00636342"/>
    <w:rsid w:val="006370A0"/>
    <w:rsid w:val="00640B26"/>
    <w:rsid w:val="00641A09"/>
    <w:rsid w:val="00650782"/>
    <w:rsid w:val="00652831"/>
    <w:rsid w:val="00652D0A"/>
    <w:rsid w:val="00656252"/>
    <w:rsid w:val="00656903"/>
    <w:rsid w:val="00656B98"/>
    <w:rsid w:val="00661F81"/>
    <w:rsid w:val="006623D5"/>
    <w:rsid w:val="00662BB6"/>
    <w:rsid w:val="00667D42"/>
    <w:rsid w:val="00667F8F"/>
    <w:rsid w:val="00673CF4"/>
    <w:rsid w:val="0067521C"/>
    <w:rsid w:val="006760DF"/>
    <w:rsid w:val="006762CE"/>
    <w:rsid w:val="0068077C"/>
    <w:rsid w:val="00680DDD"/>
    <w:rsid w:val="00681377"/>
    <w:rsid w:val="00684C21"/>
    <w:rsid w:val="00685383"/>
    <w:rsid w:val="00685E7E"/>
    <w:rsid w:val="0068782D"/>
    <w:rsid w:val="00690DCF"/>
    <w:rsid w:val="006915B1"/>
    <w:rsid w:val="0069232B"/>
    <w:rsid w:val="006928C7"/>
    <w:rsid w:val="00694688"/>
    <w:rsid w:val="006A2530"/>
    <w:rsid w:val="006A3674"/>
    <w:rsid w:val="006A3DB3"/>
    <w:rsid w:val="006A435E"/>
    <w:rsid w:val="006A4452"/>
    <w:rsid w:val="006A4FA6"/>
    <w:rsid w:val="006A576E"/>
    <w:rsid w:val="006A5CBF"/>
    <w:rsid w:val="006A6AC0"/>
    <w:rsid w:val="006A6F97"/>
    <w:rsid w:val="006B0399"/>
    <w:rsid w:val="006B09CF"/>
    <w:rsid w:val="006B102C"/>
    <w:rsid w:val="006B3A59"/>
    <w:rsid w:val="006B6BB5"/>
    <w:rsid w:val="006C18C7"/>
    <w:rsid w:val="006C208B"/>
    <w:rsid w:val="006C227F"/>
    <w:rsid w:val="006C3589"/>
    <w:rsid w:val="006C636D"/>
    <w:rsid w:val="006C6C32"/>
    <w:rsid w:val="006D16CA"/>
    <w:rsid w:val="006D1CFC"/>
    <w:rsid w:val="006D22FA"/>
    <w:rsid w:val="006D2F2C"/>
    <w:rsid w:val="006D35CB"/>
    <w:rsid w:val="006D37AF"/>
    <w:rsid w:val="006D51D0"/>
    <w:rsid w:val="006D6AB0"/>
    <w:rsid w:val="006D7393"/>
    <w:rsid w:val="006E0293"/>
    <w:rsid w:val="006E069B"/>
    <w:rsid w:val="006E1F12"/>
    <w:rsid w:val="006E5117"/>
    <w:rsid w:val="006E564B"/>
    <w:rsid w:val="006E5A69"/>
    <w:rsid w:val="006E6941"/>
    <w:rsid w:val="006E6DEC"/>
    <w:rsid w:val="006E7191"/>
    <w:rsid w:val="006F074A"/>
    <w:rsid w:val="006F0CE2"/>
    <w:rsid w:val="006F362D"/>
    <w:rsid w:val="006F7223"/>
    <w:rsid w:val="007012D6"/>
    <w:rsid w:val="0070159A"/>
    <w:rsid w:val="00701C1A"/>
    <w:rsid w:val="00703577"/>
    <w:rsid w:val="00704701"/>
    <w:rsid w:val="00705124"/>
    <w:rsid w:val="00705894"/>
    <w:rsid w:val="007106C3"/>
    <w:rsid w:val="0071357F"/>
    <w:rsid w:val="00713BE4"/>
    <w:rsid w:val="00713F97"/>
    <w:rsid w:val="00716C3D"/>
    <w:rsid w:val="00721659"/>
    <w:rsid w:val="007234B0"/>
    <w:rsid w:val="0072632A"/>
    <w:rsid w:val="00731EF3"/>
    <w:rsid w:val="00731FF0"/>
    <w:rsid w:val="007327D5"/>
    <w:rsid w:val="007327FF"/>
    <w:rsid w:val="00732C9F"/>
    <w:rsid w:val="00732D1D"/>
    <w:rsid w:val="007344E7"/>
    <w:rsid w:val="0074084E"/>
    <w:rsid w:val="0074107C"/>
    <w:rsid w:val="00742D12"/>
    <w:rsid w:val="00743B51"/>
    <w:rsid w:val="007447FC"/>
    <w:rsid w:val="00744CDE"/>
    <w:rsid w:val="0074739F"/>
    <w:rsid w:val="007605A3"/>
    <w:rsid w:val="00760E7B"/>
    <w:rsid w:val="007611CF"/>
    <w:rsid w:val="007629C8"/>
    <w:rsid w:val="007632C9"/>
    <w:rsid w:val="00763CF7"/>
    <w:rsid w:val="007646F7"/>
    <w:rsid w:val="00767A75"/>
    <w:rsid w:val="0077047D"/>
    <w:rsid w:val="0077061D"/>
    <w:rsid w:val="007716EC"/>
    <w:rsid w:val="007718A1"/>
    <w:rsid w:val="007743B0"/>
    <w:rsid w:val="007759EE"/>
    <w:rsid w:val="00775DFD"/>
    <w:rsid w:val="0078594F"/>
    <w:rsid w:val="00786800"/>
    <w:rsid w:val="007912ED"/>
    <w:rsid w:val="00792EE1"/>
    <w:rsid w:val="00794C56"/>
    <w:rsid w:val="00795746"/>
    <w:rsid w:val="00795C2B"/>
    <w:rsid w:val="007A5CCB"/>
    <w:rsid w:val="007B14B1"/>
    <w:rsid w:val="007B21B2"/>
    <w:rsid w:val="007B397B"/>
    <w:rsid w:val="007B4150"/>
    <w:rsid w:val="007B52A9"/>
    <w:rsid w:val="007B6A2F"/>
    <w:rsid w:val="007B6BA5"/>
    <w:rsid w:val="007B773A"/>
    <w:rsid w:val="007C12D9"/>
    <w:rsid w:val="007C1348"/>
    <w:rsid w:val="007C24DA"/>
    <w:rsid w:val="007C3390"/>
    <w:rsid w:val="007C3931"/>
    <w:rsid w:val="007C4F4B"/>
    <w:rsid w:val="007D1478"/>
    <w:rsid w:val="007D1C8D"/>
    <w:rsid w:val="007D46D5"/>
    <w:rsid w:val="007E01E9"/>
    <w:rsid w:val="007E4C3D"/>
    <w:rsid w:val="007E63F3"/>
    <w:rsid w:val="007F239A"/>
    <w:rsid w:val="007F62EC"/>
    <w:rsid w:val="007F6611"/>
    <w:rsid w:val="007F7106"/>
    <w:rsid w:val="007F7D07"/>
    <w:rsid w:val="007F7FC9"/>
    <w:rsid w:val="0080042D"/>
    <w:rsid w:val="008039B7"/>
    <w:rsid w:val="008117F0"/>
    <w:rsid w:val="00811920"/>
    <w:rsid w:val="00812E02"/>
    <w:rsid w:val="00815AD0"/>
    <w:rsid w:val="008242D7"/>
    <w:rsid w:val="00824425"/>
    <w:rsid w:val="00824B23"/>
    <w:rsid w:val="008257B1"/>
    <w:rsid w:val="00826AC7"/>
    <w:rsid w:val="00826E38"/>
    <w:rsid w:val="008270D4"/>
    <w:rsid w:val="00830761"/>
    <w:rsid w:val="00832325"/>
    <w:rsid w:val="00836B24"/>
    <w:rsid w:val="00837D2D"/>
    <w:rsid w:val="008426D9"/>
    <w:rsid w:val="00843767"/>
    <w:rsid w:val="00844AF2"/>
    <w:rsid w:val="00845982"/>
    <w:rsid w:val="00847AC6"/>
    <w:rsid w:val="00850150"/>
    <w:rsid w:val="008521A5"/>
    <w:rsid w:val="00852F62"/>
    <w:rsid w:val="00853682"/>
    <w:rsid w:val="00855088"/>
    <w:rsid w:val="008556E6"/>
    <w:rsid w:val="00855B64"/>
    <w:rsid w:val="008560D0"/>
    <w:rsid w:val="00857669"/>
    <w:rsid w:val="00860BAA"/>
    <w:rsid w:val="00860BC9"/>
    <w:rsid w:val="0086361C"/>
    <w:rsid w:val="00864EB8"/>
    <w:rsid w:val="0086589F"/>
    <w:rsid w:val="008679D9"/>
    <w:rsid w:val="00871389"/>
    <w:rsid w:val="00874CB6"/>
    <w:rsid w:val="008756E5"/>
    <w:rsid w:val="008761C5"/>
    <w:rsid w:val="008771F0"/>
    <w:rsid w:val="0088011D"/>
    <w:rsid w:val="00880B1D"/>
    <w:rsid w:val="00881C0C"/>
    <w:rsid w:val="00883999"/>
    <w:rsid w:val="0088520E"/>
    <w:rsid w:val="008857AB"/>
    <w:rsid w:val="00887076"/>
    <w:rsid w:val="008878DE"/>
    <w:rsid w:val="0089071D"/>
    <w:rsid w:val="00890B59"/>
    <w:rsid w:val="008959FA"/>
    <w:rsid w:val="00895BA2"/>
    <w:rsid w:val="00897832"/>
    <w:rsid w:val="008979B1"/>
    <w:rsid w:val="008A3D2D"/>
    <w:rsid w:val="008A6362"/>
    <w:rsid w:val="008A6B25"/>
    <w:rsid w:val="008A6C4F"/>
    <w:rsid w:val="008A74BB"/>
    <w:rsid w:val="008B2335"/>
    <w:rsid w:val="008B283A"/>
    <w:rsid w:val="008B2A53"/>
    <w:rsid w:val="008B3CF4"/>
    <w:rsid w:val="008B44AB"/>
    <w:rsid w:val="008B60D5"/>
    <w:rsid w:val="008B6EE5"/>
    <w:rsid w:val="008B717B"/>
    <w:rsid w:val="008B7241"/>
    <w:rsid w:val="008B7D57"/>
    <w:rsid w:val="008C0370"/>
    <w:rsid w:val="008C1AF0"/>
    <w:rsid w:val="008C28AC"/>
    <w:rsid w:val="008C3A79"/>
    <w:rsid w:val="008C688E"/>
    <w:rsid w:val="008C7CC3"/>
    <w:rsid w:val="008D36DC"/>
    <w:rsid w:val="008D36FF"/>
    <w:rsid w:val="008D49B8"/>
    <w:rsid w:val="008D4D5A"/>
    <w:rsid w:val="008D5F08"/>
    <w:rsid w:val="008D6CB9"/>
    <w:rsid w:val="008E0678"/>
    <w:rsid w:val="008E14AC"/>
    <w:rsid w:val="008E1909"/>
    <w:rsid w:val="008E1D08"/>
    <w:rsid w:val="008E5913"/>
    <w:rsid w:val="008E7526"/>
    <w:rsid w:val="008E7654"/>
    <w:rsid w:val="008F2192"/>
    <w:rsid w:val="008F52BC"/>
    <w:rsid w:val="008F598D"/>
    <w:rsid w:val="008F6783"/>
    <w:rsid w:val="008F733A"/>
    <w:rsid w:val="008F78C1"/>
    <w:rsid w:val="009001A0"/>
    <w:rsid w:val="00900CEC"/>
    <w:rsid w:val="00901B81"/>
    <w:rsid w:val="00902EA5"/>
    <w:rsid w:val="00902F30"/>
    <w:rsid w:val="00905419"/>
    <w:rsid w:val="009152F2"/>
    <w:rsid w:val="00916C30"/>
    <w:rsid w:val="0092181C"/>
    <w:rsid w:val="009219A1"/>
    <w:rsid w:val="00922084"/>
    <w:rsid w:val="0092212D"/>
    <w:rsid w:val="009223CA"/>
    <w:rsid w:val="00923D66"/>
    <w:rsid w:val="00923E9E"/>
    <w:rsid w:val="0092412B"/>
    <w:rsid w:val="0092447E"/>
    <w:rsid w:val="00926975"/>
    <w:rsid w:val="00940F93"/>
    <w:rsid w:val="0094558F"/>
    <w:rsid w:val="009502B2"/>
    <w:rsid w:val="009509F6"/>
    <w:rsid w:val="0095232F"/>
    <w:rsid w:val="00954A82"/>
    <w:rsid w:val="00955B0D"/>
    <w:rsid w:val="009614FF"/>
    <w:rsid w:val="00961690"/>
    <w:rsid w:val="00962302"/>
    <w:rsid w:val="00963CA9"/>
    <w:rsid w:val="00964ABE"/>
    <w:rsid w:val="0096570E"/>
    <w:rsid w:val="00966B2E"/>
    <w:rsid w:val="00966FD5"/>
    <w:rsid w:val="0097204D"/>
    <w:rsid w:val="00972233"/>
    <w:rsid w:val="009760F3"/>
    <w:rsid w:val="00976942"/>
    <w:rsid w:val="00977008"/>
    <w:rsid w:val="00977EB6"/>
    <w:rsid w:val="0098016D"/>
    <w:rsid w:val="00983728"/>
    <w:rsid w:val="009849FF"/>
    <w:rsid w:val="00986611"/>
    <w:rsid w:val="009869E5"/>
    <w:rsid w:val="00992BAC"/>
    <w:rsid w:val="00992FD6"/>
    <w:rsid w:val="00993B9D"/>
    <w:rsid w:val="00997657"/>
    <w:rsid w:val="009A0B10"/>
    <w:rsid w:val="009A0E8D"/>
    <w:rsid w:val="009A60B9"/>
    <w:rsid w:val="009A7858"/>
    <w:rsid w:val="009B1518"/>
    <w:rsid w:val="009B26E7"/>
    <w:rsid w:val="009B325E"/>
    <w:rsid w:val="009B63E9"/>
    <w:rsid w:val="009B6669"/>
    <w:rsid w:val="009B72E3"/>
    <w:rsid w:val="009C0AA9"/>
    <w:rsid w:val="009C2416"/>
    <w:rsid w:val="009C2DE9"/>
    <w:rsid w:val="009C2DFB"/>
    <w:rsid w:val="009C3EED"/>
    <w:rsid w:val="009C454F"/>
    <w:rsid w:val="009C6936"/>
    <w:rsid w:val="009C7219"/>
    <w:rsid w:val="009D1597"/>
    <w:rsid w:val="009D2A5B"/>
    <w:rsid w:val="009D38F8"/>
    <w:rsid w:val="009D43AC"/>
    <w:rsid w:val="009D51B2"/>
    <w:rsid w:val="009D612A"/>
    <w:rsid w:val="009D69F8"/>
    <w:rsid w:val="009E04DE"/>
    <w:rsid w:val="009E2692"/>
    <w:rsid w:val="009E5F33"/>
    <w:rsid w:val="009F19BB"/>
    <w:rsid w:val="009F1C6D"/>
    <w:rsid w:val="009F2F64"/>
    <w:rsid w:val="009F53EC"/>
    <w:rsid w:val="00A00A3F"/>
    <w:rsid w:val="00A01489"/>
    <w:rsid w:val="00A01B59"/>
    <w:rsid w:val="00A10513"/>
    <w:rsid w:val="00A11B59"/>
    <w:rsid w:val="00A11D2E"/>
    <w:rsid w:val="00A13B9D"/>
    <w:rsid w:val="00A2276D"/>
    <w:rsid w:val="00A24ABC"/>
    <w:rsid w:val="00A26487"/>
    <w:rsid w:val="00A264FA"/>
    <w:rsid w:val="00A3009E"/>
    <w:rsid w:val="00A3026E"/>
    <w:rsid w:val="00A30D2D"/>
    <w:rsid w:val="00A32E6D"/>
    <w:rsid w:val="00A338F1"/>
    <w:rsid w:val="00A36328"/>
    <w:rsid w:val="00A37205"/>
    <w:rsid w:val="00A37D04"/>
    <w:rsid w:val="00A435EF"/>
    <w:rsid w:val="00A45170"/>
    <w:rsid w:val="00A45B0F"/>
    <w:rsid w:val="00A46444"/>
    <w:rsid w:val="00A4734E"/>
    <w:rsid w:val="00A5232D"/>
    <w:rsid w:val="00A52B16"/>
    <w:rsid w:val="00A53C3B"/>
    <w:rsid w:val="00A57E6F"/>
    <w:rsid w:val="00A63986"/>
    <w:rsid w:val="00A645C2"/>
    <w:rsid w:val="00A65F4C"/>
    <w:rsid w:val="00A669DF"/>
    <w:rsid w:val="00A71990"/>
    <w:rsid w:val="00A722B7"/>
    <w:rsid w:val="00A72F22"/>
    <w:rsid w:val="00A7360F"/>
    <w:rsid w:val="00A748A6"/>
    <w:rsid w:val="00A74906"/>
    <w:rsid w:val="00A7668A"/>
    <w:rsid w:val="00A769F4"/>
    <w:rsid w:val="00A776B4"/>
    <w:rsid w:val="00A81407"/>
    <w:rsid w:val="00A82018"/>
    <w:rsid w:val="00A87404"/>
    <w:rsid w:val="00A8789C"/>
    <w:rsid w:val="00A9018D"/>
    <w:rsid w:val="00A9093D"/>
    <w:rsid w:val="00A90CB7"/>
    <w:rsid w:val="00A913AB"/>
    <w:rsid w:val="00A9142D"/>
    <w:rsid w:val="00A92421"/>
    <w:rsid w:val="00A92CD7"/>
    <w:rsid w:val="00A94361"/>
    <w:rsid w:val="00A95234"/>
    <w:rsid w:val="00A968DB"/>
    <w:rsid w:val="00A969E6"/>
    <w:rsid w:val="00AA293C"/>
    <w:rsid w:val="00AA6D94"/>
    <w:rsid w:val="00AA717F"/>
    <w:rsid w:val="00AA7289"/>
    <w:rsid w:val="00AB4359"/>
    <w:rsid w:val="00AB4630"/>
    <w:rsid w:val="00AB528E"/>
    <w:rsid w:val="00AB5CE0"/>
    <w:rsid w:val="00AB77FD"/>
    <w:rsid w:val="00AC3053"/>
    <w:rsid w:val="00AC31F0"/>
    <w:rsid w:val="00AD2496"/>
    <w:rsid w:val="00AD29F2"/>
    <w:rsid w:val="00AD37BF"/>
    <w:rsid w:val="00AD5A18"/>
    <w:rsid w:val="00AD5A49"/>
    <w:rsid w:val="00AD5D14"/>
    <w:rsid w:val="00AD6D2D"/>
    <w:rsid w:val="00AD73D1"/>
    <w:rsid w:val="00AE08DA"/>
    <w:rsid w:val="00AE4B50"/>
    <w:rsid w:val="00AE5817"/>
    <w:rsid w:val="00AE6935"/>
    <w:rsid w:val="00AF05E0"/>
    <w:rsid w:val="00AF15D0"/>
    <w:rsid w:val="00AF1E44"/>
    <w:rsid w:val="00AF23E1"/>
    <w:rsid w:val="00AF3993"/>
    <w:rsid w:val="00AF4CF2"/>
    <w:rsid w:val="00AF5D5A"/>
    <w:rsid w:val="00AF7ECA"/>
    <w:rsid w:val="00B0251C"/>
    <w:rsid w:val="00B0259A"/>
    <w:rsid w:val="00B03999"/>
    <w:rsid w:val="00B06716"/>
    <w:rsid w:val="00B077A1"/>
    <w:rsid w:val="00B103DC"/>
    <w:rsid w:val="00B11BB4"/>
    <w:rsid w:val="00B135D4"/>
    <w:rsid w:val="00B14534"/>
    <w:rsid w:val="00B1517F"/>
    <w:rsid w:val="00B1583D"/>
    <w:rsid w:val="00B158FC"/>
    <w:rsid w:val="00B15EC6"/>
    <w:rsid w:val="00B175D8"/>
    <w:rsid w:val="00B20AAE"/>
    <w:rsid w:val="00B20B83"/>
    <w:rsid w:val="00B22BC2"/>
    <w:rsid w:val="00B24351"/>
    <w:rsid w:val="00B24870"/>
    <w:rsid w:val="00B30179"/>
    <w:rsid w:val="00B3444F"/>
    <w:rsid w:val="00B36283"/>
    <w:rsid w:val="00B41694"/>
    <w:rsid w:val="00B421C1"/>
    <w:rsid w:val="00B42658"/>
    <w:rsid w:val="00B43743"/>
    <w:rsid w:val="00B445BC"/>
    <w:rsid w:val="00B4473A"/>
    <w:rsid w:val="00B451A0"/>
    <w:rsid w:val="00B46011"/>
    <w:rsid w:val="00B53196"/>
    <w:rsid w:val="00B55C71"/>
    <w:rsid w:val="00B56E4A"/>
    <w:rsid w:val="00B56E9C"/>
    <w:rsid w:val="00B61320"/>
    <w:rsid w:val="00B614E5"/>
    <w:rsid w:val="00B61688"/>
    <w:rsid w:val="00B63647"/>
    <w:rsid w:val="00B64B1F"/>
    <w:rsid w:val="00B6553F"/>
    <w:rsid w:val="00B70F1E"/>
    <w:rsid w:val="00B71E8C"/>
    <w:rsid w:val="00B737A1"/>
    <w:rsid w:val="00B76292"/>
    <w:rsid w:val="00B765D3"/>
    <w:rsid w:val="00B77D05"/>
    <w:rsid w:val="00B8002A"/>
    <w:rsid w:val="00B81206"/>
    <w:rsid w:val="00B81E12"/>
    <w:rsid w:val="00B83912"/>
    <w:rsid w:val="00B857E8"/>
    <w:rsid w:val="00B85EB1"/>
    <w:rsid w:val="00B90A31"/>
    <w:rsid w:val="00B91B6D"/>
    <w:rsid w:val="00B91BBD"/>
    <w:rsid w:val="00B95BE1"/>
    <w:rsid w:val="00BA152C"/>
    <w:rsid w:val="00BA3390"/>
    <w:rsid w:val="00BA3F79"/>
    <w:rsid w:val="00BA60C1"/>
    <w:rsid w:val="00BA6131"/>
    <w:rsid w:val="00BA7270"/>
    <w:rsid w:val="00BB14CB"/>
    <w:rsid w:val="00BB35EC"/>
    <w:rsid w:val="00BB6847"/>
    <w:rsid w:val="00BB6A5E"/>
    <w:rsid w:val="00BB7CD1"/>
    <w:rsid w:val="00BC3FA0"/>
    <w:rsid w:val="00BC437C"/>
    <w:rsid w:val="00BC5AE8"/>
    <w:rsid w:val="00BC74E9"/>
    <w:rsid w:val="00BC7BF7"/>
    <w:rsid w:val="00BD0ABD"/>
    <w:rsid w:val="00BD1F3A"/>
    <w:rsid w:val="00BD2F64"/>
    <w:rsid w:val="00BD4443"/>
    <w:rsid w:val="00BE0393"/>
    <w:rsid w:val="00BE08B7"/>
    <w:rsid w:val="00BE1F63"/>
    <w:rsid w:val="00BE3639"/>
    <w:rsid w:val="00BE41CB"/>
    <w:rsid w:val="00BE7508"/>
    <w:rsid w:val="00BF68A8"/>
    <w:rsid w:val="00C01721"/>
    <w:rsid w:val="00C04CD6"/>
    <w:rsid w:val="00C10368"/>
    <w:rsid w:val="00C10584"/>
    <w:rsid w:val="00C10FE6"/>
    <w:rsid w:val="00C11A03"/>
    <w:rsid w:val="00C1574C"/>
    <w:rsid w:val="00C17D89"/>
    <w:rsid w:val="00C21CA7"/>
    <w:rsid w:val="00C22C0C"/>
    <w:rsid w:val="00C22E7F"/>
    <w:rsid w:val="00C24661"/>
    <w:rsid w:val="00C24EC5"/>
    <w:rsid w:val="00C255AF"/>
    <w:rsid w:val="00C30C61"/>
    <w:rsid w:val="00C318FA"/>
    <w:rsid w:val="00C35502"/>
    <w:rsid w:val="00C35E95"/>
    <w:rsid w:val="00C36977"/>
    <w:rsid w:val="00C37D52"/>
    <w:rsid w:val="00C40B11"/>
    <w:rsid w:val="00C4114A"/>
    <w:rsid w:val="00C4527F"/>
    <w:rsid w:val="00C463DD"/>
    <w:rsid w:val="00C46EE0"/>
    <w:rsid w:val="00C4724C"/>
    <w:rsid w:val="00C50127"/>
    <w:rsid w:val="00C54517"/>
    <w:rsid w:val="00C611A3"/>
    <w:rsid w:val="00C61E0C"/>
    <w:rsid w:val="00C629A0"/>
    <w:rsid w:val="00C630DC"/>
    <w:rsid w:val="00C64629"/>
    <w:rsid w:val="00C64E5B"/>
    <w:rsid w:val="00C702BC"/>
    <w:rsid w:val="00C70816"/>
    <w:rsid w:val="00C7180B"/>
    <w:rsid w:val="00C74290"/>
    <w:rsid w:val="00C745C3"/>
    <w:rsid w:val="00C76F8B"/>
    <w:rsid w:val="00C76FBC"/>
    <w:rsid w:val="00C77239"/>
    <w:rsid w:val="00C87F68"/>
    <w:rsid w:val="00C91190"/>
    <w:rsid w:val="00C91BCB"/>
    <w:rsid w:val="00C92461"/>
    <w:rsid w:val="00C92531"/>
    <w:rsid w:val="00C9648D"/>
    <w:rsid w:val="00CA2696"/>
    <w:rsid w:val="00CA2C0A"/>
    <w:rsid w:val="00CA5225"/>
    <w:rsid w:val="00CA5D80"/>
    <w:rsid w:val="00CA6720"/>
    <w:rsid w:val="00CA7BC7"/>
    <w:rsid w:val="00CB09BB"/>
    <w:rsid w:val="00CB15F5"/>
    <w:rsid w:val="00CB32FC"/>
    <w:rsid w:val="00CB3A2F"/>
    <w:rsid w:val="00CB3E03"/>
    <w:rsid w:val="00CB5C88"/>
    <w:rsid w:val="00CB7A4F"/>
    <w:rsid w:val="00CC2494"/>
    <w:rsid w:val="00CC3A4A"/>
    <w:rsid w:val="00CC3D3E"/>
    <w:rsid w:val="00CC5576"/>
    <w:rsid w:val="00CC681F"/>
    <w:rsid w:val="00CC6FAC"/>
    <w:rsid w:val="00CD2761"/>
    <w:rsid w:val="00CD5F9F"/>
    <w:rsid w:val="00CD7173"/>
    <w:rsid w:val="00CE1043"/>
    <w:rsid w:val="00CE1CB7"/>
    <w:rsid w:val="00CE4A8F"/>
    <w:rsid w:val="00CE7517"/>
    <w:rsid w:val="00CF1314"/>
    <w:rsid w:val="00CF1510"/>
    <w:rsid w:val="00CF1DE8"/>
    <w:rsid w:val="00CF1EA8"/>
    <w:rsid w:val="00CF4580"/>
    <w:rsid w:val="00CF7195"/>
    <w:rsid w:val="00D004E1"/>
    <w:rsid w:val="00D029F2"/>
    <w:rsid w:val="00D07BBA"/>
    <w:rsid w:val="00D13700"/>
    <w:rsid w:val="00D1673D"/>
    <w:rsid w:val="00D17C86"/>
    <w:rsid w:val="00D17FC1"/>
    <w:rsid w:val="00D2031B"/>
    <w:rsid w:val="00D20704"/>
    <w:rsid w:val="00D22618"/>
    <w:rsid w:val="00D22EBF"/>
    <w:rsid w:val="00D25FE2"/>
    <w:rsid w:val="00D31CEE"/>
    <w:rsid w:val="00D33908"/>
    <w:rsid w:val="00D34503"/>
    <w:rsid w:val="00D34816"/>
    <w:rsid w:val="00D34BA1"/>
    <w:rsid w:val="00D3660A"/>
    <w:rsid w:val="00D36DEB"/>
    <w:rsid w:val="00D424B9"/>
    <w:rsid w:val="00D43252"/>
    <w:rsid w:val="00D437E0"/>
    <w:rsid w:val="00D43F92"/>
    <w:rsid w:val="00D44F87"/>
    <w:rsid w:val="00D453B5"/>
    <w:rsid w:val="00D45D69"/>
    <w:rsid w:val="00D47EEA"/>
    <w:rsid w:val="00D5106E"/>
    <w:rsid w:val="00D51C81"/>
    <w:rsid w:val="00D52B65"/>
    <w:rsid w:val="00D550D4"/>
    <w:rsid w:val="00D612D2"/>
    <w:rsid w:val="00D61A4C"/>
    <w:rsid w:val="00D63C5E"/>
    <w:rsid w:val="00D63F2E"/>
    <w:rsid w:val="00D659E0"/>
    <w:rsid w:val="00D72465"/>
    <w:rsid w:val="00D74E12"/>
    <w:rsid w:val="00D76D5E"/>
    <w:rsid w:val="00D773DF"/>
    <w:rsid w:val="00D84F6D"/>
    <w:rsid w:val="00D85042"/>
    <w:rsid w:val="00D872AC"/>
    <w:rsid w:val="00D90675"/>
    <w:rsid w:val="00D91C91"/>
    <w:rsid w:val="00D9255F"/>
    <w:rsid w:val="00D95303"/>
    <w:rsid w:val="00D978C6"/>
    <w:rsid w:val="00DA3C1C"/>
    <w:rsid w:val="00DA3C83"/>
    <w:rsid w:val="00DA40D9"/>
    <w:rsid w:val="00DB3512"/>
    <w:rsid w:val="00DB43D7"/>
    <w:rsid w:val="00DB56EC"/>
    <w:rsid w:val="00DB6CFA"/>
    <w:rsid w:val="00DB6F82"/>
    <w:rsid w:val="00DC0426"/>
    <w:rsid w:val="00DC1E81"/>
    <w:rsid w:val="00DC285F"/>
    <w:rsid w:val="00DC3393"/>
    <w:rsid w:val="00DC355D"/>
    <w:rsid w:val="00DD0868"/>
    <w:rsid w:val="00DD2523"/>
    <w:rsid w:val="00DD29BD"/>
    <w:rsid w:val="00DD31F7"/>
    <w:rsid w:val="00DD3F16"/>
    <w:rsid w:val="00DD5E0F"/>
    <w:rsid w:val="00DD5F1F"/>
    <w:rsid w:val="00DD6D38"/>
    <w:rsid w:val="00DE1A01"/>
    <w:rsid w:val="00DE1D53"/>
    <w:rsid w:val="00DE5AEE"/>
    <w:rsid w:val="00DF06AF"/>
    <w:rsid w:val="00DF0F0B"/>
    <w:rsid w:val="00DF0F1A"/>
    <w:rsid w:val="00DF64B9"/>
    <w:rsid w:val="00E022A5"/>
    <w:rsid w:val="00E046DF"/>
    <w:rsid w:val="00E10DE6"/>
    <w:rsid w:val="00E12456"/>
    <w:rsid w:val="00E14D60"/>
    <w:rsid w:val="00E15251"/>
    <w:rsid w:val="00E15557"/>
    <w:rsid w:val="00E17060"/>
    <w:rsid w:val="00E207E5"/>
    <w:rsid w:val="00E20A4B"/>
    <w:rsid w:val="00E22613"/>
    <w:rsid w:val="00E23872"/>
    <w:rsid w:val="00E240D2"/>
    <w:rsid w:val="00E244E4"/>
    <w:rsid w:val="00E27346"/>
    <w:rsid w:val="00E27970"/>
    <w:rsid w:val="00E27FE4"/>
    <w:rsid w:val="00E319BB"/>
    <w:rsid w:val="00E32D7C"/>
    <w:rsid w:val="00E372B5"/>
    <w:rsid w:val="00E43332"/>
    <w:rsid w:val="00E433C6"/>
    <w:rsid w:val="00E438F3"/>
    <w:rsid w:val="00E50065"/>
    <w:rsid w:val="00E524FD"/>
    <w:rsid w:val="00E52A77"/>
    <w:rsid w:val="00E55463"/>
    <w:rsid w:val="00E5677D"/>
    <w:rsid w:val="00E578A2"/>
    <w:rsid w:val="00E600DF"/>
    <w:rsid w:val="00E60CDC"/>
    <w:rsid w:val="00E62425"/>
    <w:rsid w:val="00E6325C"/>
    <w:rsid w:val="00E70778"/>
    <w:rsid w:val="00E71610"/>
    <w:rsid w:val="00E71B68"/>
    <w:rsid w:val="00E71BC8"/>
    <w:rsid w:val="00E7260F"/>
    <w:rsid w:val="00E7275C"/>
    <w:rsid w:val="00E73801"/>
    <w:rsid w:val="00E73F5D"/>
    <w:rsid w:val="00E7489E"/>
    <w:rsid w:val="00E77E4E"/>
    <w:rsid w:val="00E80144"/>
    <w:rsid w:val="00E804F1"/>
    <w:rsid w:val="00E81564"/>
    <w:rsid w:val="00E833F9"/>
    <w:rsid w:val="00E83EC1"/>
    <w:rsid w:val="00E8771C"/>
    <w:rsid w:val="00E902CF"/>
    <w:rsid w:val="00E918BD"/>
    <w:rsid w:val="00E94A28"/>
    <w:rsid w:val="00E9567E"/>
    <w:rsid w:val="00E96630"/>
    <w:rsid w:val="00E97AFF"/>
    <w:rsid w:val="00EA0D1A"/>
    <w:rsid w:val="00EA2A3D"/>
    <w:rsid w:val="00EA4E45"/>
    <w:rsid w:val="00EA63D6"/>
    <w:rsid w:val="00EA6722"/>
    <w:rsid w:val="00EB042F"/>
    <w:rsid w:val="00EB2D92"/>
    <w:rsid w:val="00EB4366"/>
    <w:rsid w:val="00EB4E36"/>
    <w:rsid w:val="00EB5778"/>
    <w:rsid w:val="00EB67CF"/>
    <w:rsid w:val="00EB77A3"/>
    <w:rsid w:val="00EC106A"/>
    <w:rsid w:val="00EC16F8"/>
    <w:rsid w:val="00EC1E8A"/>
    <w:rsid w:val="00EC2410"/>
    <w:rsid w:val="00EC368C"/>
    <w:rsid w:val="00EC3A21"/>
    <w:rsid w:val="00EC49D3"/>
    <w:rsid w:val="00EC5B7C"/>
    <w:rsid w:val="00EC61CF"/>
    <w:rsid w:val="00EC67BB"/>
    <w:rsid w:val="00EC7ABB"/>
    <w:rsid w:val="00ED076E"/>
    <w:rsid w:val="00ED15B9"/>
    <w:rsid w:val="00ED3F68"/>
    <w:rsid w:val="00ED6980"/>
    <w:rsid w:val="00ED7900"/>
    <w:rsid w:val="00ED7A2A"/>
    <w:rsid w:val="00EE30F8"/>
    <w:rsid w:val="00EE6B3A"/>
    <w:rsid w:val="00EE7F3B"/>
    <w:rsid w:val="00EF0973"/>
    <w:rsid w:val="00EF1D7F"/>
    <w:rsid w:val="00EF32B5"/>
    <w:rsid w:val="00EF6946"/>
    <w:rsid w:val="00EF6F51"/>
    <w:rsid w:val="00F03C85"/>
    <w:rsid w:val="00F044C0"/>
    <w:rsid w:val="00F04EEF"/>
    <w:rsid w:val="00F06206"/>
    <w:rsid w:val="00F152FB"/>
    <w:rsid w:val="00F160BB"/>
    <w:rsid w:val="00F2082E"/>
    <w:rsid w:val="00F20918"/>
    <w:rsid w:val="00F2515A"/>
    <w:rsid w:val="00F31B9E"/>
    <w:rsid w:val="00F31E5F"/>
    <w:rsid w:val="00F32BB7"/>
    <w:rsid w:val="00F361ED"/>
    <w:rsid w:val="00F37393"/>
    <w:rsid w:val="00F375E9"/>
    <w:rsid w:val="00F47134"/>
    <w:rsid w:val="00F47153"/>
    <w:rsid w:val="00F47EDC"/>
    <w:rsid w:val="00F51146"/>
    <w:rsid w:val="00F54424"/>
    <w:rsid w:val="00F57B36"/>
    <w:rsid w:val="00F60FA8"/>
    <w:rsid w:val="00F6100A"/>
    <w:rsid w:val="00F61C4E"/>
    <w:rsid w:val="00F63C9D"/>
    <w:rsid w:val="00F66565"/>
    <w:rsid w:val="00F715F6"/>
    <w:rsid w:val="00F72D0C"/>
    <w:rsid w:val="00F7323F"/>
    <w:rsid w:val="00F746BE"/>
    <w:rsid w:val="00F75A16"/>
    <w:rsid w:val="00F77A52"/>
    <w:rsid w:val="00F803B6"/>
    <w:rsid w:val="00F81694"/>
    <w:rsid w:val="00F90522"/>
    <w:rsid w:val="00F90641"/>
    <w:rsid w:val="00F910B4"/>
    <w:rsid w:val="00F919F8"/>
    <w:rsid w:val="00F92543"/>
    <w:rsid w:val="00F92A22"/>
    <w:rsid w:val="00F93781"/>
    <w:rsid w:val="00FA331B"/>
    <w:rsid w:val="00FA35AF"/>
    <w:rsid w:val="00FA5A33"/>
    <w:rsid w:val="00FA6DA6"/>
    <w:rsid w:val="00FA7F67"/>
    <w:rsid w:val="00FB0A4B"/>
    <w:rsid w:val="00FB0EB8"/>
    <w:rsid w:val="00FB0EEF"/>
    <w:rsid w:val="00FB2880"/>
    <w:rsid w:val="00FB613B"/>
    <w:rsid w:val="00FB7647"/>
    <w:rsid w:val="00FC3058"/>
    <w:rsid w:val="00FC3FAA"/>
    <w:rsid w:val="00FC68B7"/>
    <w:rsid w:val="00FD2318"/>
    <w:rsid w:val="00FD4923"/>
    <w:rsid w:val="00FE106A"/>
    <w:rsid w:val="00FE297E"/>
    <w:rsid w:val="00FE3BC2"/>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4F55B"/>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tabs>
        <w:tab w:val="clear" w:pos="1701"/>
        <w:tab w:val="num" w:pos="2438"/>
      </w:tabs>
      <w:spacing w:after="120"/>
      <w:ind w:left="2438"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uiPriority w:val="99"/>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aliases w:val="Liste à puce 1"/>
    <w:basedOn w:val="Normal"/>
    <w:link w:val="ListParagraphChar"/>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 w:type="paragraph" w:customStyle="1" w:styleId="Paragraphestandard">
    <w:name w:val="[Paragraphe standard]"/>
    <w:basedOn w:val="Normal"/>
    <w:uiPriority w:val="99"/>
    <w:rsid w:val="00B15EC6"/>
    <w:pPr>
      <w:suppressAutoHyphens w:val="0"/>
      <w:autoSpaceDE w:val="0"/>
      <w:autoSpaceDN w:val="0"/>
      <w:adjustRightInd w:val="0"/>
      <w:spacing w:line="288" w:lineRule="auto"/>
      <w:jc w:val="both"/>
      <w:textAlignment w:val="center"/>
    </w:pPr>
    <w:rPr>
      <w:rFonts w:ascii="Minion Pro" w:eastAsiaTheme="minorHAnsi" w:hAnsi="Minion Pro" w:cs="Minion Pro"/>
      <w:color w:val="000000"/>
      <w:sz w:val="24"/>
      <w:szCs w:val="24"/>
      <w:lang w:val="fr-FR"/>
    </w:rPr>
  </w:style>
  <w:style w:type="paragraph" w:styleId="Caption">
    <w:name w:val="caption"/>
    <w:aliases w:val=" Car Car Car, Car Car Car Car, Car Car Car Car Car, Car2, Car3,Caption_0,Car2,Légende Car Car,Légende Car1,Légende Car1 Car,Légende Car1 Car Car Car,Légende Car1 Car1 Car,Légende Car2 Car,Légende Car3,Légende1,Légende1 Car Car,annexes,annexes m"/>
    <w:basedOn w:val="Normal"/>
    <w:next w:val="Normal"/>
    <w:link w:val="CaptionChar"/>
    <w:uiPriority w:val="35"/>
    <w:unhideWhenUsed/>
    <w:qFormat/>
    <w:rsid w:val="00B15EC6"/>
    <w:pPr>
      <w:suppressAutoHyphens w:val="0"/>
      <w:spacing w:after="200" w:line="240" w:lineRule="auto"/>
      <w:jc w:val="center"/>
    </w:pPr>
    <w:rPr>
      <w:rFonts w:asciiTheme="minorHAnsi" w:eastAsiaTheme="minorHAnsi" w:hAnsiTheme="minorHAnsi" w:cstheme="minorBidi"/>
      <w:i/>
      <w:iCs/>
      <w:szCs w:val="18"/>
      <w:lang w:val="fr-FR"/>
    </w:rPr>
  </w:style>
  <w:style w:type="character" w:customStyle="1" w:styleId="CaptionChar">
    <w:name w:val="Caption Char"/>
    <w:aliases w:val=" Car Car Car Char, Car Car Car Car Char, Car Car Car Car Car Char, Car2 Char, Car3 Char,Caption_0 Char,Car2 Char,Légende Car Car Char,Légende Car1 Char,Légende Car1 Car Char,Légende Car1 Car Car Car Char,Légende Car1 Car1 Car Char"/>
    <w:basedOn w:val="DefaultParagraphFont"/>
    <w:link w:val="Caption"/>
    <w:uiPriority w:val="35"/>
    <w:rsid w:val="00B15EC6"/>
    <w:rPr>
      <w:rFonts w:asciiTheme="minorHAnsi" w:eastAsiaTheme="minorHAnsi" w:hAnsiTheme="minorHAnsi" w:cstheme="minorBidi"/>
      <w:i/>
      <w:iCs/>
      <w:szCs w:val="18"/>
      <w:lang w:eastAsia="en-US"/>
    </w:rPr>
  </w:style>
  <w:style w:type="character" w:customStyle="1" w:styleId="ListParagraphChar">
    <w:name w:val="List Paragraph Char"/>
    <w:aliases w:val="Liste à puce 1 Char"/>
    <w:basedOn w:val="DefaultParagraphFont"/>
    <w:link w:val="ListParagraph"/>
    <w:uiPriority w:val="34"/>
    <w:rsid w:val="00DE5AEE"/>
    <w:rPr>
      <w:rFonts w:ascii="Calibri" w:hAnsi="Calibr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3040">
      <w:bodyDiv w:val="1"/>
      <w:marLeft w:val="0"/>
      <w:marRight w:val="0"/>
      <w:marTop w:val="0"/>
      <w:marBottom w:val="0"/>
      <w:divBdr>
        <w:top w:val="none" w:sz="0" w:space="0" w:color="auto"/>
        <w:left w:val="none" w:sz="0" w:space="0" w:color="auto"/>
        <w:bottom w:val="none" w:sz="0" w:space="0" w:color="auto"/>
        <w:right w:val="none" w:sz="0" w:space="0" w:color="auto"/>
      </w:divBdr>
    </w:div>
    <w:div w:id="448204686">
      <w:bodyDiv w:val="1"/>
      <w:marLeft w:val="0"/>
      <w:marRight w:val="0"/>
      <w:marTop w:val="0"/>
      <w:marBottom w:val="0"/>
      <w:divBdr>
        <w:top w:val="none" w:sz="0" w:space="0" w:color="auto"/>
        <w:left w:val="none" w:sz="0" w:space="0" w:color="auto"/>
        <w:bottom w:val="none" w:sz="0" w:space="0" w:color="auto"/>
        <w:right w:val="none" w:sz="0" w:space="0" w:color="auto"/>
      </w:divBdr>
    </w:div>
    <w:div w:id="455372408">
      <w:bodyDiv w:val="1"/>
      <w:marLeft w:val="0"/>
      <w:marRight w:val="0"/>
      <w:marTop w:val="0"/>
      <w:marBottom w:val="0"/>
      <w:divBdr>
        <w:top w:val="none" w:sz="0" w:space="0" w:color="auto"/>
        <w:left w:val="none" w:sz="0" w:space="0" w:color="auto"/>
        <w:bottom w:val="none" w:sz="0" w:space="0" w:color="auto"/>
        <w:right w:val="none" w:sz="0" w:space="0" w:color="auto"/>
      </w:divBdr>
    </w:div>
    <w:div w:id="820578243">
      <w:bodyDiv w:val="1"/>
      <w:marLeft w:val="0"/>
      <w:marRight w:val="0"/>
      <w:marTop w:val="0"/>
      <w:marBottom w:val="0"/>
      <w:divBdr>
        <w:top w:val="none" w:sz="0" w:space="0" w:color="auto"/>
        <w:left w:val="none" w:sz="0" w:space="0" w:color="auto"/>
        <w:bottom w:val="none" w:sz="0" w:space="0" w:color="auto"/>
        <w:right w:val="none" w:sz="0" w:space="0" w:color="auto"/>
      </w:divBdr>
    </w:div>
    <w:div w:id="855924101">
      <w:bodyDiv w:val="1"/>
      <w:marLeft w:val="0"/>
      <w:marRight w:val="0"/>
      <w:marTop w:val="0"/>
      <w:marBottom w:val="0"/>
      <w:divBdr>
        <w:top w:val="none" w:sz="0" w:space="0" w:color="auto"/>
        <w:left w:val="none" w:sz="0" w:space="0" w:color="auto"/>
        <w:bottom w:val="none" w:sz="0" w:space="0" w:color="auto"/>
        <w:right w:val="none" w:sz="0" w:space="0" w:color="auto"/>
      </w:divBdr>
    </w:div>
    <w:div w:id="1199705777">
      <w:bodyDiv w:val="1"/>
      <w:marLeft w:val="0"/>
      <w:marRight w:val="0"/>
      <w:marTop w:val="0"/>
      <w:marBottom w:val="0"/>
      <w:divBdr>
        <w:top w:val="none" w:sz="0" w:space="0" w:color="auto"/>
        <w:left w:val="none" w:sz="0" w:space="0" w:color="auto"/>
        <w:bottom w:val="none" w:sz="0" w:space="0" w:color="auto"/>
        <w:right w:val="none" w:sz="0" w:space="0" w:color="auto"/>
      </w:divBdr>
    </w:div>
    <w:div w:id="18143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D9344-91FF-4395-A7D6-FB0ADBE790BE}">
  <ds:schemaRefs>
    <ds:schemaRef ds:uri="http://schemas.openxmlformats.org/officeDocument/2006/bibliography"/>
  </ds:schemaRefs>
</ds:datastoreItem>
</file>

<file path=customXml/itemProps2.xml><?xml version="1.0" encoding="utf-8"?>
<ds:datastoreItem xmlns:ds="http://schemas.openxmlformats.org/officeDocument/2006/customXml" ds:itemID="{9048F730-221B-429F-8E65-8ED0ACDD9D68}">
  <ds:schemaRefs>
    <ds:schemaRef ds:uri="http://schemas.microsoft.com/sharepoint/v3/contenttype/forms"/>
  </ds:schemaRefs>
</ds:datastoreItem>
</file>

<file path=customXml/itemProps3.xml><?xml version="1.0" encoding="utf-8"?>
<ds:datastoreItem xmlns:ds="http://schemas.openxmlformats.org/officeDocument/2006/customXml" ds:itemID="{1E28C35B-CBBA-4CA8-B562-D5517136B6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2766F7-1836-45F4-9D16-A3EA80CE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1498</Words>
  <Characters>8000</Characters>
  <Application>Microsoft Office Word</Application>
  <DocSecurity>0</DocSecurity>
  <Lines>145</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79</cp:revision>
  <cp:lastPrinted>2020-10-28T15:45:00Z</cp:lastPrinted>
  <dcterms:created xsi:type="dcterms:W3CDTF">2022-03-10T21:22:00Z</dcterms:created>
  <dcterms:modified xsi:type="dcterms:W3CDTF">2022-03-11T08:33:00Z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