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CCA6D04" w14:textId="77777777" w:rsidTr="00C97039">
        <w:trPr>
          <w:trHeight w:hRule="exact" w:val="851"/>
        </w:trPr>
        <w:tc>
          <w:tcPr>
            <w:tcW w:w="1276" w:type="dxa"/>
            <w:tcBorders>
              <w:bottom w:val="single" w:sz="4" w:space="0" w:color="auto"/>
            </w:tcBorders>
          </w:tcPr>
          <w:p w14:paraId="45FA0967" w14:textId="77777777" w:rsidR="00F35BAF" w:rsidRPr="00DB58B5" w:rsidRDefault="00F35BAF" w:rsidP="008221D6"/>
        </w:tc>
        <w:tc>
          <w:tcPr>
            <w:tcW w:w="2268" w:type="dxa"/>
            <w:tcBorders>
              <w:bottom w:val="single" w:sz="4" w:space="0" w:color="auto"/>
            </w:tcBorders>
            <w:vAlign w:val="bottom"/>
          </w:tcPr>
          <w:p w14:paraId="24479BB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2EB45E" w14:textId="1A0DCC4C" w:rsidR="00F35BAF" w:rsidRPr="00DB58B5" w:rsidRDefault="008221D6" w:rsidP="008221D6">
            <w:pPr>
              <w:jc w:val="right"/>
            </w:pPr>
            <w:r w:rsidRPr="008221D6">
              <w:rPr>
                <w:sz w:val="40"/>
              </w:rPr>
              <w:t>ECE</w:t>
            </w:r>
            <w:r>
              <w:t>/TRANS/WP.15/257/Add.1</w:t>
            </w:r>
          </w:p>
        </w:tc>
      </w:tr>
      <w:tr w:rsidR="00F35BAF" w:rsidRPr="00DB58B5" w14:paraId="6546A87E" w14:textId="77777777" w:rsidTr="00C97039">
        <w:trPr>
          <w:trHeight w:hRule="exact" w:val="2835"/>
        </w:trPr>
        <w:tc>
          <w:tcPr>
            <w:tcW w:w="1276" w:type="dxa"/>
            <w:tcBorders>
              <w:top w:val="single" w:sz="4" w:space="0" w:color="auto"/>
              <w:bottom w:val="single" w:sz="12" w:space="0" w:color="auto"/>
            </w:tcBorders>
          </w:tcPr>
          <w:p w14:paraId="1CC4F764" w14:textId="77777777" w:rsidR="00F35BAF" w:rsidRPr="00DB58B5" w:rsidRDefault="00F35BAF" w:rsidP="00C97039">
            <w:pPr>
              <w:spacing w:before="120"/>
              <w:jc w:val="center"/>
            </w:pPr>
            <w:r>
              <w:rPr>
                <w:noProof/>
                <w:lang w:eastAsia="fr-CH"/>
              </w:rPr>
              <w:drawing>
                <wp:inline distT="0" distB="0" distL="0" distR="0" wp14:anchorId="5F4FDF03" wp14:editId="162B56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536F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48ED7B" w14:textId="77777777" w:rsidR="00F35BAF" w:rsidRDefault="008221D6" w:rsidP="00C97039">
            <w:pPr>
              <w:spacing w:before="240"/>
            </w:pPr>
            <w:r>
              <w:t>Distr. générale</w:t>
            </w:r>
          </w:p>
          <w:p w14:paraId="0FD33374" w14:textId="77777777" w:rsidR="008221D6" w:rsidRDefault="008221D6" w:rsidP="008221D6">
            <w:pPr>
              <w:spacing w:line="240" w:lineRule="exact"/>
            </w:pPr>
            <w:r>
              <w:t>25 février 2022</w:t>
            </w:r>
          </w:p>
          <w:p w14:paraId="127705AF" w14:textId="77777777" w:rsidR="008221D6" w:rsidRDefault="008221D6" w:rsidP="008221D6">
            <w:pPr>
              <w:spacing w:line="240" w:lineRule="exact"/>
            </w:pPr>
            <w:r>
              <w:t>Français</w:t>
            </w:r>
          </w:p>
          <w:p w14:paraId="5AD62B44" w14:textId="59791F67" w:rsidR="008221D6" w:rsidRPr="00DB58B5" w:rsidRDefault="008221D6" w:rsidP="008221D6">
            <w:pPr>
              <w:spacing w:line="240" w:lineRule="exact"/>
            </w:pPr>
            <w:r>
              <w:t>Original : anglais</w:t>
            </w:r>
          </w:p>
        </w:tc>
      </w:tr>
    </w:tbl>
    <w:p w14:paraId="62BACCFA" w14:textId="77777777" w:rsidR="007F20FA" w:rsidRPr="000312C0" w:rsidRDefault="007F20FA" w:rsidP="007F20FA">
      <w:pPr>
        <w:spacing w:before="120"/>
        <w:rPr>
          <w:b/>
          <w:sz w:val="28"/>
          <w:szCs w:val="28"/>
        </w:rPr>
      </w:pPr>
      <w:r w:rsidRPr="000312C0">
        <w:rPr>
          <w:b/>
          <w:sz w:val="28"/>
          <w:szCs w:val="28"/>
        </w:rPr>
        <w:t>Commission économique pour l’Europe</w:t>
      </w:r>
    </w:p>
    <w:p w14:paraId="33567F8B" w14:textId="77777777" w:rsidR="007F20FA" w:rsidRDefault="007F20FA" w:rsidP="007F20FA">
      <w:pPr>
        <w:spacing w:before="120"/>
        <w:rPr>
          <w:sz w:val="28"/>
          <w:szCs w:val="28"/>
        </w:rPr>
      </w:pPr>
      <w:r w:rsidRPr="00685843">
        <w:rPr>
          <w:sz w:val="28"/>
          <w:szCs w:val="28"/>
        </w:rPr>
        <w:t>Comité des transports intérieurs</w:t>
      </w:r>
    </w:p>
    <w:p w14:paraId="0341F074" w14:textId="77777777" w:rsidR="008221D6" w:rsidRPr="009E01B8" w:rsidRDefault="008221D6" w:rsidP="00E85C74">
      <w:pPr>
        <w:spacing w:before="120"/>
        <w:rPr>
          <w:b/>
          <w:sz w:val="24"/>
          <w:szCs w:val="24"/>
        </w:rPr>
      </w:pPr>
      <w:r w:rsidRPr="009E01B8">
        <w:rPr>
          <w:b/>
          <w:sz w:val="24"/>
          <w:szCs w:val="24"/>
        </w:rPr>
        <w:t>Groupe de travail des transports de marchandises dangereuses</w:t>
      </w:r>
    </w:p>
    <w:p w14:paraId="11D6F0B5" w14:textId="77777777" w:rsidR="008221D6" w:rsidRPr="00864555" w:rsidRDefault="008221D6" w:rsidP="008221D6">
      <w:pPr>
        <w:spacing w:before="120" w:line="276" w:lineRule="auto"/>
        <w:rPr>
          <w:rFonts w:eastAsia="SimSun"/>
          <w:b/>
          <w:lang w:val="fr-FR"/>
        </w:rPr>
      </w:pPr>
      <w:r>
        <w:rPr>
          <w:b/>
          <w:bCs/>
          <w:lang w:val="fr-FR"/>
        </w:rPr>
        <w:t>111</w:t>
      </w:r>
      <w:r>
        <w:rPr>
          <w:b/>
          <w:bCs/>
          <w:vertAlign w:val="superscript"/>
          <w:lang w:val="fr-FR"/>
        </w:rPr>
        <w:t>e</w:t>
      </w:r>
      <w:r>
        <w:rPr>
          <w:b/>
          <w:bCs/>
          <w:lang w:val="fr-FR"/>
        </w:rPr>
        <w:t xml:space="preserve"> session</w:t>
      </w:r>
      <w:r>
        <w:rPr>
          <w:lang w:val="fr-FR"/>
        </w:rPr>
        <w:t xml:space="preserve"> </w:t>
      </w:r>
    </w:p>
    <w:p w14:paraId="7DDD1090" w14:textId="77777777" w:rsidR="008221D6" w:rsidRPr="00864555" w:rsidRDefault="008221D6" w:rsidP="008221D6">
      <w:pPr>
        <w:spacing w:line="276" w:lineRule="auto"/>
        <w:rPr>
          <w:rFonts w:eastAsia="SimSun"/>
          <w:lang w:val="fr-FR"/>
        </w:rPr>
      </w:pPr>
      <w:r>
        <w:rPr>
          <w:lang w:val="fr-FR"/>
        </w:rPr>
        <w:t>Genève, 9-13 mai 2022</w:t>
      </w:r>
    </w:p>
    <w:p w14:paraId="642E101B" w14:textId="77777777" w:rsidR="00285130" w:rsidRPr="00F85B81" w:rsidRDefault="00285130" w:rsidP="00285130">
      <w:pPr>
        <w:rPr>
          <w:lang w:val="fr-FR"/>
        </w:rPr>
      </w:pPr>
      <w:r>
        <w:rPr>
          <w:lang w:val="fr-FR"/>
        </w:rPr>
        <w:t>Point 1 de l’ordre du jour provisoire</w:t>
      </w:r>
    </w:p>
    <w:p w14:paraId="562CBABE" w14:textId="77777777" w:rsidR="00285130" w:rsidRPr="00F85B81" w:rsidRDefault="00285130" w:rsidP="00285130">
      <w:pPr>
        <w:rPr>
          <w:b/>
          <w:lang w:val="fr-FR"/>
        </w:rPr>
      </w:pPr>
      <w:r>
        <w:rPr>
          <w:b/>
          <w:bCs/>
          <w:lang w:val="fr-FR"/>
        </w:rPr>
        <w:t>Adoption de l’ordre du jour</w:t>
      </w:r>
    </w:p>
    <w:p w14:paraId="0D04EA30" w14:textId="77777777" w:rsidR="00285130" w:rsidRPr="00F85B81" w:rsidRDefault="00285130" w:rsidP="00285130">
      <w:pPr>
        <w:pStyle w:val="HChG"/>
        <w:rPr>
          <w:lang w:val="fr-FR"/>
        </w:rPr>
      </w:pPr>
      <w:r>
        <w:rPr>
          <w:lang w:val="fr-FR"/>
        </w:rPr>
        <w:tab/>
      </w:r>
      <w:r>
        <w:rPr>
          <w:lang w:val="fr-FR"/>
        </w:rPr>
        <w:tab/>
        <w:t>Ordre du jour provisoire de la 111</w:t>
      </w:r>
      <w:r>
        <w:rPr>
          <w:vertAlign w:val="superscript"/>
          <w:lang w:val="fr-FR"/>
        </w:rPr>
        <w:t>e</w:t>
      </w:r>
      <w:r>
        <w:rPr>
          <w:lang w:val="fr-FR"/>
        </w:rPr>
        <w:t xml:space="preserve"> session</w:t>
      </w:r>
    </w:p>
    <w:p w14:paraId="1098DAC7" w14:textId="77777777" w:rsidR="00285130" w:rsidRPr="00F85B81" w:rsidRDefault="00285130" w:rsidP="00285130">
      <w:pPr>
        <w:pStyle w:val="H23G"/>
        <w:rPr>
          <w:lang w:val="fr-FR"/>
        </w:rPr>
      </w:pPr>
      <w:r>
        <w:rPr>
          <w:lang w:val="fr-FR"/>
        </w:rPr>
        <w:tab/>
      </w:r>
      <w:r>
        <w:rPr>
          <w:lang w:val="fr-FR"/>
        </w:rPr>
        <w:tab/>
        <w:t>Additif</w:t>
      </w:r>
    </w:p>
    <w:p w14:paraId="530DC5A1" w14:textId="77777777" w:rsidR="00285130" w:rsidRPr="00F85B81" w:rsidRDefault="00285130" w:rsidP="00285130">
      <w:pPr>
        <w:pStyle w:val="H1G"/>
        <w:rPr>
          <w:lang w:val="fr-FR"/>
        </w:rPr>
      </w:pPr>
      <w:r>
        <w:rPr>
          <w:lang w:val="fr-FR"/>
        </w:rPr>
        <w:tab/>
      </w:r>
      <w:r>
        <w:rPr>
          <w:lang w:val="fr-FR"/>
        </w:rPr>
        <w:tab/>
        <w:t>Annotations et liste des documents</w:t>
      </w:r>
    </w:p>
    <w:p w14:paraId="52639A50" w14:textId="77777777" w:rsidR="00285130" w:rsidRPr="000A1785" w:rsidRDefault="00285130" w:rsidP="00285130">
      <w:pPr>
        <w:pStyle w:val="HChG"/>
      </w:pPr>
      <w:r>
        <w:rPr>
          <w:lang w:val="fr-FR"/>
        </w:rPr>
        <w:tab/>
        <w:t>1.</w:t>
      </w:r>
      <w:r>
        <w:rPr>
          <w:lang w:val="fr-FR"/>
        </w:rPr>
        <w:tab/>
        <w:t>Adoption de l’ordre du jour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10D33CCC" w14:textId="77777777" w:rsidTr="001B5F7B">
        <w:trPr>
          <w:cantSplit/>
        </w:trPr>
        <w:tc>
          <w:tcPr>
            <w:tcW w:w="3402" w:type="dxa"/>
            <w:shd w:val="clear" w:color="auto" w:fill="auto"/>
          </w:tcPr>
          <w:p w14:paraId="5223CD52" w14:textId="77777777" w:rsidR="00285130" w:rsidRPr="00E11E70" w:rsidRDefault="00285130" w:rsidP="00285130">
            <w:pPr>
              <w:spacing w:after="120"/>
            </w:pPr>
            <w:r>
              <w:rPr>
                <w:lang w:val="fr-FR"/>
              </w:rPr>
              <w:t>ECE/TRANS/WP.15/257</w:t>
            </w:r>
          </w:p>
        </w:tc>
        <w:tc>
          <w:tcPr>
            <w:tcW w:w="3969" w:type="dxa"/>
            <w:shd w:val="clear" w:color="auto" w:fill="auto"/>
          </w:tcPr>
          <w:p w14:paraId="4288AFF6" w14:textId="77777777" w:rsidR="00285130" w:rsidRPr="00F85B81" w:rsidRDefault="00285130" w:rsidP="00285130">
            <w:pPr>
              <w:spacing w:after="120"/>
              <w:rPr>
                <w:lang w:val="fr-FR"/>
              </w:rPr>
            </w:pPr>
            <w:r>
              <w:rPr>
                <w:lang w:val="fr-FR"/>
              </w:rPr>
              <w:t>Ordre du jour provisoire de la 111</w:t>
            </w:r>
            <w:r>
              <w:rPr>
                <w:vertAlign w:val="superscript"/>
                <w:lang w:val="fr-FR"/>
              </w:rPr>
              <w:t>e</w:t>
            </w:r>
            <w:r>
              <w:rPr>
                <w:lang w:val="fr-FR"/>
              </w:rPr>
              <w:t xml:space="preserve"> session</w:t>
            </w:r>
          </w:p>
        </w:tc>
      </w:tr>
      <w:tr w:rsidR="00285130" w:rsidRPr="000A1785" w14:paraId="139A0258" w14:textId="77777777" w:rsidTr="001B5F7B">
        <w:trPr>
          <w:cantSplit/>
        </w:trPr>
        <w:tc>
          <w:tcPr>
            <w:tcW w:w="3402" w:type="dxa"/>
            <w:shd w:val="clear" w:color="auto" w:fill="auto"/>
          </w:tcPr>
          <w:p w14:paraId="12D01C14" w14:textId="77777777" w:rsidR="00285130" w:rsidRPr="00E11E70" w:rsidRDefault="00285130" w:rsidP="00285130">
            <w:pPr>
              <w:spacing w:after="120"/>
            </w:pPr>
            <w:r>
              <w:rPr>
                <w:lang w:val="fr-FR"/>
              </w:rPr>
              <w:t>ECE/TRANS/WP.15/257/Add.1</w:t>
            </w:r>
          </w:p>
        </w:tc>
        <w:tc>
          <w:tcPr>
            <w:tcW w:w="3969" w:type="dxa"/>
            <w:shd w:val="clear" w:color="auto" w:fill="auto"/>
          </w:tcPr>
          <w:p w14:paraId="54D1E70F" w14:textId="77777777" w:rsidR="00285130" w:rsidRPr="00F85B81" w:rsidRDefault="00285130" w:rsidP="00285130">
            <w:pPr>
              <w:spacing w:after="120"/>
              <w:rPr>
                <w:lang w:val="fr-FR"/>
              </w:rPr>
            </w:pPr>
            <w:r>
              <w:rPr>
                <w:lang w:val="fr-FR"/>
              </w:rPr>
              <w:t>Annotations et liste des documents</w:t>
            </w:r>
          </w:p>
        </w:tc>
      </w:tr>
    </w:tbl>
    <w:p w14:paraId="16589FEC" w14:textId="77777777" w:rsidR="00285130" w:rsidRPr="00E11E70" w:rsidRDefault="00285130" w:rsidP="00285130">
      <w:pPr>
        <w:pStyle w:val="H23G"/>
        <w:rPr>
          <w:sz w:val="24"/>
        </w:rPr>
      </w:pPr>
      <w:r>
        <w:rPr>
          <w:lang w:val="fr-FR"/>
        </w:rPr>
        <w:tab/>
      </w:r>
      <w:r>
        <w:rPr>
          <w:lang w:val="fr-FR"/>
        </w:rPr>
        <w:tab/>
        <w:t>Documents de référence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0AB5B586" w14:textId="77777777" w:rsidTr="001B5F7B">
        <w:trPr>
          <w:cantSplit/>
        </w:trPr>
        <w:tc>
          <w:tcPr>
            <w:tcW w:w="3402" w:type="dxa"/>
            <w:shd w:val="clear" w:color="auto" w:fill="auto"/>
          </w:tcPr>
          <w:p w14:paraId="60FBCBD1" w14:textId="77777777" w:rsidR="00285130" w:rsidRPr="00E11E70" w:rsidRDefault="00285130" w:rsidP="00285130">
            <w:pPr>
              <w:spacing w:after="120"/>
              <w:rPr>
                <w:b/>
              </w:rPr>
            </w:pPr>
            <w:r>
              <w:rPr>
                <w:lang w:val="fr-FR"/>
              </w:rPr>
              <w:t>ECE/TRANS/WP.15/190/Add.1</w:t>
            </w:r>
          </w:p>
        </w:tc>
        <w:tc>
          <w:tcPr>
            <w:tcW w:w="3969" w:type="dxa"/>
            <w:shd w:val="clear" w:color="auto" w:fill="auto"/>
          </w:tcPr>
          <w:p w14:paraId="36C6FBC6" w14:textId="77777777" w:rsidR="00285130" w:rsidRPr="00F85B81" w:rsidRDefault="00285130" w:rsidP="00285130">
            <w:pPr>
              <w:spacing w:after="120"/>
              <w:rPr>
                <w:b/>
                <w:lang w:val="fr-FR"/>
              </w:rPr>
            </w:pPr>
            <w:r>
              <w:rPr>
                <w:lang w:val="fr-FR"/>
              </w:rPr>
              <w:t>Mandat et Règlement intérieur du Groupe de travail des transports de marchandises dangereuses (WP.15)</w:t>
            </w:r>
          </w:p>
        </w:tc>
      </w:tr>
      <w:tr w:rsidR="00285130" w:rsidRPr="000A1785" w14:paraId="5C4DCD8D" w14:textId="77777777" w:rsidTr="001B5F7B">
        <w:trPr>
          <w:cantSplit/>
        </w:trPr>
        <w:tc>
          <w:tcPr>
            <w:tcW w:w="3402" w:type="dxa"/>
            <w:shd w:val="clear" w:color="auto" w:fill="auto"/>
          </w:tcPr>
          <w:p w14:paraId="780179F1" w14:textId="77777777" w:rsidR="00285130" w:rsidRPr="00E11E70" w:rsidRDefault="00285130" w:rsidP="00285130">
            <w:pPr>
              <w:spacing w:after="120"/>
            </w:pPr>
            <w:r>
              <w:rPr>
                <w:lang w:val="fr-FR"/>
              </w:rPr>
              <w:t>ECE/TRANS/WP.15/255</w:t>
            </w:r>
          </w:p>
        </w:tc>
        <w:tc>
          <w:tcPr>
            <w:tcW w:w="3969" w:type="dxa"/>
            <w:shd w:val="clear" w:color="auto" w:fill="auto"/>
          </w:tcPr>
          <w:p w14:paraId="6BB00F74" w14:textId="77777777" w:rsidR="00285130" w:rsidRPr="00F85B81" w:rsidRDefault="00285130" w:rsidP="00285130">
            <w:pPr>
              <w:spacing w:after="120"/>
              <w:rPr>
                <w:lang w:val="fr-FR"/>
              </w:rPr>
            </w:pPr>
            <w:r>
              <w:rPr>
                <w:lang w:val="fr-FR"/>
              </w:rPr>
              <w:t>Rapport du Groupe de travail sur sa 110</w:t>
            </w:r>
            <w:r>
              <w:rPr>
                <w:vertAlign w:val="superscript"/>
                <w:lang w:val="fr-FR"/>
              </w:rPr>
              <w:t>e</w:t>
            </w:r>
            <w:r>
              <w:rPr>
                <w:lang w:val="fr-FR"/>
              </w:rPr>
              <w:t xml:space="preserve"> session (Genève, 8-12 novembre 2021)</w:t>
            </w:r>
          </w:p>
        </w:tc>
      </w:tr>
      <w:tr w:rsidR="00285130" w:rsidRPr="000A1785" w14:paraId="012CFB20" w14:textId="77777777" w:rsidTr="001B5F7B">
        <w:trPr>
          <w:cantSplit/>
        </w:trPr>
        <w:tc>
          <w:tcPr>
            <w:tcW w:w="3402" w:type="dxa"/>
            <w:shd w:val="clear" w:color="auto" w:fill="auto"/>
          </w:tcPr>
          <w:p w14:paraId="2FD3702B" w14:textId="77777777" w:rsidR="00285130" w:rsidRPr="00F85B81" w:rsidRDefault="00285130" w:rsidP="00285130">
            <w:pPr>
              <w:spacing w:after="120"/>
              <w:rPr>
                <w:lang w:val="fr-FR"/>
              </w:rPr>
            </w:pPr>
            <w:r>
              <w:rPr>
                <w:lang w:val="fr-FR"/>
              </w:rPr>
              <w:t>ECE/TRANS/300 et Corr.1 à 3</w:t>
            </w:r>
          </w:p>
        </w:tc>
        <w:tc>
          <w:tcPr>
            <w:tcW w:w="3969" w:type="dxa"/>
            <w:shd w:val="clear" w:color="auto" w:fill="auto"/>
          </w:tcPr>
          <w:p w14:paraId="5D82E235" w14:textId="77777777" w:rsidR="00285130" w:rsidRPr="00F85B81" w:rsidRDefault="00285130" w:rsidP="00285130">
            <w:pPr>
              <w:spacing w:after="120"/>
              <w:rPr>
                <w:lang w:val="fr-FR"/>
              </w:rPr>
            </w:pPr>
            <w:r>
              <w:rPr>
                <w:lang w:val="fr-FR"/>
              </w:rPr>
              <w:t>Accord relatif au transport international des marchandises dangereuses par route (ADR), en vigueur le 1</w:t>
            </w:r>
            <w:r>
              <w:rPr>
                <w:vertAlign w:val="superscript"/>
                <w:lang w:val="fr-FR"/>
              </w:rPr>
              <w:t>er</w:t>
            </w:r>
            <w:r>
              <w:rPr>
                <w:lang w:val="fr-FR"/>
              </w:rPr>
              <w:t> janvier 2021</w:t>
            </w:r>
          </w:p>
        </w:tc>
      </w:tr>
      <w:tr w:rsidR="00285130" w:rsidRPr="000A1785" w14:paraId="2B749C26" w14:textId="77777777" w:rsidTr="001B5F7B">
        <w:trPr>
          <w:cantSplit/>
        </w:trPr>
        <w:tc>
          <w:tcPr>
            <w:tcW w:w="3402" w:type="dxa"/>
            <w:shd w:val="clear" w:color="auto" w:fill="auto"/>
          </w:tcPr>
          <w:p w14:paraId="35AAB55F" w14:textId="77777777" w:rsidR="00285130" w:rsidRPr="00E11E70" w:rsidRDefault="00285130" w:rsidP="00285130">
            <w:pPr>
              <w:spacing w:after="120"/>
            </w:pPr>
            <w:r>
              <w:rPr>
                <w:lang w:val="fr-FR"/>
              </w:rPr>
              <w:t>ECE/TRANS/WP.15/256</w:t>
            </w:r>
          </w:p>
        </w:tc>
        <w:tc>
          <w:tcPr>
            <w:tcW w:w="3969" w:type="dxa"/>
            <w:shd w:val="clear" w:color="auto" w:fill="auto"/>
          </w:tcPr>
          <w:p w14:paraId="70FCC092" w14:textId="77777777" w:rsidR="00285130" w:rsidRPr="00F85B81" w:rsidRDefault="00285130" w:rsidP="00285130">
            <w:pPr>
              <w:spacing w:after="120"/>
              <w:rPr>
                <w:lang w:val="fr-FR"/>
              </w:rPr>
            </w:pPr>
            <w:r>
              <w:rPr>
                <w:lang w:val="fr-FR"/>
              </w:rPr>
              <w:t>Projet d’amendements aux annexes A et B de l’ADR</w:t>
            </w:r>
          </w:p>
        </w:tc>
      </w:tr>
    </w:tbl>
    <w:p w14:paraId="33972211" w14:textId="77777777" w:rsidR="00285130" w:rsidRPr="00F85B81" w:rsidRDefault="00285130" w:rsidP="00285130">
      <w:pPr>
        <w:pStyle w:val="HChG"/>
        <w:rPr>
          <w:lang w:val="fr-FR"/>
        </w:rPr>
      </w:pPr>
      <w:r>
        <w:rPr>
          <w:lang w:val="fr-FR"/>
        </w:rPr>
        <w:tab/>
        <w:t>2.</w:t>
      </w:r>
      <w:r>
        <w:rPr>
          <w:lang w:val="fr-FR"/>
        </w:rPr>
        <w:tab/>
        <w:t>Quatre-vingt-quatrième session du Comité des transports intérieurs</w:t>
      </w:r>
    </w:p>
    <w:p w14:paraId="4802ABDC" w14:textId="77777777" w:rsidR="00285130" w:rsidRPr="00F85B81" w:rsidRDefault="00285130" w:rsidP="00285130">
      <w:pPr>
        <w:pStyle w:val="SingleTxtG"/>
        <w:rPr>
          <w:lang w:val="fr-FR"/>
        </w:rPr>
      </w:pPr>
      <w:r>
        <w:rPr>
          <w:lang w:val="fr-FR"/>
        </w:rPr>
        <w:tab/>
      </w:r>
      <w:r>
        <w:rPr>
          <w:lang w:val="fr-FR"/>
        </w:rPr>
        <w:tab/>
        <w:t>Un membre du secrétariat informera le Groupe de travail des décisions prises par le Comité des transports intérieurs à sa quatre-vingt-quatrième session (Genève, 23-24 février 2022) qui requièrent des mesures de suivi de la part des organes subsidiaires.</w:t>
      </w:r>
    </w:p>
    <w:p w14:paraId="2987EDEA" w14:textId="7222FD64" w:rsidR="00285130" w:rsidRPr="00F85B81" w:rsidRDefault="00285130" w:rsidP="00285130">
      <w:pPr>
        <w:pStyle w:val="HChG"/>
        <w:rPr>
          <w:lang w:val="fr-FR"/>
        </w:rPr>
      </w:pPr>
      <w:r>
        <w:rPr>
          <w:lang w:val="fr-FR"/>
        </w:rPr>
        <w:lastRenderedPageBreak/>
        <w:tab/>
        <w:t>3.</w:t>
      </w:r>
      <w:r>
        <w:rPr>
          <w:lang w:val="fr-FR"/>
        </w:rPr>
        <w:tab/>
        <w:t xml:space="preserve">État de l’Accord relatif au transport international </w:t>
      </w:r>
      <w:r>
        <w:rPr>
          <w:lang w:val="fr-FR"/>
        </w:rPr>
        <w:br/>
        <w:t xml:space="preserve">des marchandises dangereuses par route (ADR) </w:t>
      </w:r>
      <w:r>
        <w:rPr>
          <w:lang w:val="fr-FR"/>
        </w:rPr>
        <w:br/>
        <w:t>et questions connexes</w:t>
      </w:r>
    </w:p>
    <w:p w14:paraId="5EBEFF6D" w14:textId="0000C3E9" w:rsidR="00285130" w:rsidRPr="00F85B81" w:rsidRDefault="00285130" w:rsidP="00285130">
      <w:pPr>
        <w:pStyle w:val="SingleTxtG"/>
        <w:rPr>
          <w:lang w:val="fr-FR"/>
        </w:rPr>
      </w:pPr>
      <w:r>
        <w:rPr>
          <w:lang w:val="fr-FR"/>
        </w:rPr>
        <w:tab/>
      </w:r>
      <w:r>
        <w:rPr>
          <w:lang w:val="fr-FR"/>
        </w:rPr>
        <w:tab/>
        <w:t>Un membre du secrétariat informera le Groupe de travail de l’état de l’ADR, du Protocole de 1993 portant amendement de l’ADR, des accords spéciaux et des notifications en application du chapitre 1.9.</w:t>
      </w:r>
    </w:p>
    <w:p w14:paraId="6059D522" w14:textId="2D226518" w:rsidR="00285130" w:rsidRPr="00F85B81" w:rsidRDefault="00285130" w:rsidP="00285130">
      <w:pPr>
        <w:pStyle w:val="SingleTxtG"/>
        <w:rPr>
          <w:lang w:val="fr-FR"/>
        </w:rPr>
      </w:pPr>
      <w:r>
        <w:rPr>
          <w:lang w:val="fr-FR"/>
        </w:rPr>
        <w:tab/>
      </w:r>
      <w:r>
        <w:rPr>
          <w:lang w:val="fr-FR"/>
        </w:rPr>
        <w:tab/>
        <w:t>À ce jour, aucun changement n’a été signalé en ce qui concerne l’état de l’ADR (52 Parties contractantes).</w:t>
      </w:r>
    </w:p>
    <w:p w14:paraId="71525FB3" w14:textId="253EE3D1" w:rsidR="00285130" w:rsidRPr="00F85B81" w:rsidRDefault="00285130" w:rsidP="00285130">
      <w:pPr>
        <w:pStyle w:val="SingleTxtG"/>
        <w:rPr>
          <w:lang w:val="fr-FR"/>
        </w:rPr>
      </w:pPr>
      <w:r>
        <w:rPr>
          <w:lang w:val="fr-FR"/>
        </w:rPr>
        <w:tab/>
      </w:r>
      <w:r>
        <w:rPr>
          <w:lang w:val="fr-FR"/>
        </w:rPr>
        <w:tab/>
        <w:t>Avec l’accession de la Géorgie (29 décembre 2021), le nombre de Parties contractantes au Protocole de 1993 portant amendement de l’ADR s’élève à 40.</w:t>
      </w:r>
    </w:p>
    <w:p w14:paraId="002E5AE1" w14:textId="77777777" w:rsidR="00285130" w:rsidRPr="00F85B81" w:rsidRDefault="00285130" w:rsidP="00285130">
      <w:pPr>
        <w:pStyle w:val="HChG"/>
        <w:rPr>
          <w:lang w:val="fr-FR"/>
        </w:rPr>
      </w:pPr>
      <w:r>
        <w:rPr>
          <w:lang w:val="fr-FR"/>
        </w:rPr>
        <w:tab/>
        <w:t>4.</w:t>
      </w:r>
      <w:r>
        <w:rPr>
          <w:lang w:val="fr-FR"/>
        </w:rPr>
        <w:tab/>
        <w:t xml:space="preserve">Travaux de la Réunion commune RID/ADR/ADN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1BD5E796" w14:textId="77777777" w:rsidTr="001B5F7B">
        <w:trPr>
          <w:cantSplit/>
        </w:trPr>
        <w:tc>
          <w:tcPr>
            <w:tcW w:w="3402" w:type="dxa"/>
            <w:shd w:val="clear" w:color="auto" w:fill="auto"/>
          </w:tcPr>
          <w:p w14:paraId="0D611F2A" w14:textId="77777777" w:rsidR="00285130" w:rsidRPr="00F85B81" w:rsidRDefault="00285130" w:rsidP="00285130">
            <w:pPr>
              <w:spacing w:after="120"/>
              <w:rPr>
                <w:lang w:val="fr-FR"/>
              </w:rPr>
            </w:pPr>
            <w:r>
              <w:rPr>
                <w:lang w:val="fr-FR"/>
              </w:rPr>
              <w:t xml:space="preserve">ECE/TRANS/WP.15/255, par. 33, </w:t>
            </w:r>
            <w:r>
              <w:rPr>
                <w:lang w:val="fr-FR"/>
              </w:rPr>
              <w:br/>
              <w:t>et ECE/TRANS/WP.15/AC.1/2022/2 (secrétariat de l’OTIF)</w:t>
            </w:r>
          </w:p>
        </w:tc>
        <w:tc>
          <w:tcPr>
            <w:tcW w:w="3969" w:type="dxa"/>
            <w:shd w:val="clear" w:color="auto" w:fill="auto"/>
          </w:tcPr>
          <w:p w14:paraId="61F5554A" w14:textId="77777777" w:rsidR="00285130" w:rsidRPr="00285130" w:rsidRDefault="00285130" w:rsidP="00285130">
            <w:pPr>
              <w:spacing w:after="120"/>
              <w:rPr>
                <w:spacing w:val="-2"/>
                <w:lang w:val="fr-FR"/>
              </w:rPr>
            </w:pPr>
            <w:r w:rsidRPr="00285130">
              <w:rPr>
                <w:spacing w:val="-2"/>
                <w:lang w:val="fr-FR"/>
              </w:rPr>
              <w:t>Rapport du Groupe de travail sur sa 110</w:t>
            </w:r>
            <w:r w:rsidRPr="00285130">
              <w:rPr>
                <w:spacing w:val="-2"/>
                <w:vertAlign w:val="superscript"/>
                <w:lang w:val="fr-FR"/>
              </w:rPr>
              <w:t>e</w:t>
            </w:r>
            <w:r w:rsidRPr="00285130">
              <w:rPr>
                <w:spacing w:val="-2"/>
                <w:lang w:val="fr-FR"/>
              </w:rPr>
              <w:t xml:space="preserve"> session (question en suspens : projet d’amendement au 6.8.2.2.4 et mesure transitoire correspondante)</w:t>
            </w:r>
          </w:p>
        </w:tc>
      </w:tr>
      <w:tr w:rsidR="00285130" w:rsidRPr="000A1785" w14:paraId="3277DDFF" w14:textId="77777777" w:rsidTr="001B5F7B">
        <w:trPr>
          <w:cantSplit/>
        </w:trPr>
        <w:tc>
          <w:tcPr>
            <w:tcW w:w="3402" w:type="dxa"/>
            <w:shd w:val="clear" w:color="auto" w:fill="auto"/>
          </w:tcPr>
          <w:p w14:paraId="78221A2A" w14:textId="77777777" w:rsidR="00285130" w:rsidRPr="00F85B81" w:rsidRDefault="00285130" w:rsidP="00285130">
            <w:pPr>
              <w:spacing w:after="120"/>
              <w:rPr>
                <w:lang w:val="fr-FR"/>
              </w:rPr>
            </w:pPr>
            <w:r>
              <w:rPr>
                <w:lang w:val="fr-FR"/>
              </w:rPr>
              <w:t>ECE/TRANS/WP.15/AC.1/162, par. 15, et ECE/TRANS/WP.15/AC.1/2022/12 (Liquid Gas Europe)</w:t>
            </w:r>
          </w:p>
        </w:tc>
        <w:tc>
          <w:tcPr>
            <w:tcW w:w="3969" w:type="dxa"/>
            <w:shd w:val="clear" w:color="auto" w:fill="auto"/>
          </w:tcPr>
          <w:p w14:paraId="4F52B1B2" w14:textId="77777777" w:rsidR="00285130" w:rsidRPr="00F85B81" w:rsidRDefault="00285130" w:rsidP="00285130">
            <w:pPr>
              <w:spacing w:after="120"/>
              <w:rPr>
                <w:lang w:val="fr-FR"/>
              </w:rPr>
            </w:pPr>
            <w:r>
              <w:rPr>
                <w:lang w:val="fr-FR"/>
              </w:rPr>
              <w:t>Rapport de la Réunion commune sur sa session d’automne 2021 (question en suspens : marquage des citernes équipées de soupapes de sécurité)</w:t>
            </w:r>
          </w:p>
        </w:tc>
      </w:tr>
      <w:tr w:rsidR="00285130" w:rsidRPr="000A1785" w14:paraId="1CD00182" w14:textId="77777777" w:rsidTr="001B5F7B">
        <w:trPr>
          <w:cantSplit/>
        </w:trPr>
        <w:tc>
          <w:tcPr>
            <w:tcW w:w="3402" w:type="dxa"/>
            <w:shd w:val="clear" w:color="auto" w:fill="auto"/>
          </w:tcPr>
          <w:p w14:paraId="3B8C3B6E" w14:textId="77777777" w:rsidR="00285130" w:rsidRPr="00F85B81" w:rsidRDefault="00285130" w:rsidP="00285130">
            <w:pPr>
              <w:spacing w:after="120"/>
              <w:rPr>
                <w:lang w:val="fr-FR"/>
              </w:rPr>
            </w:pPr>
            <w:bookmarkStart w:id="0" w:name="_Hlk507573647"/>
            <w:r>
              <w:rPr>
                <w:lang w:val="fr-FR"/>
              </w:rPr>
              <w:t>ECE/TRANS/WP.15/255, par. 32 et annexe III</w:t>
            </w:r>
          </w:p>
        </w:tc>
        <w:tc>
          <w:tcPr>
            <w:tcW w:w="3969" w:type="dxa"/>
            <w:shd w:val="clear" w:color="auto" w:fill="auto"/>
          </w:tcPr>
          <w:p w14:paraId="0DD0C2DB" w14:textId="77777777" w:rsidR="00285130" w:rsidRPr="00285130" w:rsidRDefault="00285130" w:rsidP="00285130">
            <w:pPr>
              <w:spacing w:after="120"/>
              <w:rPr>
                <w:spacing w:val="-2"/>
                <w:lang w:val="fr-FR"/>
              </w:rPr>
            </w:pPr>
            <w:r w:rsidRPr="00285130">
              <w:rPr>
                <w:spacing w:val="-2"/>
                <w:lang w:val="fr-FR"/>
              </w:rPr>
              <w:t>Rapport du Groupe de travail sur sa 110</w:t>
            </w:r>
            <w:r w:rsidRPr="00285130">
              <w:rPr>
                <w:spacing w:val="-2"/>
                <w:vertAlign w:val="superscript"/>
                <w:lang w:val="fr-FR"/>
              </w:rPr>
              <w:t>e</w:t>
            </w:r>
            <w:r w:rsidRPr="00285130">
              <w:rPr>
                <w:spacing w:val="-2"/>
                <w:lang w:val="fr-FR"/>
              </w:rPr>
              <w:t xml:space="preserve"> session (question en suspens : normes adoptées pour référence)</w:t>
            </w:r>
          </w:p>
        </w:tc>
      </w:tr>
    </w:tbl>
    <w:bookmarkEnd w:id="0"/>
    <w:p w14:paraId="72D6A9AC" w14:textId="77777777" w:rsidR="00285130" w:rsidRPr="00F85B81" w:rsidRDefault="00285130" w:rsidP="00285130">
      <w:pPr>
        <w:pStyle w:val="SingleTxtG"/>
        <w:rPr>
          <w:lang w:val="fr-FR"/>
        </w:rPr>
      </w:pPr>
      <w:r>
        <w:rPr>
          <w:lang w:val="fr-FR"/>
        </w:rPr>
        <w:tab/>
      </w:r>
      <w:r>
        <w:rPr>
          <w:lang w:val="fr-FR"/>
        </w:rPr>
        <w:tab/>
        <w:t>Le secrétariat informera le Groupe de travail des autres textes adoptés par la Réunion commune à sa session du printemps 2022 pour entrée en vigueur au 1</w:t>
      </w:r>
      <w:r>
        <w:rPr>
          <w:vertAlign w:val="superscript"/>
          <w:lang w:val="fr-FR"/>
        </w:rPr>
        <w:t>er</w:t>
      </w:r>
      <w:r>
        <w:rPr>
          <w:lang w:val="fr-FR"/>
        </w:rPr>
        <w:t> janvier 2023.</w:t>
      </w:r>
    </w:p>
    <w:p w14:paraId="30381655" w14:textId="77777777" w:rsidR="00285130" w:rsidRPr="00F85B81" w:rsidRDefault="00285130" w:rsidP="00285130">
      <w:pPr>
        <w:pStyle w:val="HChG"/>
        <w:rPr>
          <w:lang w:val="fr-FR"/>
        </w:rPr>
      </w:pPr>
      <w:r>
        <w:rPr>
          <w:lang w:val="fr-FR"/>
        </w:rPr>
        <w:tab/>
        <w:t>5.</w:t>
      </w:r>
      <w:r>
        <w:rPr>
          <w:lang w:val="fr-FR"/>
        </w:rPr>
        <w:tab/>
        <w:t>Propositions d’amendements aux annexes A et B de l’ADR</w:t>
      </w:r>
    </w:p>
    <w:p w14:paraId="72BD959D" w14:textId="77777777" w:rsidR="00285130" w:rsidRPr="00F85B81" w:rsidRDefault="00285130" w:rsidP="00285130">
      <w:pPr>
        <w:pStyle w:val="H1G"/>
        <w:rPr>
          <w:lang w:val="fr-FR"/>
        </w:rPr>
      </w:pPr>
      <w:r>
        <w:rPr>
          <w:lang w:val="fr-FR"/>
        </w:rPr>
        <w:tab/>
        <w:t>a)</w:t>
      </w:r>
      <w:r>
        <w:rPr>
          <w:lang w:val="fr-FR"/>
        </w:rPr>
        <w:tab/>
        <w:t>Construction et agrément des véhicules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0B526572" w14:textId="77777777" w:rsidTr="001B5F7B">
        <w:trPr>
          <w:cantSplit/>
        </w:trPr>
        <w:tc>
          <w:tcPr>
            <w:tcW w:w="3402" w:type="dxa"/>
            <w:shd w:val="clear" w:color="auto" w:fill="auto"/>
          </w:tcPr>
          <w:p w14:paraId="6E21A6F6" w14:textId="226292FB" w:rsidR="00285130" w:rsidRPr="00F85B81" w:rsidRDefault="00285130" w:rsidP="00285130">
            <w:pPr>
              <w:spacing w:after="120"/>
              <w:rPr>
                <w:lang w:val="fr-FR"/>
              </w:rPr>
            </w:pPr>
            <w:r>
              <w:rPr>
                <w:lang w:val="fr-FR"/>
              </w:rPr>
              <w:t xml:space="preserve">ECE/TRANS/WP.15/2022/4 </w:t>
            </w:r>
            <w:r>
              <w:rPr>
                <w:lang w:val="fr-FR"/>
              </w:rPr>
              <w:br/>
              <w:t>(Pays-Bas, au nom du groupe de travail informel des véhicules électrifiés)</w:t>
            </w:r>
          </w:p>
        </w:tc>
        <w:tc>
          <w:tcPr>
            <w:tcW w:w="3969" w:type="dxa"/>
            <w:shd w:val="clear" w:color="auto" w:fill="auto"/>
          </w:tcPr>
          <w:p w14:paraId="1C0F202F" w14:textId="77777777" w:rsidR="00285130" w:rsidRPr="00F85B81" w:rsidRDefault="00285130" w:rsidP="00285130">
            <w:pPr>
              <w:spacing w:after="120"/>
              <w:rPr>
                <w:lang w:val="fr-FR"/>
              </w:rPr>
            </w:pPr>
            <w:r>
              <w:rPr>
                <w:lang w:val="fr-FR"/>
              </w:rPr>
              <w:t>Normes relatives aux câbles électriques des véhicules</w:t>
            </w:r>
          </w:p>
        </w:tc>
      </w:tr>
      <w:tr w:rsidR="00285130" w:rsidRPr="00E11E70" w14:paraId="224B0F16" w14:textId="77777777" w:rsidTr="001B5F7B">
        <w:trPr>
          <w:cantSplit/>
        </w:trPr>
        <w:tc>
          <w:tcPr>
            <w:tcW w:w="3402" w:type="dxa"/>
            <w:shd w:val="clear" w:color="auto" w:fill="auto"/>
          </w:tcPr>
          <w:p w14:paraId="730A8CFE" w14:textId="3AAD7C9A" w:rsidR="00285130" w:rsidRPr="00F85B81" w:rsidRDefault="00285130" w:rsidP="00285130">
            <w:pPr>
              <w:spacing w:after="120"/>
              <w:rPr>
                <w:lang w:val="fr-FR"/>
              </w:rPr>
            </w:pPr>
            <w:r>
              <w:rPr>
                <w:lang w:val="fr-FR"/>
              </w:rPr>
              <w:t xml:space="preserve">ECE/TRANS/WP.15/2022/5 </w:t>
            </w:r>
            <w:r>
              <w:rPr>
                <w:lang w:val="fr-FR"/>
              </w:rPr>
              <w:br/>
              <w:t>(Pays-Bas, au nom du groupe de travail informel des véhicules électrifiés)</w:t>
            </w:r>
          </w:p>
        </w:tc>
        <w:tc>
          <w:tcPr>
            <w:tcW w:w="3969" w:type="dxa"/>
            <w:shd w:val="clear" w:color="auto" w:fill="auto"/>
          </w:tcPr>
          <w:p w14:paraId="76CFF085" w14:textId="77777777" w:rsidR="00285130" w:rsidRPr="002067B8" w:rsidRDefault="00285130" w:rsidP="00285130">
            <w:pPr>
              <w:spacing w:after="120"/>
            </w:pPr>
            <w:r>
              <w:rPr>
                <w:lang w:val="fr-FR"/>
              </w:rPr>
              <w:t>Véhicules électriques à batterie</w:t>
            </w:r>
          </w:p>
        </w:tc>
      </w:tr>
    </w:tbl>
    <w:p w14:paraId="348E80B5" w14:textId="77777777" w:rsidR="00285130" w:rsidRPr="00E11E70" w:rsidRDefault="00285130" w:rsidP="00285130">
      <w:pPr>
        <w:pStyle w:val="H1G"/>
      </w:pPr>
      <w:r>
        <w:rPr>
          <w:lang w:val="fr-FR"/>
        </w:rPr>
        <w:tab/>
        <w:t>b)</w:t>
      </w:r>
      <w:r>
        <w:rPr>
          <w:lang w:val="fr-FR"/>
        </w:rPr>
        <w:tab/>
        <w:t>Propositions diverses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11EEBE79" w14:textId="77777777" w:rsidTr="001B5F7B">
        <w:trPr>
          <w:cantSplit/>
        </w:trPr>
        <w:tc>
          <w:tcPr>
            <w:tcW w:w="3402" w:type="dxa"/>
            <w:shd w:val="clear" w:color="auto" w:fill="auto"/>
          </w:tcPr>
          <w:p w14:paraId="59EC5EB1" w14:textId="77777777" w:rsidR="00285130" w:rsidRPr="00285130" w:rsidRDefault="00285130" w:rsidP="00285130">
            <w:pPr>
              <w:spacing w:after="120"/>
              <w:rPr>
                <w:spacing w:val="-4"/>
              </w:rPr>
            </w:pPr>
            <w:bookmarkStart w:id="1" w:name="_Hlk507573707"/>
            <w:r w:rsidRPr="00285130">
              <w:rPr>
                <w:spacing w:val="-4"/>
                <w:lang w:val="fr-FR"/>
              </w:rPr>
              <w:t>ECE/TRANS/WP.15/2022/2 (Allemagne)</w:t>
            </w:r>
          </w:p>
        </w:tc>
        <w:tc>
          <w:tcPr>
            <w:tcW w:w="3969" w:type="dxa"/>
            <w:shd w:val="clear" w:color="auto" w:fill="auto"/>
          </w:tcPr>
          <w:p w14:paraId="5BF99C51" w14:textId="0EAE896E" w:rsidR="00285130" w:rsidRPr="00F85B81" w:rsidRDefault="00285130" w:rsidP="00285130">
            <w:pPr>
              <w:spacing w:after="120"/>
              <w:rPr>
                <w:lang w:val="fr-FR"/>
              </w:rPr>
            </w:pPr>
            <w:r>
              <w:rPr>
                <w:lang w:val="fr-FR"/>
              </w:rPr>
              <w:t>Chapitres 8.4 et 8.5 − Prescriptions relatives à la surveillance des véhicules</w:t>
            </w:r>
          </w:p>
        </w:tc>
      </w:tr>
      <w:tr w:rsidR="00285130" w:rsidRPr="000A1785" w14:paraId="7C7C534F" w14:textId="77777777" w:rsidTr="001B5F7B">
        <w:trPr>
          <w:cantSplit/>
        </w:trPr>
        <w:tc>
          <w:tcPr>
            <w:tcW w:w="3402" w:type="dxa"/>
            <w:shd w:val="clear" w:color="auto" w:fill="auto"/>
          </w:tcPr>
          <w:p w14:paraId="0F0DE2C7" w14:textId="7A8FB6E2" w:rsidR="00285130" w:rsidRPr="00F85B81" w:rsidRDefault="00285130" w:rsidP="00285130">
            <w:pPr>
              <w:spacing w:after="120"/>
              <w:rPr>
                <w:lang w:val="fr-FR"/>
              </w:rPr>
            </w:pPr>
            <w:r>
              <w:rPr>
                <w:lang w:val="fr-FR"/>
              </w:rPr>
              <w:t xml:space="preserve">ECE/TRANS/WP.15/2022/3 (Norvège </w:t>
            </w:r>
            <w:r>
              <w:rPr>
                <w:lang w:val="fr-FR"/>
              </w:rPr>
              <w:br/>
              <w:t>et Suède)</w:t>
            </w:r>
          </w:p>
        </w:tc>
        <w:tc>
          <w:tcPr>
            <w:tcW w:w="3969" w:type="dxa"/>
            <w:shd w:val="clear" w:color="auto" w:fill="auto"/>
          </w:tcPr>
          <w:p w14:paraId="22C1B653" w14:textId="64A0AA2F" w:rsidR="00285130" w:rsidRPr="00285130" w:rsidRDefault="00285130" w:rsidP="00285130">
            <w:pPr>
              <w:spacing w:after="120"/>
              <w:rPr>
                <w:spacing w:val="-4"/>
                <w:lang w:val="fr-FR"/>
              </w:rPr>
            </w:pPr>
            <w:r w:rsidRPr="00285130">
              <w:rPr>
                <w:spacing w:val="-4"/>
                <w:lang w:val="fr-FR"/>
              </w:rPr>
              <w:t>Prescriptions relatives à la sûreté des marchandises dangereuses visées à la sous</w:t>
            </w:r>
            <w:r w:rsidRPr="00285130">
              <w:rPr>
                <w:spacing w:val="-4"/>
                <w:lang w:val="fr-FR"/>
              </w:rPr>
              <w:noBreakHyphen/>
              <w:t>section 1.1.3.6</w:t>
            </w:r>
          </w:p>
        </w:tc>
      </w:tr>
    </w:tbl>
    <w:bookmarkEnd w:id="1"/>
    <w:p w14:paraId="4894F0A4" w14:textId="77777777" w:rsidR="00285130" w:rsidRPr="00E11E70" w:rsidRDefault="00285130" w:rsidP="005B3B1C">
      <w:pPr>
        <w:pStyle w:val="HChG"/>
      </w:pPr>
      <w:r>
        <w:rPr>
          <w:lang w:val="fr-FR"/>
        </w:rPr>
        <w:tab/>
        <w:t>6.</w:t>
      </w:r>
      <w:r>
        <w:rPr>
          <w:lang w:val="fr-FR"/>
        </w:rPr>
        <w:tab/>
        <w:t>Interprétation de l’ADR</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85130" w:rsidRPr="000A1785" w14:paraId="55A10901" w14:textId="77777777" w:rsidTr="001B5F7B">
        <w:trPr>
          <w:cantSplit/>
        </w:trPr>
        <w:tc>
          <w:tcPr>
            <w:tcW w:w="3402" w:type="dxa"/>
            <w:shd w:val="clear" w:color="auto" w:fill="auto"/>
          </w:tcPr>
          <w:p w14:paraId="14E08FA2" w14:textId="77777777" w:rsidR="00285130" w:rsidRPr="00E11E70" w:rsidRDefault="00285130" w:rsidP="005B3B1C">
            <w:pPr>
              <w:spacing w:after="120"/>
            </w:pPr>
            <w:r>
              <w:rPr>
                <w:lang w:val="fr-FR"/>
              </w:rPr>
              <w:t>ECE/TRANS/WP.15/2022/1 (Suède)</w:t>
            </w:r>
          </w:p>
        </w:tc>
        <w:tc>
          <w:tcPr>
            <w:tcW w:w="3969" w:type="dxa"/>
            <w:shd w:val="clear" w:color="auto" w:fill="auto"/>
          </w:tcPr>
          <w:p w14:paraId="05F2FB58" w14:textId="2991CB08" w:rsidR="00285130" w:rsidRPr="00F85B81" w:rsidRDefault="00285130" w:rsidP="005B3B1C">
            <w:pPr>
              <w:spacing w:after="120"/>
              <w:rPr>
                <w:lang w:val="fr-FR"/>
              </w:rPr>
            </w:pPr>
            <w:r>
              <w:rPr>
                <w:lang w:val="fr-FR"/>
              </w:rPr>
              <w:t>Section 8.2.2 </w:t>
            </w:r>
            <w:r w:rsidR="005B3B1C">
              <w:rPr>
                <w:lang w:val="fr-FR"/>
              </w:rPr>
              <w:t>−</w:t>
            </w:r>
            <w:r>
              <w:rPr>
                <w:lang w:val="fr-FR"/>
              </w:rPr>
              <w:t xml:space="preserve"> Formation ADR à distance</w:t>
            </w:r>
          </w:p>
        </w:tc>
      </w:tr>
    </w:tbl>
    <w:p w14:paraId="1DE34162" w14:textId="77777777" w:rsidR="00285130" w:rsidRPr="00F85B81" w:rsidRDefault="00285130" w:rsidP="005B3B1C">
      <w:pPr>
        <w:pStyle w:val="HChG"/>
        <w:rPr>
          <w:lang w:val="fr-FR"/>
        </w:rPr>
      </w:pPr>
      <w:r>
        <w:rPr>
          <w:lang w:val="fr-FR"/>
        </w:rPr>
        <w:lastRenderedPageBreak/>
        <w:tab/>
        <w:t>7.</w:t>
      </w:r>
      <w:r>
        <w:rPr>
          <w:lang w:val="fr-FR"/>
        </w:rPr>
        <w:tab/>
        <w:t>Programme de travail</w:t>
      </w:r>
    </w:p>
    <w:p w14:paraId="32501429" w14:textId="77777777" w:rsidR="00285130" w:rsidRPr="00F85B81" w:rsidRDefault="00285130" w:rsidP="005B3B1C">
      <w:pPr>
        <w:pStyle w:val="SingleTxtG"/>
        <w:rPr>
          <w:lang w:val="fr-FR"/>
        </w:rPr>
      </w:pPr>
      <w:r>
        <w:rPr>
          <w:lang w:val="fr-FR"/>
        </w:rPr>
        <w:tab/>
      </w:r>
      <w:r>
        <w:rPr>
          <w:lang w:val="fr-FR"/>
        </w:rPr>
        <w:tab/>
        <w:t>Aucun document n’a été soumis au titre de ce point de l’ordre du jour.</w:t>
      </w:r>
    </w:p>
    <w:p w14:paraId="45222E47" w14:textId="77777777" w:rsidR="00285130" w:rsidRPr="00F85B81" w:rsidRDefault="00285130" w:rsidP="005B3B1C">
      <w:pPr>
        <w:pStyle w:val="HChG"/>
        <w:rPr>
          <w:lang w:val="fr-FR"/>
        </w:rPr>
      </w:pPr>
      <w:r>
        <w:rPr>
          <w:lang w:val="fr-FR"/>
        </w:rPr>
        <w:tab/>
        <w:t>8.</w:t>
      </w:r>
      <w:r>
        <w:rPr>
          <w:lang w:val="fr-FR"/>
        </w:rPr>
        <w:tab/>
        <w:t>Questions diverses</w:t>
      </w:r>
    </w:p>
    <w:p w14:paraId="4B563B46" w14:textId="77777777" w:rsidR="00285130" w:rsidRPr="00F85B81" w:rsidRDefault="00285130" w:rsidP="005B3B1C">
      <w:pPr>
        <w:pStyle w:val="H1G"/>
        <w:rPr>
          <w:lang w:val="fr-FR"/>
        </w:rPr>
      </w:pPr>
      <w:r>
        <w:rPr>
          <w:lang w:val="fr-FR"/>
        </w:rPr>
        <w:tab/>
        <w:t>a)</w:t>
      </w:r>
      <w:r>
        <w:rPr>
          <w:lang w:val="fr-FR"/>
        </w:rPr>
        <w:tab/>
        <w:t>Économie circulaire et utilisation durable des ressources naturelles</w:t>
      </w:r>
    </w:p>
    <w:p w14:paraId="462CD255" w14:textId="65F6249C" w:rsidR="00285130" w:rsidRPr="00F85B81" w:rsidRDefault="005B3B1C" w:rsidP="005B3B1C">
      <w:pPr>
        <w:pStyle w:val="SingleTxtG"/>
        <w:rPr>
          <w:lang w:val="fr-FR"/>
        </w:rPr>
      </w:pPr>
      <w:r>
        <w:rPr>
          <w:lang w:val="fr-FR"/>
        </w:rPr>
        <w:tab/>
      </w:r>
      <w:r>
        <w:rPr>
          <w:lang w:val="fr-FR"/>
        </w:rPr>
        <w:tab/>
      </w:r>
      <w:r w:rsidR="00285130">
        <w:rPr>
          <w:lang w:val="fr-FR"/>
        </w:rPr>
        <w:t>Les délégations souhaitant présenter des informations à ce sujet à la 111</w:t>
      </w:r>
      <w:r w:rsidR="00285130">
        <w:rPr>
          <w:vertAlign w:val="superscript"/>
          <w:lang w:val="fr-FR"/>
        </w:rPr>
        <w:t>e</w:t>
      </w:r>
      <w:r w:rsidR="00285130">
        <w:rPr>
          <w:lang w:val="fr-FR"/>
        </w:rPr>
        <w:t> session du Groupe de travail sont invitées à en informer le secrétariat le plus tôt possible avant la session.</w:t>
      </w:r>
    </w:p>
    <w:p w14:paraId="408DE1EB" w14:textId="77777777" w:rsidR="00285130" w:rsidRPr="00F85B81" w:rsidRDefault="00285130" w:rsidP="005B3B1C">
      <w:pPr>
        <w:pStyle w:val="H1G"/>
        <w:rPr>
          <w:lang w:val="fr-FR"/>
        </w:rPr>
      </w:pPr>
      <w:r>
        <w:rPr>
          <w:lang w:val="fr-FR"/>
        </w:rPr>
        <w:tab/>
        <w:t>b)</w:t>
      </w:r>
      <w:r>
        <w:rPr>
          <w:lang w:val="fr-FR"/>
        </w:rPr>
        <w:tab/>
        <w:t>Autres questions</w:t>
      </w:r>
    </w:p>
    <w:p w14:paraId="1E20C273" w14:textId="77777777" w:rsidR="00285130" w:rsidRPr="00F85B81" w:rsidRDefault="00285130" w:rsidP="005B3B1C">
      <w:pPr>
        <w:pStyle w:val="SingleTxtG"/>
        <w:rPr>
          <w:lang w:val="fr-FR"/>
        </w:rPr>
      </w:pPr>
      <w:r>
        <w:rPr>
          <w:lang w:val="fr-FR"/>
        </w:rPr>
        <w:tab/>
      </w:r>
      <w:r>
        <w:rPr>
          <w:lang w:val="fr-FR"/>
        </w:rPr>
        <w:tab/>
        <w:t xml:space="preserve">Aucun document n’a été soumis au titre de ce point de l’ordre du jour. </w:t>
      </w:r>
    </w:p>
    <w:p w14:paraId="69D07397" w14:textId="4F495C8C" w:rsidR="00285130" w:rsidRPr="00F85B81" w:rsidRDefault="00285130" w:rsidP="005B3B1C">
      <w:pPr>
        <w:pStyle w:val="SingleTxtG"/>
        <w:rPr>
          <w:lang w:val="fr-FR"/>
        </w:rPr>
      </w:pPr>
      <w:r>
        <w:rPr>
          <w:lang w:val="fr-FR"/>
        </w:rPr>
        <w:tab/>
      </w:r>
      <w:r>
        <w:rPr>
          <w:lang w:val="fr-FR"/>
        </w:rPr>
        <w:tab/>
        <w:t xml:space="preserve">S’il reste du temps, le secrétaire du Groupe de travail chargé d’examiner les tendances et l’économie des transports (WP.5) présentera les indicateurs de connectivité pour des transports intérieurs durables (SITCIN), au nombre desquels figure un groupe d’indicateurs relatifs à l’ADR. Voir </w:t>
      </w:r>
      <w:hyperlink r:id="rId8" w:history="1">
        <w:r w:rsidRPr="005B3B1C">
          <w:rPr>
            <w:rStyle w:val="Hyperlink"/>
            <w:i/>
            <w:iCs/>
            <w:color w:val="auto"/>
            <w:lang w:val="fr-FR"/>
          </w:rPr>
          <w:t>https://unece.org/transport/documents/2021/07/working-documents/</w:t>
        </w:r>
        <w:r w:rsidR="005B3B1C">
          <w:rPr>
            <w:rStyle w:val="Hyperlink"/>
            <w:i/>
            <w:iCs/>
            <w:color w:val="auto"/>
            <w:lang w:val="fr-FR"/>
          </w:rPr>
          <w:br/>
        </w:r>
        <w:r w:rsidRPr="005B3B1C">
          <w:rPr>
            <w:rStyle w:val="Hyperlink"/>
            <w:i/>
            <w:iCs/>
            <w:color w:val="auto"/>
            <w:lang w:val="fr-FR"/>
          </w:rPr>
          <w:t>sustainable-inland-transport-connectivity-0</w:t>
        </w:r>
      </w:hyperlink>
      <w:r>
        <w:rPr>
          <w:lang w:val="fr-FR"/>
        </w:rPr>
        <w:t>.</w:t>
      </w:r>
    </w:p>
    <w:p w14:paraId="7CEF626F" w14:textId="77777777" w:rsidR="00285130" w:rsidRPr="000A1785" w:rsidRDefault="00285130" w:rsidP="005B3B1C">
      <w:pPr>
        <w:pStyle w:val="HChG"/>
      </w:pPr>
      <w:r>
        <w:rPr>
          <w:lang w:val="fr-FR"/>
        </w:rPr>
        <w:tab/>
        <w:t>9.</w:t>
      </w:r>
      <w:r>
        <w:rPr>
          <w:lang w:val="fr-FR"/>
        </w:rPr>
        <w:tab/>
        <w:t>Adoption du rapport</w:t>
      </w:r>
    </w:p>
    <w:p w14:paraId="06A042D3" w14:textId="4BA518CA" w:rsidR="00285130" w:rsidRPr="00F85B81" w:rsidRDefault="005B3B1C" w:rsidP="005B3B1C">
      <w:pPr>
        <w:pStyle w:val="SingleTxtG"/>
        <w:rPr>
          <w:lang w:val="fr-FR"/>
        </w:rPr>
      </w:pPr>
      <w:r>
        <w:rPr>
          <w:lang w:val="fr-FR"/>
        </w:rPr>
        <w:tab/>
      </w:r>
      <w:r>
        <w:rPr>
          <w:lang w:val="fr-FR"/>
        </w:rPr>
        <w:tab/>
      </w:r>
      <w:r w:rsidR="00285130">
        <w:rPr>
          <w:lang w:val="fr-FR"/>
        </w:rPr>
        <w:t>Conformément à l’usage, le Groupe de travail adoptera le rapport de sa session sur la base d’un projet établi par le secrétariat.</w:t>
      </w:r>
    </w:p>
    <w:p w14:paraId="4D304DED" w14:textId="77777777" w:rsidR="00285130" w:rsidRPr="00F85B81" w:rsidRDefault="00285130" w:rsidP="00285130">
      <w:pPr>
        <w:spacing w:before="240"/>
        <w:jc w:val="center"/>
        <w:rPr>
          <w:u w:val="single"/>
          <w:lang w:val="fr-FR"/>
        </w:rPr>
      </w:pPr>
      <w:r w:rsidRPr="00F85B81">
        <w:rPr>
          <w:u w:val="single"/>
          <w:lang w:val="fr-FR"/>
        </w:rPr>
        <w:tab/>
      </w:r>
      <w:r w:rsidRPr="00F85B81">
        <w:rPr>
          <w:u w:val="single"/>
          <w:lang w:val="fr-FR"/>
        </w:rPr>
        <w:tab/>
      </w:r>
      <w:r w:rsidRPr="00F85B81">
        <w:rPr>
          <w:u w:val="single"/>
          <w:lang w:val="fr-FR"/>
        </w:rPr>
        <w:tab/>
      </w:r>
    </w:p>
    <w:p w14:paraId="2F9B87BB" w14:textId="77777777" w:rsidR="00F9573C" w:rsidRPr="008221D6" w:rsidRDefault="00F9573C" w:rsidP="00285130">
      <w:pPr>
        <w:spacing w:line="276" w:lineRule="auto"/>
        <w:rPr>
          <w:lang w:val="fr-FR"/>
        </w:rPr>
      </w:pPr>
    </w:p>
    <w:sectPr w:rsidR="00F9573C" w:rsidRPr="008221D6" w:rsidSect="008221D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E4B3" w14:textId="77777777" w:rsidR="008006F6" w:rsidRDefault="008006F6" w:rsidP="00F95C08">
      <w:pPr>
        <w:spacing w:line="240" w:lineRule="auto"/>
      </w:pPr>
    </w:p>
  </w:endnote>
  <w:endnote w:type="continuationSeparator" w:id="0">
    <w:p w14:paraId="70FF5E64" w14:textId="77777777" w:rsidR="008006F6" w:rsidRPr="00AC3823" w:rsidRDefault="008006F6" w:rsidP="00AC3823">
      <w:pPr>
        <w:pStyle w:val="Footer"/>
      </w:pPr>
    </w:p>
  </w:endnote>
  <w:endnote w:type="continuationNotice" w:id="1">
    <w:p w14:paraId="7F442598" w14:textId="77777777" w:rsidR="008006F6" w:rsidRDefault="00800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2AF1" w14:textId="1523FFDC" w:rsidR="008221D6" w:rsidRPr="008221D6" w:rsidRDefault="008221D6" w:rsidP="008221D6">
    <w:pPr>
      <w:pStyle w:val="Footer"/>
      <w:tabs>
        <w:tab w:val="right" w:pos="9638"/>
      </w:tabs>
    </w:pPr>
    <w:r w:rsidRPr="008221D6">
      <w:rPr>
        <w:b/>
        <w:sz w:val="18"/>
      </w:rPr>
      <w:fldChar w:fldCharType="begin"/>
    </w:r>
    <w:r w:rsidRPr="008221D6">
      <w:rPr>
        <w:b/>
        <w:sz w:val="18"/>
      </w:rPr>
      <w:instrText xml:space="preserve"> PAGE  \* MERGEFORMAT </w:instrText>
    </w:r>
    <w:r w:rsidRPr="008221D6">
      <w:rPr>
        <w:b/>
        <w:sz w:val="18"/>
      </w:rPr>
      <w:fldChar w:fldCharType="separate"/>
    </w:r>
    <w:r w:rsidRPr="008221D6">
      <w:rPr>
        <w:b/>
        <w:noProof/>
        <w:sz w:val="18"/>
      </w:rPr>
      <w:t>2</w:t>
    </w:r>
    <w:r w:rsidRPr="008221D6">
      <w:rPr>
        <w:b/>
        <w:sz w:val="18"/>
      </w:rPr>
      <w:fldChar w:fldCharType="end"/>
    </w:r>
    <w:r>
      <w:rPr>
        <w:b/>
        <w:sz w:val="18"/>
      </w:rPr>
      <w:tab/>
    </w:r>
    <w:r>
      <w:t>GE.22-02732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A6A8" w14:textId="043C3B74" w:rsidR="008221D6" w:rsidRPr="008221D6" w:rsidRDefault="008221D6" w:rsidP="008221D6">
    <w:pPr>
      <w:pStyle w:val="Footer"/>
      <w:tabs>
        <w:tab w:val="right" w:pos="9638"/>
      </w:tabs>
      <w:rPr>
        <w:b/>
        <w:sz w:val="18"/>
      </w:rPr>
    </w:pPr>
    <w:r>
      <w:t>GE.22-02732</w:t>
    </w:r>
    <w:r>
      <w:tab/>
    </w:r>
    <w:r w:rsidRPr="008221D6">
      <w:rPr>
        <w:b/>
        <w:sz w:val="18"/>
      </w:rPr>
      <w:fldChar w:fldCharType="begin"/>
    </w:r>
    <w:r w:rsidRPr="008221D6">
      <w:rPr>
        <w:b/>
        <w:sz w:val="18"/>
      </w:rPr>
      <w:instrText xml:space="preserve"> PAGE  \* MERGEFORMAT </w:instrText>
    </w:r>
    <w:r w:rsidRPr="008221D6">
      <w:rPr>
        <w:b/>
        <w:sz w:val="18"/>
      </w:rPr>
      <w:fldChar w:fldCharType="separate"/>
    </w:r>
    <w:r w:rsidRPr="008221D6">
      <w:rPr>
        <w:b/>
        <w:noProof/>
        <w:sz w:val="18"/>
      </w:rPr>
      <w:t>3</w:t>
    </w:r>
    <w:r w:rsidRPr="008221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827" w14:textId="7A5DA8ED" w:rsidR="007F20FA" w:rsidRPr="008221D6" w:rsidRDefault="008221D6" w:rsidP="008221D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CDC0C0" wp14:editId="7AEF60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22-02732  (F)</w:t>
    </w:r>
    <w:r>
      <w:rPr>
        <w:noProof/>
        <w:sz w:val="20"/>
      </w:rPr>
      <w:drawing>
        <wp:anchor distT="0" distB="0" distL="114300" distR="114300" simplePos="0" relativeHeight="251660288" behindDoc="0" locked="0" layoutInCell="1" allowOverlap="1" wp14:anchorId="04DCF127" wp14:editId="2858817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1C">
      <w:rPr>
        <w:sz w:val="20"/>
      </w:rPr>
      <w:t xml:space="preserve">    170322    180322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04A9" w14:textId="77777777" w:rsidR="008006F6" w:rsidRPr="00AC3823" w:rsidRDefault="008006F6" w:rsidP="00AC3823">
      <w:pPr>
        <w:pStyle w:val="Footer"/>
        <w:tabs>
          <w:tab w:val="right" w:pos="2155"/>
        </w:tabs>
        <w:spacing w:after="80" w:line="240" w:lineRule="atLeast"/>
        <w:ind w:left="680"/>
        <w:rPr>
          <w:u w:val="single"/>
        </w:rPr>
      </w:pPr>
      <w:r>
        <w:rPr>
          <w:u w:val="single"/>
        </w:rPr>
        <w:tab/>
      </w:r>
    </w:p>
  </w:footnote>
  <w:footnote w:type="continuationSeparator" w:id="0">
    <w:p w14:paraId="2FC71BAD" w14:textId="77777777" w:rsidR="008006F6" w:rsidRPr="00AC3823" w:rsidRDefault="008006F6" w:rsidP="00AC3823">
      <w:pPr>
        <w:pStyle w:val="Footer"/>
        <w:tabs>
          <w:tab w:val="right" w:pos="2155"/>
        </w:tabs>
        <w:spacing w:after="80" w:line="240" w:lineRule="atLeast"/>
        <w:ind w:left="680"/>
        <w:rPr>
          <w:u w:val="single"/>
        </w:rPr>
      </w:pPr>
      <w:r>
        <w:rPr>
          <w:u w:val="single"/>
        </w:rPr>
        <w:tab/>
      </w:r>
    </w:p>
  </w:footnote>
  <w:footnote w:type="continuationNotice" w:id="1">
    <w:p w14:paraId="5C46E7C3" w14:textId="77777777" w:rsidR="008006F6" w:rsidRPr="00AC3823" w:rsidRDefault="008006F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07A7" w14:textId="60062531" w:rsidR="008221D6" w:rsidRPr="008221D6" w:rsidRDefault="007D6458">
    <w:pPr>
      <w:pStyle w:val="Header"/>
    </w:pPr>
    <w:fldSimple w:instr=" TITLE  \* MERGEFORMAT ">
      <w:r w:rsidR="008221D6">
        <w:t>ECE/TRANS/WP.15/257/Add.1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7006" w14:textId="270195ED" w:rsidR="008221D6" w:rsidRPr="008221D6" w:rsidRDefault="007D6458" w:rsidP="008221D6">
    <w:pPr>
      <w:pStyle w:val="Header"/>
      <w:jc w:val="right"/>
    </w:pPr>
    <w:fldSimple w:instr=" TITLE  \* MERGEFORMAT ">
      <w:r w:rsidR="008221D6">
        <w:t>ECE/TRANS/WP.15/257/Add.1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85130"/>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B3B1C"/>
    <w:rsid w:val="0071601D"/>
    <w:rsid w:val="007A62E6"/>
    <w:rsid w:val="007D6458"/>
    <w:rsid w:val="007F20FA"/>
    <w:rsid w:val="008006F6"/>
    <w:rsid w:val="0080684C"/>
    <w:rsid w:val="008221D6"/>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0B5F"/>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A9FF1"/>
  <w15:docId w15:val="{8744183B-5053-40FC-A195-9A36852C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8221D6"/>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8221D6"/>
    <w:rPr>
      <w:rFonts w:ascii="Times New Roman" w:eastAsiaTheme="minorHAnsi" w:hAnsi="Times New Roman" w:cs="Times New Roman"/>
      <w:sz w:val="20"/>
      <w:szCs w:val="20"/>
      <w:lang w:eastAsia="en-US"/>
    </w:rPr>
  </w:style>
  <w:style w:type="character" w:customStyle="1" w:styleId="H1GChar">
    <w:name w:val="_ H_1_G Char"/>
    <w:link w:val="H1G"/>
    <w:rsid w:val="008221D6"/>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5B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1/07/working-documents/sustainable-inland-transport-connectivity-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ECE/TRANS/WP.15/257/Add.1</vt:lpstr>
    </vt:vector>
  </TitlesOfParts>
  <Company>DCM</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ECE/TRANS/WP.15/257/Add.1</dc:title>
  <dc:subject/>
  <dc:creator>Sandrine CLERE</dc:creator>
  <cp:keywords/>
  <cp:lastModifiedBy>Christine Barrio-Champeau</cp:lastModifiedBy>
  <cp:revision>2</cp:revision>
  <cp:lastPrinted>2014-05-14T10:59:00Z</cp:lastPrinted>
  <dcterms:created xsi:type="dcterms:W3CDTF">2022-03-18T09:39:00Z</dcterms:created>
  <dcterms:modified xsi:type="dcterms:W3CDTF">2022-03-18T09:39:00Z</dcterms:modified>
</cp:coreProperties>
</file>