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66AC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AE01D1" w14:textId="77777777" w:rsidR="002D5AAC" w:rsidRDefault="002D5AAC" w:rsidP="001A30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8856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67EFC9" w14:textId="2E389C54" w:rsidR="002D5AAC" w:rsidRDefault="001A300E" w:rsidP="001A300E">
            <w:pPr>
              <w:jc w:val="right"/>
            </w:pPr>
            <w:r w:rsidRPr="001A300E">
              <w:rPr>
                <w:sz w:val="40"/>
              </w:rPr>
              <w:t>ECE</w:t>
            </w:r>
            <w:r>
              <w:t>/TRANS/WP.15/2022/3</w:t>
            </w:r>
          </w:p>
        </w:tc>
      </w:tr>
      <w:tr w:rsidR="002D5AAC" w14:paraId="49A61B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A7F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119445" wp14:editId="7A720E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1D7A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92ED73" w14:textId="77777777" w:rsidR="002D5AAC" w:rsidRDefault="001A30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814978" w14:textId="77777777" w:rsidR="001A300E" w:rsidRDefault="001A300E" w:rsidP="001A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2022</w:t>
            </w:r>
          </w:p>
          <w:p w14:paraId="35A75BF1" w14:textId="77777777" w:rsidR="001A300E" w:rsidRDefault="001A300E" w:rsidP="001A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FAE168" w14:textId="528CCE5D" w:rsidR="001A300E" w:rsidRPr="008D53B6" w:rsidRDefault="001A300E" w:rsidP="001A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4785F0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0F013C" w14:textId="77777777" w:rsidR="001A300E" w:rsidRPr="008468FB" w:rsidRDefault="001A300E" w:rsidP="001A300E">
      <w:pPr>
        <w:spacing w:before="120"/>
        <w:rPr>
          <w:sz w:val="28"/>
          <w:szCs w:val="28"/>
        </w:rPr>
      </w:pPr>
      <w:r w:rsidRPr="008468FB">
        <w:rPr>
          <w:sz w:val="28"/>
          <w:szCs w:val="28"/>
        </w:rPr>
        <w:t>Комитет по внутреннему транспорту</w:t>
      </w:r>
    </w:p>
    <w:p w14:paraId="7CAF0FB1" w14:textId="77777777" w:rsidR="001A300E" w:rsidRPr="008468FB" w:rsidRDefault="001A300E" w:rsidP="001A300E">
      <w:pPr>
        <w:spacing w:before="120"/>
        <w:rPr>
          <w:b/>
          <w:sz w:val="24"/>
          <w:szCs w:val="24"/>
        </w:rPr>
      </w:pPr>
      <w:r w:rsidRPr="008468FB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FA02A4" w14:textId="77777777" w:rsidR="001A300E" w:rsidRPr="00FA258B" w:rsidRDefault="001A300E" w:rsidP="001A300E">
      <w:pPr>
        <w:spacing w:before="120"/>
        <w:rPr>
          <w:rFonts w:eastAsia="SimSun"/>
          <w:b/>
        </w:rPr>
      </w:pPr>
      <w:r>
        <w:rPr>
          <w:b/>
          <w:bCs/>
        </w:rPr>
        <w:t>Сто одиннадцатая сессия</w:t>
      </w:r>
      <w:r>
        <w:t xml:space="preserve"> </w:t>
      </w:r>
    </w:p>
    <w:p w14:paraId="2C444BD5" w14:textId="77777777" w:rsidR="001A300E" w:rsidRPr="00FA258B" w:rsidRDefault="001A300E" w:rsidP="001A300E">
      <w:pPr>
        <w:rPr>
          <w:rFonts w:eastAsia="SimSun"/>
        </w:rPr>
      </w:pPr>
      <w:r>
        <w:t>Женева, 9–13 мая 2022 года</w:t>
      </w:r>
    </w:p>
    <w:p w14:paraId="531E06B1" w14:textId="77777777" w:rsidR="001A300E" w:rsidRPr="00FA258B" w:rsidRDefault="001A300E" w:rsidP="001A300E">
      <w:r>
        <w:t>Пункт 5 b) предварительной повестки дня</w:t>
      </w:r>
    </w:p>
    <w:p w14:paraId="41F385BF" w14:textId="1B4E7246" w:rsidR="001A300E" w:rsidRPr="00FA258B" w:rsidRDefault="001A300E" w:rsidP="001A300E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</w:p>
    <w:p w14:paraId="365EDB3C" w14:textId="77777777" w:rsidR="001A300E" w:rsidRPr="00FA258B" w:rsidRDefault="001A300E" w:rsidP="001A300E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700D6762" w14:textId="77777777" w:rsidR="001A300E" w:rsidRPr="00FA258B" w:rsidRDefault="001A300E" w:rsidP="001A300E">
      <w:pPr>
        <w:pStyle w:val="HChG"/>
      </w:pPr>
      <w:r>
        <w:tab/>
      </w:r>
      <w:r>
        <w:tab/>
      </w:r>
      <w:r>
        <w:rPr>
          <w:bCs/>
        </w:rPr>
        <w:t>Требования к обеспечению безопасности при перевозке опасных грузов в соответствии с подразделом 1.1.3.6</w:t>
      </w:r>
      <w:r>
        <w:t xml:space="preserve"> </w:t>
      </w:r>
    </w:p>
    <w:p w14:paraId="4D440B98" w14:textId="77777777" w:rsidR="001A300E" w:rsidRPr="008468FB" w:rsidRDefault="001A300E" w:rsidP="001A300E">
      <w:pPr>
        <w:suppressAutoHyphens w:val="0"/>
        <w:spacing w:after="360" w:line="240" w:lineRule="auto"/>
        <w:rPr>
          <w:sz w:val="24"/>
          <w:szCs w:val="24"/>
        </w:rPr>
      </w:pPr>
      <w:r>
        <w:tab/>
      </w:r>
      <w:r>
        <w:tab/>
      </w:r>
      <w:r w:rsidRPr="008468FB">
        <w:rPr>
          <w:b/>
          <w:bCs/>
          <w:sz w:val="24"/>
          <w:szCs w:val="24"/>
        </w:rPr>
        <w:t>Передано правительствами Норвегии и Швеции</w:t>
      </w:r>
      <w:r w:rsidRPr="001A300E">
        <w:rPr>
          <w:szCs w:val="20"/>
        </w:rPr>
        <w:footnoteReference w:customMarkFollows="1" w:id="1"/>
        <w:sym w:font="Symbol" w:char="F02A"/>
      </w:r>
    </w:p>
    <w:tbl>
      <w:tblPr>
        <w:tblStyle w:val="TableGrid"/>
        <w:tblpPr w:leftFromText="180" w:rightFromText="180" w:vertAnchor="text" w:horzAnchor="margin" w:tblpY="264"/>
        <w:tblW w:w="0" w:type="auto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1A300E" w14:paraId="5BF3B6CF" w14:textId="77777777" w:rsidTr="00FB48B3">
        <w:tc>
          <w:tcPr>
            <w:tcW w:w="9629" w:type="dxa"/>
            <w:shd w:val="clear" w:color="auto" w:fill="auto"/>
          </w:tcPr>
          <w:p w14:paraId="467D9CC3" w14:textId="77777777" w:rsidR="001A300E" w:rsidRPr="008468FB" w:rsidRDefault="001A300E" w:rsidP="00FB48B3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>
              <w:tab/>
            </w:r>
            <w:r w:rsidRPr="008468FB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1A300E" w:rsidRPr="00BC6CD8" w14:paraId="6AEC4AF8" w14:textId="77777777" w:rsidTr="00FB48B3">
        <w:tc>
          <w:tcPr>
            <w:tcW w:w="9629" w:type="dxa"/>
            <w:shd w:val="clear" w:color="auto" w:fill="auto"/>
          </w:tcPr>
          <w:p w14:paraId="2FB91877" w14:textId="77777777" w:rsidR="001A300E" w:rsidRPr="00FA258B" w:rsidRDefault="001A300E" w:rsidP="001A300E">
            <w:pPr>
              <w:tabs>
                <w:tab w:val="left" w:pos="3661"/>
              </w:tabs>
              <w:spacing w:after="240"/>
              <w:ind w:left="3544" w:right="1134" w:hanging="2693"/>
            </w:pPr>
            <w:r>
              <w:rPr>
                <w:b/>
                <w:bCs/>
              </w:rPr>
              <w:t>Существо предложения:</w:t>
            </w:r>
            <w:r>
              <w:tab/>
            </w:r>
            <w:r w:rsidRPr="001A300E">
              <w:t xml:space="preserve">Положения </w:t>
            </w:r>
            <w:r>
              <w:t>подраздела 1.1.3.6 ДОПОГ являются непоследовательными и не соответствуют цели положений главы 1.10.</w:t>
            </w:r>
          </w:p>
        </w:tc>
      </w:tr>
      <w:tr w:rsidR="001A300E" w:rsidRPr="00BC6CD8" w14:paraId="503D1673" w14:textId="77777777" w:rsidTr="00FB48B3">
        <w:tc>
          <w:tcPr>
            <w:tcW w:w="9629" w:type="dxa"/>
            <w:shd w:val="clear" w:color="auto" w:fill="auto"/>
          </w:tcPr>
          <w:p w14:paraId="0604FFB6" w14:textId="77777777" w:rsidR="001A300E" w:rsidRPr="00FA258B" w:rsidRDefault="001A300E" w:rsidP="001A300E">
            <w:pPr>
              <w:tabs>
                <w:tab w:val="left" w:pos="3661"/>
              </w:tabs>
              <w:spacing w:after="240"/>
              <w:ind w:left="3544" w:right="1134" w:hanging="2693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Изменить подраздел 1.1.3.6 таким образом, чтобы применялись положения главы 1.10.</w:t>
            </w:r>
          </w:p>
          <w:p w14:paraId="08D2A716" w14:textId="496A8706" w:rsidR="001A300E" w:rsidRDefault="001A300E" w:rsidP="001A300E">
            <w:pPr>
              <w:tabs>
                <w:tab w:val="left" w:pos="3661"/>
              </w:tabs>
              <w:ind w:left="3544" w:right="1134" w:hanging="2693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1A300E">
              <w:t>Неофициальный д</w:t>
            </w:r>
            <w:r>
              <w:t xml:space="preserve">окумент INF.8 (документ Швеции и Норвегии для сто девятой сессии) </w:t>
            </w:r>
          </w:p>
          <w:p w14:paraId="1460B2CA" w14:textId="2608E39A" w:rsidR="001A300E" w:rsidRPr="001A300E" w:rsidRDefault="001A300E" w:rsidP="001A300E">
            <w:pPr>
              <w:tabs>
                <w:tab w:val="left" w:pos="3661"/>
              </w:tabs>
              <w:ind w:left="3544" w:right="1134" w:hanging="2693"/>
            </w:pPr>
            <w:r>
              <w:tab/>
            </w:r>
            <w:r w:rsidRPr="001A300E">
              <w:t>ECE/TRANS/WP.15/253, пп. 56 и 57 (доклад о работе сто</w:t>
            </w:r>
            <w:r>
              <w:t> </w:t>
            </w:r>
            <w:r w:rsidRPr="001A300E">
              <w:t xml:space="preserve">девятой сессии) </w:t>
            </w:r>
          </w:p>
          <w:p w14:paraId="5CB7A0E9" w14:textId="7AAAB4A8" w:rsidR="001A300E" w:rsidRPr="001A300E" w:rsidRDefault="001A300E" w:rsidP="001A300E">
            <w:pPr>
              <w:tabs>
                <w:tab w:val="left" w:pos="3661"/>
              </w:tabs>
              <w:ind w:left="3544" w:right="1134" w:hanging="2693"/>
            </w:pPr>
            <w:r>
              <w:tab/>
            </w:r>
            <w:r w:rsidRPr="001A300E">
              <w:t xml:space="preserve">ECE/TRANS/WP.15/2021/8 (предложение Швеции и Норвегии для сто десятой сессии) + неофициальные документы INF.3 и INF.6 </w:t>
            </w:r>
          </w:p>
          <w:p w14:paraId="0BA4E6F6" w14:textId="10F81E3F" w:rsidR="001A300E" w:rsidRPr="00FA258B" w:rsidRDefault="001A300E" w:rsidP="001A300E">
            <w:pPr>
              <w:tabs>
                <w:tab w:val="left" w:pos="3661"/>
              </w:tabs>
              <w:ind w:left="3544" w:right="1134" w:hanging="2693"/>
            </w:pPr>
            <w:r>
              <w:tab/>
            </w:r>
            <w:r w:rsidRPr="001A300E">
              <w:t>ECE/TRANS/WP.15/255, пп. 55–57 (доклад о работе сто</w:t>
            </w:r>
            <w:r>
              <w:t> </w:t>
            </w:r>
            <w:r w:rsidRPr="001A300E">
              <w:t>десятой сессии WP.15)</w:t>
            </w:r>
          </w:p>
        </w:tc>
      </w:tr>
      <w:tr w:rsidR="001A300E" w:rsidRPr="00BC6CD8" w14:paraId="71F0E8B6" w14:textId="77777777" w:rsidTr="00FB48B3">
        <w:tc>
          <w:tcPr>
            <w:tcW w:w="9629" w:type="dxa"/>
            <w:shd w:val="clear" w:color="auto" w:fill="auto"/>
          </w:tcPr>
          <w:p w14:paraId="529324A0" w14:textId="77777777" w:rsidR="001A300E" w:rsidRPr="00FA258B" w:rsidRDefault="001A300E" w:rsidP="00FB48B3"/>
        </w:tc>
      </w:tr>
    </w:tbl>
    <w:p w14:paraId="421C7F1C" w14:textId="77777777" w:rsidR="001A300E" w:rsidRPr="00FA258B" w:rsidRDefault="001A300E" w:rsidP="001A300E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A452BB6" w14:textId="77777777" w:rsidR="001A300E" w:rsidRPr="00FA258B" w:rsidRDefault="001A300E" w:rsidP="001A300E">
      <w:pPr>
        <w:pStyle w:val="SingleTxtG"/>
      </w:pPr>
      <w:r>
        <w:t>1.</w:t>
      </w:r>
      <w:r>
        <w:tab/>
        <w:t xml:space="preserve">На последней сессии Рабочей группы Норвегия и Швеция представили документ ECE/TRANS/WP.15/2021/8 (см. также исправление в неофициальном </w:t>
      </w:r>
      <w:r>
        <w:lastRenderedPageBreak/>
        <w:t xml:space="preserve">документе INF.6) вместе с неофициальным документом INF.3 (перечень соответствующих веществ и изделий). Несколько делегаций заявили о своей принципиальной поддержке данного предложения, но пожелали получить больше времени для изучения возможных последствий, связанных с предлагаемыми мерами. </w:t>
      </w:r>
    </w:p>
    <w:p w14:paraId="2AAADD74" w14:textId="77777777" w:rsidR="001A300E" w:rsidRPr="00FA258B" w:rsidRDefault="001A300E" w:rsidP="001A300E">
      <w:pPr>
        <w:pStyle w:val="SingleTxtG"/>
      </w:pPr>
      <w:r>
        <w:t>2.</w:t>
      </w:r>
      <w:r>
        <w:tab/>
        <w:t>Целью предложения Швеции и Норвегии является повышения уровня безопасности при перевозке в соответствии с подразделом 1.1.3.6. По этой причине предлагается, чтобы положения по обеспечению безопасности применялись ко всем веществам и изделиям, включенным в перечень грузов повышенной опасности, в количестве от 0 кг также при перевозке в соответствии с подразделом 1.1.3.6.</w:t>
      </w:r>
    </w:p>
    <w:p w14:paraId="77FE7A09" w14:textId="77777777" w:rsidR="001A300E" w:rsidRPr="00FA258B" w:rsidRDefault="001A300E" w:rsidP="001A300E">
      <w:pPr>
        <w:pStyle w:val="HChG"/>
        <w:ind w:firstLine="0"/>
      </w:pPr>
      <w:r>
        <w:rPr>
          <w:bCs/>
        </w:rPr>
        <w:t>Справочная информация</w:t>
      </w:r>
    </w:p>
    <w:p w14:paraId="789CB5BC" w14:textId="2816F9C3" w:rsidR="001A300E" w:rsidRPr="00FA258B" w:rsidRDefault="001A300E" w:rsidP="001A300E">
      <w:pPr>
        <w:pStyle w:val="SingleTxtG"/>
      </w:pPr>
      <w:r>
        <w:t>3.</w:t>
      </w:r>
      <w:r>
        <w:tab/>
        <w:t>Положения ДОПОГ изначально были разработаны для повышения безопасности перевозки опасных грузов. Чтобы соответствовать техническому прогрессу и другим социальным факторам, его положения постоянно находятся в процессе изменения. С 2005 года правила были дополнены положениями, специально направленными на повышение безопасности (глава 1.10). В данной главе в таблице</w:t>
      </w:r>
      <w:r w:rsidR="00AD3DF1">
        <w:t> </w:t>
      </w:r>
      <w:r>
        <w:t>1.10.3.1.2 представлены вещества и изделия, которые считаются грузами повышенной опасности независимо от перевозимого количества.</w:t>
      </w:r>
    </w:p>
    <w:p w14:paraId="2EF4E0EA" w14:textId="77777777" w:rsidR="001A300E" w:rsidRPr="00FA258B" w:rsidRDefault="001A300E" w:rsidP="001A300E">
      <w:pPr>
        <w:pStyle w:val="SingleTxtG"/>
      </w:pPr>
      <w:r>
        <w:t>4.</w:t>
      </w:r>
      <w:r>
        <w:tab/>
        <w:t>В настоящее время существуют два фактора, которые могут повлиять на то, подпадает ли вещество, охватываемое таблицей 1.10.3.1.2, под действие положений главы 1.10 или нет:</w:t>
      </w:r>
    </w:p>
    <w:p w14:paraId="03652EFA" w14:textId="77777777" w:rsidR="001A300E" w:rsidRPr="00FA258B" w:rsidRDefault="001A300E" w:rsidP="001A300E">
      <w:pPr>
        <w:pStyle w:val="SingleTxtG"/>
        <w:ind w:left="1701"/>
      </w:pPr>
      <w:r>
        <w:t>a)</w:t>
      </w:r>
      <w:r>
        <w:tab/>
        <w:t>одни и те же вещества или изделия могут быть упакованы согласно разной классификации (например, детонаторы, детонирующие шнуры и кумулятивные заряды);</w:t>
      </w:r>
    </w:p>
    <w:p w14:paraId="5BC7E89D" w14:textId="77777777" w:rsidR="001A300E" w:rsidRPr="00FA258B" w:rsidRDefault="001A300E" w:rsidP="001A300E">
      <w:pPr>
        <w:pStyle w:val="SingleTxtG"/>
        <w:ind w:left="1701"/>
      </w:pPr>
      <w:r>
        <w:t>b)</w:t>
      </w:r>
      <w:r>
        <w:tab/>
        <w:t>вещество может перевозиться в соответствии с определенным изъятием, например, предусмотренным в подразделе 1.1.3.6.</w:t>
      </w:r>
    </w:p>
    <w:p w14:paraId="1F33A6EE" w14:textId="77777777" w:rsidR="001A300E" w:rsidRPr="00FA258B" w:rsidRDefault="001A300E" w:rsidP="001A300E">
      <w:pPr>
        <w:pStyle w:val="SingleTxtG"/>
      </w:pPr>
      <w:r>
        <w:t>5.</w:t>
      </w:r>
      <w:r>
        <w:tab/>
        <w:t>На наш взгляд, не очевидно, что какой-либо из этих факторов оказывает реальное влияние на то, в какой степени конкретное вещество или изделие является востребованным для использования в преступных целях. Естественно, привлекательное для хищения вещество или изделие не становится менее привлекательным из-за его классификации. Преступника также не будет волновать, перевозятся ли грузы в соответствии с определенным положением, таким, например, как подраздел 1.1.3.6. В отношении приведенных выше факторов 1 и 2 Швеция и Норвегия пришли к следующим выводам:</w:t>
      </w:r>
    </w:p>
    <w:p w14:paraId="1B97AE69" w14:textId="0CE7E626" w:rsidR="001A300E" w:rsidRPr="00FA258B" w:rsidRDefault="001A300E" w:rsidP="001A300E">
      <w:pPr>
        <w:pStyle w:val="SingleTxtG"/>
        <w:ind w:left="1701"/>
      </w:pPr>
      <w:r>
        <w:t>a)</w:t>
      </w:r>
      <w:r>
        <w:tab/>
        <w:t>на своей сто девятой сессии Рабочая группа разъяснила, что она не имеет мандата на инициирование поправок (ни добавлений, ни исключений) к таблице</w:t>
      </w:r>
      <w:r w:rsidR="00AD3DF1">
        <w:t> </w:t>
      </w:r>
      <w:r>
        <w:t>1.10.3.1.2. Перечень грузов повышенной опасности, приведенный в таблице 1.10.3.1.2, является результатом согласования ДОПОГ с Типовыми правилами. Данная таблица была подготовлена экспертами Подкомитета, и поэтому предложения о внесении поправок в этот перечень должны быть доведены до сведения Подкомитета экспертов по перевозке опасных грузов. С</w:t>
      </w:r>
      <w:r w:rsidR="00AD3DF1">
        <w:t> </w:t>
      </w:r>
      <w:r>
        <w:t>нашей точки зрения, проблема упаковки взрывчатых веществ, безусловно, является аргументом в пользу расширения круга охваченных взрывчатых веществ класса 1;</w:t>
      </w:r>
    </w:p>
    <w:p w14:paraId="250AC398" w14:textId="77777777" w:rsidR="001A300E" w:rsidRPr="00FA258B" w:rsidRDefault="001A300E" w:rsidP="001A300E">
      <w:pPr>
        <w:pStyle w:val="SingleTxtG"/>
        <w:ind w:left="1701"/>
      </w:pPr>
      <w:r>
        <w:t>b)</w:t>
      </w:r>
      <w:r>
        <w:tab/>
        <w:t xml:space="preserve">мы считаем, что при применении подраздела 1.1.3.6 нынешнее освобождение от действия положений по обеспечению безопасности, содержащихся в главе 1.10, дает неверные сигналы относительно рисков для безопасности, связанных с грузами повышенной опасности. Положения ДОПОГ должны быть последовательными и соответствовать цели указанных положений как с точки зрения безопасности, так и с точки зрения охраны. </w:t>
      </w:r>
    </w:p>
    <w:p w14:paraId="28FE62B4" w14:textId="77777777" w:rsidR="001A300E" w:rsidRPr="00FA258B" w:rsidRDefault="001A300E" w:rsidP="001A300E">
      <w:pPr>
        <w:pStyle w:val="HChG"/>
        <w:ind w:firstLine="0"/>
      </w:pPr>
      <w:r>
        <w:lastRenderedPageBreak/>
        <w:tab/>
      </w:r>
      <w:r>
        <w:rPr>
          <w:bCs/>
        </w:rPr>
        <w:t>Предложение</w:t>
      </w:r>
    </w:p>
    <w:p w14:paraId="421D6DFB" w14:textId="77777777" w:rsidR="001A300E" w:rsidRPr="00CE71D5" w:rsidRDefault="001A300E" w:rsidP="001A300E">
      <w:pPr>
        <w:pStyle w:val="SingleTxtG"/>
        <w:rPr>
          <w:i/>
          <w:iCs/>
        </w:rPr>
      </w:pPr>
      <w:r>
        <w:tab/>
      </w:r>
      <w:r>
        <w:rPr>
          <w:i/>
          <w:iCs/>
        </w:rPr>
        <w:t>Примечание: Что касается сопутствующих поправок в разделе 1.10.4, то для мартовской сессии 2022 года Совместного совещания представлен соответствующий документ, см. ECE/TRANS/WP.15/AC.1/2022/14.</w:t>
      </w:r>
      <w:r>
        <w:t xml:space="preserve"> </w:t>
      </w:r>
    </w:p>
    <w:p w14:paraId="7E1100CF" w14:textId="77777777" w:rsidR="001A300E" w:rsidRPr="00FA258B" w:rsidRDefault="001A300E" w:rsidP="001A300E">
      <w:pPr>
        <w:pStyle w:val="H1G"/>
      </w:pPr>
      <w:r>
        <w:tab/>
      </w:r>
      <w:r>
        <w:tab/>
      </w:r>
      <w:r>
        <w:rPr>
          <w:bCs/>
        </w:rPr>
        <w:t>Альтернативный вариант 1</w:t>
      </w:r>
    </w:p>
    <w:p w14:paraId="6D59021A" w14:textId="77777777" w:rsidR="001A300E" w:rsidRPr="00FA258B" w:rsidRDefault="001A300E" w:rsidP="001A300E">
      <w:pPr>
        <w:pStyle w:val="SingleTxtG"/>
      </w:pPr>
      <w:r>
        <w:t>6.</w:t>
      </w:r>
      <w:r>
        <w:tab/>
        <w:t>Изменить первый подпункт в пункте 1.1.3.6.2 следующим образом (добавленный текст подчеркнут, исключенный текст зачеркнут):</w:t>
      </w:r>
    </w:p>
    <w:p w14:paraId="0AB297DC" w14:textId="77777777" w:rsidR="001A300E" w:rsidRPr="00FA258B" w:rsidRDefault="001A300E" w:rsidP="001A300E">
      <w:pPr>
        <w:keepNext/>
        <w:snapToGrid w:val="0"/>
        <w:spacing w:before="120" w:after="120"/>
        <w:ind w:left="1701" w:right="1134"/>
        <w:jc w:val="both"/>
      </w:pPr>
      <w:r>
        <w:t>«–</w:t>
      </w:r>
      <w:r>
        <w:tab/>
        <w:t>глава 1.10,</w:t>
      </w:r>
      <w:r>
        <w:rPr>
          <w:u w:val="single"/>
        </w:rPr>
        <w:t xml:space="preserve"> кроме грузов повышенной опасности (в соответствии с подразделом 1.10.3.1)</w:t>
      </w:r>
      <w:r>
        <w:t xml:space="preserve"> </w:t>
      </w:r>
      <w:r>
        <w:rPr>
          <w:strike/>
        </w:rPr>
        <w:t xml:space="preserve">взрывчатых веществ и изделий класса 1 под № ООН 0029, 0030, 0059, 0065, 0073, 0104, 0237, 0255, 0267, 0288, 0289, 0290, 0360, 0361, 0364, 0365, 0366, 0439, 0440, 0441, 0455, 0456, 0500, 0512 и 0513 </w:t>
      </w:r>
      <w:r>
        <w:t>и кроме освобожденных упаковок класса 7 под № ООН 2910 и 2911, если уровень активности превышает значение А</w:t>
      </w:r>
      <w:r>
        <w:rPr>
          <w:vertAlign w:val="subscript"/>
        </w:rPr>
        <w:t>2</w:t>
      </w:r>
      <w:r>
        <w:t>;».</w:t>
      </w:r>
    </w:p>
    <w:p w14:paraId="00788281" w14:textId="77777777" w:rsidR="001A300E" w:rsidRPr="00FA258B" w:rsidRDefault="001A300E" w:rsidP="001A300E">
      <w:pPr>
        <w:pStyle w:val="H1G"/>
      </w:pPr>
      <w:r>
        <w:tab/>
      </w:r>
      <w:r>
        <w:tab/>
      </w:r>
      <w:r>
        <w:rPr>
          <w:bCs/>
        </w:rPr>
        <w:t>Альтернативный вариант 2</w:t>
      </w:r>
    </w:p>
    <w:p w14:paraId="2A334F74" w14:textId="77777777" w:rsidR="001A300E" w:rsidRPr="00FA258B" w:rsidRDefault="001A300E" w:rsidP="001A300E">
      <w:pPr>
        <w:pStyle w:val="SingleTxtG"/>
      </w:pPr>
      <w:r>
        <w:t>7.</w:t>
      </w:r>
      <w:r>
        <w:tab/>
        <w:t xml:space="preserve">На тот случай, если вышеизложенное предложение не будет принято, мы предлагаем второй альтернативный вариант, который предусматривает только поправки, касающиеся класса 1. </w:t>
      </w:r>
    </w:p>
    <w:p w14:paraId="0D7BDEA6" w14:textId="77777777" w:rsidR="001A300E" w:rsidRPr="00FA258B" w:rsidRDefault="001A300E" w:rsidP="001A300E">
      <w:pPr>
        <w:pStyle w:val="SingleTxtG"/>
      </w:pPr>
      <w:r>
        <w:t>8.</w:t>
      </w:r>
      <w:r>
        <w:tab/>
        <w:t>Изменить первый подпункт в пункте 1.1.3.6.2 следующим образом (добавленный текст подчеркнут, исключенный текст зачеркнут):</w:t>
      </w:r>
    </w:p>
    <w:p w14:paraId="64194C8C" w14:textId="7977CA82" w:rsidR="001A300E" w:rsidRPr="00FA258B" w:rsidRDefault="001A300E" w:rsidP="001A300E">
      <w:pPr>
        <w:pStyle w:val="SingleTxtG"/>
        <w:ind w:left="1701"/>
      </w:pPr>
      <w:r>
        <w:t>«–</w:t>
      </w:r>
      <w:r>
        <w:tab/>
        <w:t>глава 1.10, кроме взрывчатых веществ и изделий класса 1</w:t>
      </w:r>
      <w:r>
        <w:rPr>
          <w:u w:val="single"/>
        </w:rPr>
        <w:t>, относящихся к грузам повышенной опасности (в соответствии с подразделом 1.10.3.1)</w:t>
      </w:r>
      <w:r>
        <w:t>,</w:t>
      </w:r>
      <w:r>
        <w:rPr>
          <w:strike/>
        </w:rPr>
        <w:t xml:space="preserve"> под №</w:t>
      </w:r>
      <w:r w:rsidR="009638B3">
        <w:rPr>
          <w:strike/>
        </w:rPr>
        <w:t> </w:t>
      </w:r>
      <w:r>
        <w:rPr>
          <w:strike/>
        </w:rPr>
        <w:t>ООН 0029, 0030, 0059, 0065, 0073, 0104, 0237, 0255, 0267, 0288, 0289, 0290, 0360, 0361, 0364, 0365, 0366, 0439, 0440, 0441, 0455, 0456, 0500, 0512 и 0513</w:t>
      </w:r>
      <w:r>
        <w:t xml:space="preserve"> и кроме освобожденных упаковок класса 7 под № ООН 2910 и 2911, если уровень активности превышает значение А</w:t>
      </w:r>
      <w:r w:rsidRPr="00AD3DF1">
        <w:rPr>
          <w:vertAlign w:val="subscript"/>
        </w:rPr>
        <w:t>2</w:t>
      </w:r>
      <w:r>
        <w:t>;».</w:t>
      </w:r>
    </w:p>
    <w:p w14:paraId="399A8EEF" w14:textId="77777777" w:rsidR="001A300E" w:rsidRPr="00FA258B" w:rsidRDefault="001A300E" w:rsidP="001A300E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796A308D" w14:textId="77777777" w:rsidR="001A300E" w:rsidRPr="00FA258B" w:rsidRDefault="001A300E" w:rsidP="001A300E">
      <w:pPr>
        <w:pStyle w:val="SingleTxtG"/>
      </w:pPr>
      <w:r>
        <w:t>9.</w:t>
      </w:r>
      <w:r>
        <w:tab/>
        <w:t>По мнению полиции, остановки или перерывы во время осуществления перевозки являются слабым звеном, а также создают довольно легкую мишень для преступников, желающих обеспечить себя большим количеством необходимых им продуктов. Груз из одной транспортной единицы может использоваться преступниками в течение очень долгого времени.</w:t>
      </w:r>
    </w:p>
    <w:p w14:paraId="79D5873B" w14:textId="77777777" w:rsidR="001A300E" w:rsidRPr="00FA258B" w:rsidRDefault="001A300E" w:rsidP="001A300E">
      <w:pPr>
        <w:pStyle w:val="SingleTxtG"/>
      </w:pPr>
      <w:r>
        <w:t>10.</w:t>
      </w:r>
      <w:r>
        <w:tab/>
        <w:t>В ходе этой работы мы консультировались с рядом различных субъектов, имеющих дело с продукцией, относящейся к классу 1. В их число входили грузоотправители, перевозчики и производители, представляющие различные виды рынков. Все они выразили большую заинтересованность в повышении уровня безопасности своих перевозок, что также включало поддержку настоящего предложения.</w:t>
      </w:r>
    </w:p>
    <w:p w14:paraId="0FB1E5F0" w14:textId="77777777" w:rsidR="001A300E" w:rsidRPr="00FA258B" w:rsidRDefault="001A300E" w:rsidP="001A300E">
      <w:pPr>
        <w:pStyle w:val="SingleTxtG"/>
      </w:pPr>
      <w:r>
        <w:t>11.</w:t>
      </w:r>
      <w:r>
        <w:tab/>
        <w:t xml:space="preserve">За исключением конкретных номеров ООН, подраздел 1.1.3.6 освобождает грузы от применения положений главы 1.10. Таким образом, когда речь идет о перевозке грузов в соответствии с подразделом 1.1.3.6, подготовка персонала требуется только в соответствии с главой 1.3, но за исключением последнего предложения пункта 1.3.1, в котором говорится о подготовке по вопросам безопасности. Этот факт, а также освобождение от действия других положений по обеспечению безопасности, содержащихся в главе 1.10, дают неверные сигналы относительно рисков для безопасности, связанных с грузами повышенной опасности, и не соответствуют угрозам в плане безопасности, с которыми мы сталкиваемся </w:t>
      </w:r>
      <w:r>
        <w:lastRenderedPageBreak/>
        <w:t>сегодня. Введение требований по обеспечению безопасности будет способствовать углублению осведомленности о безопасности и повысит безопасность водителя.</w:t>
      </w:r>
    </w:p>
    <w:p w14:paraId="2E9B6882" w14:textId="46AE4AC2" w:rsidR="00E12C5F" w:rsidRPr="008D53B6" w:rsidRDefault="001A300E" w:rsidP="001A300E">
      <w:pPr>
        <w:spacing w:before="240"/>
        <w:jc w:val="center"/>
      </w:pPr>
      <w:r w:rsidRPr="00FA258B">
        <w:rPr>
          <w:u w:val="single"/>
        </w:rPr>
        <w:tab/>
      </w:r>
      <w:r w:rsidRPr="00FA258B">
        <w:rPr>
          <w:u w:val="single"/>
        </w:rPr>
        <w:tab/>
      </w:r>
      <w:r w:rsidRPr="00FA258B">
        <w:rPr>
          <w:u w:val="single"/>
        </w:rPr>
        <w:tab/>
      </w:r>
    </w:p>
    <w:sectPr w:rsidR="00E12C5F" w:rsidRPr="008D53B6" w:rsidSect="001A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EDA6" w14:textId="77777777" w:rsidR="003C73E6" w:rsidRPr="00A312BC" w:rsidRDefault="003C73E6" w:rsidP="00A312BC"/>
  </w:endnote>
  <w:endnote w:type="continuationSeparator" w:id="0">
    <w:p w14:paraId="2DC66896" w14:textId="77777777" w:rsidR="003C73E6" w:rsidRPr="00A312BC" w:rsidRDefault="003C73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EEC8" w14:textId="48DC98C2" w:rsidR="001A300E" w:rsidRPr="001A300E" w:rsidRDefault="001A300E">
    <w:pPr>
      <w:pStyle w:val="Footer"/>
    </w:pPr>
    <w:r w:rsidRPr="001A300E">
      <w:rPr>
        <w:b/>
        <w:sz w:val="18"/>
      </w:rPr>
      <w:fldChar w:fldCharType="begin"/>
    </w:r>
    <w:r w:rsidRPr="001A300E">
      <w:rPr>
        <w:b/>
        <w:sz w:val="18"/>
      </w:rPr>
      <w:instrText xml:space="preserve"> PAGE  \* MERGEFORMAT </w:instrText>
    </w:r>
    <w:r w:rsidRPr="001A300E">
      <w:rPr>
        <w:b/>
        <w:sz w:val="18"/>
      </w:rPr>
      <w:fldChar w:fldCharType="separate"/>
    </w:r>
    <w:r w:rsidRPr="001A300E">
      <w:rPr>
        <w:b/>
        <w:noProof/>
        <w:sz w:val="18"/>
      </w:rPr>
      <w:t>2</w:t>
    </w:r>
    <w:r w:rsidRPr="001A300E">
      <w:rPr>
        <w:b/>
        <w:sz w:val="18"/>
      </w:rPr>
      <w:fldChar w:fldCharType="end"/>
    </w:r>
    <w:r>
      <w:rPr>
        <w:b/>
        <w:sz w:val="18"/>
      </w:rPr>
      <w:tab/>
    </w:r>
    <w:r>
      <w:t>GE.22-02331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8E30" w14:textId="656CAA73" w:rsidR="001A300E" w:rsidRPr="001A300E" w:rsidRDefault="001A300E" w:rsidP="001A300E">
    <w:pPr>
      <w:pStyle w:val="Footer"/>
      <w:tabs>
        <w:tab w:val="clear" w:pos="9639"/>
        <w:tab w:val="right" w:pos="9638"/>
      </w:tabs>
      <w:rPr>
        <w:b/>
        <w:sz w:val="18"/>
      </w:rPr>
    </w:pPr>
    <w:r>
      <w:t>GE.22-02331</w:t>
    </w:r>
    <w:r>
      <w:tab/>
    </w:r>
    <w:r w:rsidRPr="001A300E">
      <w:rPr>
        <w:b/>
        <w:sz w:val="18"/>
      </w:rPr>
      <w:fldChar w:fldCharType="begin"/>
    </w:r>
    <w:r w:rsidRPr="001A300E">
      <w:rPr>
        <w:b/>
        <w:sz w:val="18"/>
      </w:rPr>
      <w:instrText xml:space="preserve"> PAGE  \* MERGEFORMAT </w:instrText>
    </w:r>
    <w:r w:rsidRPr="001A300E">
      <w:rPr>
        <w:b/>
        <w:sz w:val="18"/>
      </w:rPr>
      <w:fldChar w:fldCharType="separate"/>
    </w:r>
    <w:r w:rsidRPr="001A300E">
      <w:rPr>
        <w:b/>
        <w:noProof/>
        <w:sz w:val="18"/>
      </w:rPr>
      <w:t>3</w:t>
    </w:r>
    <w:r w:rsidRPr="001A30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EA25" w14:textId="7CF44CD5" w:rsidR="00042B72" w:rsidRPr="001A300E" w:rsidRDefault="001A300E" w:rsidP="001A300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130B4D" wp14:editId="5074F7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22-02331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226522" wp14:editId="5DE456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010322  020322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2EA2" w14:textId="77777777" w:rsidR="003C73E6" w:rsidRPr="001075E9" w:rsidRDefault="003C73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417EE" w14:textId="77777777" w:rsidR="003C73E6" w:rsidRDefault="003C73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733399" w14:textId="77777777" w:rsidR="001A300E" w:rsidRPr="00170578" w:rsidRDefault="001A300E" w:rsidP="001A300E">
      <w:pPr>
        <w:pStyle w:val="FootnoteText"/>
        <w:tabs>
          <w:tab w:val="left" w:pos="720"/>
        </w:tabs>
        <w:ind w:left="1418" w:right="1260" w:hanging="284"/>
        <w:jc w:val="both"/>
      </w:pPr>
      <w:r w:rsidRPr="001A300E">
        <w:rPr>
          <w:rStyle w:val="FootnoteReference"/>
          <w:sz w:val="20"/>
          <w:vertAlign w:val="baseline"/>
        </w:rPr>
        <w:sym w:font="Symbol" w:char="F02A"/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DA8" w14:textId="6815FAFC" w:rsidR="001A300E" w:rsidRPr="001A300E" w:rsidRDefault="0031235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300E">
      <w:t>ECE/TRANS/WP.15/2022/3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2C48" w14:textId="619BA497" w:rsidR="001A300E" w:rsidRPr="001A300E" w:rsidRDefault="00312351" w:rsidP="001A30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300E">
      <w:t>ECE/TRANS/WP.15/2022/3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9F5C" w14:textId="77777777" w:rsidR="001A300E" w:rsidRDefault="001A300E" w:rsidP="001A30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00E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351"/>
    <w:rsid w:val="00317339"/>
    <w:rsid w:val="00322004"/>
    <w:rsid w:val="003402C2"/>
    <w:rsid w:val="00381C24"/>
    <w:rsid w:val="00387CD4"/>
    <w:rsid w:val="00394715"/>
    <w:rsid w:val="003958D0"/>
    <w:rsid w:val="003A0D43"/>
    <w:rsid w:val="003A48CE"/>
    <w:rsid w:val="003B00E5"/>
    <w:rsid w:val="003C73E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C6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BF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8B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DF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69D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21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A191B8"/>
  <w15:docId w15:val="{E2C2F8DD-7A15-4F50-BBF8-03C715E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A300E"/>
    <w:rPr>
      <w:lang w:val="ru-RU" w:eastAsia="en-US"/>
    </w:rPr>
  </w:style>
  <w:style w:type="character" w:customStyle="1" w:styleId="H1GChar">
    <w:name w:val="_ H_1_G Char"/>
    <w:link w:val="H1G"/>
    <w:rsid w:val="001A300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A300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6680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ECE/TRANS/WP.15/2022/3</vt:lpstr>
      <vt:lpstr>A/</vt:lpstr>
      <vt:lpstr>A/</vt:lpstr>
    </vt:vector>
  </TitlesOfParts>
  <Company>DCM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ECE/TRANS/WP.15/2022/3</dc:title>
  <dc:subject/>
  <dc:creator>Olga OVTCHINNIKOVA</dc:creator>
  <cp:keywords/>
  <cp:lastModifiedBy>Christine Barrio-Champeau</cp:lastModifiedBy>
  <cp:revision>2</cp:revision>
  <cp:lastPrinted>2008-01-15T07:58:00Z</cp:lastPrinted>
  <dcterms:created xsi:type="dcterms:W3CDTF">2022-03-17T09:13:00Z</dcterms:created>
  <dcterms:modified xsi:type="dcterms:W3CDTF">2022-03-17T09:13:00Z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