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896C" w14:textId="77777777" w:rsidR="00C300CC" w:rsidRPr="00FB2FFF" w:rsidRDefault="00C300CC" w:rsidP="00C300CC">
      <w:pPr>
        <w:spacing w:before="120"/>
        <w:rPr>
          <w:b/>
          <w:sz w:val="28"/>
          <w:szCs w:val="28"/>
        </w:rPr>
      </w:pPr>
      <w:r w:rsidRPr="00FB2FFF">
        <w:rPr>
          <w:b/>
          <w:sz w:val="28"/>
          <w:szCs w:val="28"/>
        </w:rPr>
        <w:t>Economic Commission for Europe</w:t>
      </w:r>
    </w:p>
    <w:p w14:paraId="4A46DC9C" w14:textId="77777777" w:rsidR="00C300CC" w:rsidRPr="00FB2FFF" w:rsidRDefault="00C300CC" w:rsidP="00C300CC">
      <w:pPr>
        <w:spacing w:before="120"/>
        <w:rPr>
          <w:sz w:val="28"/>
          <w:szCs w:val="28"/>
        </w:rPr>
      </w:pPr>
      <w:r w:rsidRPr="00FB2FFF">
        <w:rPr>
          <w:sz w:val="28"/>
          <w:szCs w:val="28"/>
        </w:rPr>
        <w:t>Inland Transport Committee</w:t>
      </w:r>
    </w:p>
    <w:p w14:paraId="1B8A277D" w14:textId="77777777" w:rsidR="00C300CC" w:rsidRPr="00FB2FFF" w:rsidRDefault="00C300CC" w:rsidP="00C300CC">
      <w:pPr>
        <w:spacing w:before="120"/>
        <w:rPr>
          <w:b/>
          <w:sz w:val="24"/>
          <w:szCs w:val="24"/>
        </w:rPr>
      </w:pPr>
      <w:r w:rsidRPr="00FB2FFF">
        <w:rPr>
          <w:b/>
          <w:sz w:val="24"/>
          <w:szCs w:val="24"/>
        </w:rPr>
        <w:t>Working Party on the Transport of Dangerous Goods</w:t>
      </w:r>
    </w:p>
    <w:p w14:paraId="1E199F95" w14:textId="77777777" w:rsidR="00C300CC" w:rsidRPr="00FB2FFF" w:rsidRDefault="00C300CC" w:rsidP="00C300CC">
      <w:pPr>
        <w:spacing w:before="120"/>
        <w:rPr>
          <w:rFonts w:eastAsia="SimSun"/>
          <w:b/>
        </w:rPr>
      </w:pPr>
      <w:r w:rsidRPr="00FB2FFF">
        <w:rPr>
          <w:rFonts w:eastAsia="SimSun"/>
          <w:b/>
        </w:rPr>
        <w:t>111th</w:t>
      </w:r>
      <w:r w:rsidRPr="00FB2FFF">
        <w:rPr>
          <w:rStyle w:val="hps"/>
          <w:rFonts w:ascii="Arial" w:hAnsi="Arial" w:cs="Arial"/>
          <w:color w:val="222222"/>
        </w:rPr>
        <w:t xml:space="preserve"> </w:t>
      </w:r>
      <w:r w:rsidRPr="00FB2FFF">
        <w:rPr>
          <w:rFonts w:eastAsia="SimSun"/>
          <w:b/>
        </w:rPr>
        <w:t xml:space="preserve">session </w:t>
      </w:r>
    </w:p>
    <w:p w14:paraId="580BE14F" w14:textId="77777777" w:rsidR="00C300CC" w:rsidRPr="00FB2FFF" w:rsidRDefault="00C300CC" w:rsidP="00C300CC">
      <w:pPr>
        <w:rPr>
          <w:rFonts w:eastAsia="SimSun"/>
        </w:rPr>
      </w:pPr>
      <w:r w:rsidRPr="00FB2FFF">
        <w:rPr>
          <w:rFonts w:eastAsia="SimSun"/>
        </w:rPr>
        <w:t>Geneva, 9–13 May 2022</w:t>
      </w:r>
    </w:p>
    <w:p w14:paraId="2D3E99B2" w14:textId="4006F7D2" w:rsidR="00E95E73" w:rsidRPr="00FB2FFF" w:rsidRDefault="00E95E73" w:rsidP="00E95E73">
      <w:r w:rsidRPr="00FB2FFF">
        <w:t>Item 5 (</w:t>
      </w:r>
      <w:r w:rsidR="00603EA3" w:rsidRPr="00FB2FFF">
        <w:t>a</w:t>
      </w:r>
      <w:r w:rsidRPr="00FB2FFF">
        <w:t>) of the provisional agenda</w:t>
      </w:r>
      <w:r w:rsidR="007F27B2">
        <w:tab/>
      </w:r>
      <w:r w:rsidR="007F27B2">
        <w:tab/>
      </w:r>
      <w:r w:rsidR="007F27B2">
        <w:tab/>
      </w:r>
      <w:r w:rsidR="007F27B2">
        <w:tab/>
      </w:r>
      <w:r w:rsidR="007F27B2">
        <w:tab/>
      </w:r>
      <w:r w:rsidR="007F27B2">
        <w:tab/>
        <w:t>10 Marc</w:t>
      </w:r>
      <w:r w:rsidR="006A7F69">
        <w:t>h 2022</w:t>
      </w:r>
    </w:p>
    <w:p w14:paraId="032200A4" w14:textId="77777777" w:rsidR="00180D9C" w:rsidRPr="00FB2FFF" w:rsidRDefault="00180D9C" w:rsidP="00180D9C">
      <w:pPr>
        <w:spacing w:line="235" w:lineRule="exact"/>
        <w:rPr>
          <w:b/>
        </w:rPr>
      </w:pPr>
      <w:r w:rsidRPr="00FB2FFF">
        <w:rPr>
          <w:b/>
        </w:rPr>
        <w:t xml:space="preserve">Proposals for amendments to annexes A and B of ADR: </w:t>
      </w:r>
    </w:p>
    <w:p w14:paraId="25ADE4CF" w14:textId="5B3FC5BB" w:rsidR="00180D9C" w:rsidRPr="00FB2FFF" w:rsidRDefault="00543F68" w:rsidP="00180D9C">
      <w:pPr>
        <w:spacing w:line="235" w:lineRule="exact"/>
        <w:rPr>
          <w:b/>
        </w:rPr>
      </w:pPr>
      <w:r w:rsidRPr="00FB2FFF">
        <w:rPr>
          <w:b/>
        </w:rPr>
        <w:t>c</w:t>
      </w:r>
      <w:r w:rsidR="00180D9C" w:rsidRPr="00FB2FFF">
        <w:rPr>
          <w:b/>
        </w:rPr>
        <w:t xml:space="preserve">onstruction and approval of vehicles </w:t>
      </w:r>
    </w:p>
    <w:p w14:paraId="78EE46C1" w14:textId="77777777" w:rsidR="00E97B94" w:rsidRPr="00FB2FFF" w:rsidRDefault="00EE4457" w:rsidP="00F1433E">
      <w:pPr>
        <w:pStyle w:val="HChG"/>
        <w:rPr>
          <w:lang w:val="en-GB"/>
        </w:rPr>
      </w:pPr>
      <w:r w:rsidRPr="00FB2FFF">
        <w:rPr>
          <w:szCs w:val="28"/>
          <w:lang w:val="en-GB"/>
        </w:rPr>
        <w:tab/>
      </w:r>
      <w:r w:rsidRPr="00FB2FFF">
        <w:rPr>
          <w:szCs w:val="28"/>
          <w:lang w:val="en-GB"/>
        </w:rPr>
        <w:tab/>
      </w:r>
      <w:r w:rsidR="00E97B94" w:rsidRPr="00FB2FFF">
        <w:rPr>
          <w:lang w:val="en-GB"/>
        </w:rPr>
        <w:t xml:space="preserve">Engine fire suppression systems and tyre fire protection systems to reduce the likelihood of a boiling liquid expanding vapor explosion (BLEVE) or other catastrophic failure of the tank due to a fire </w:t>
      </w:r>
    </w:p>
    <w:p w14:paraId="409EDAB8" w14:textId="30DDAB28" w:rsidR="0060110F" w:rsidRPr="00FB2FFF" w:rsidRDefault="0060110F" w:rsidP="0060110F">
      <w:pPr>
        <w:pStyle w:val="H1G"/>
      </w:pPr>
      <w:r w:rsidRPr="00FB2FFF">
        <w:tab/>
      </w:r>
      <w:r w:rsidRPr="00FB2FFF">
        <w:tab/>
        <w:t>Transmitted by International Organization of Motor Vehicle Manufacturers (OICA)</w:t>
      </w:r>
    </w:p>
    <w:p w14:paraId="496963CF" w14:textId="77777777" w:rsidR="00E97B94" w:rsidRPr="00FB2FFF" w:rsidRDefault="00E97B94" w:rsidP="00E97B94">
      <w:pPr>
        <w:pStyle w:val="HChG"/>
        <w:rPr>
          <w:lang w:val="en-GB"/>
        </w:rPr>
      </w:pPr>
      <w:r w:rsidRPr="00FB2FFF">
        <w:rPr>
          <w:lang w:val="en-GB"/>
        </w:rPr>
        <w:t xml:space="preserve"> </w:t>
      </w:r>
      <w:r w:rsidRPr="00FB2FFF">
        <w:rPr>
          <w:lang w:val="en-GB"/>
        </w:rPr>
        <w:tab/>
      </w:r>
      <w:r w:rsidRPr="00FB2FFF">
        <w:rPr>
          <w:lang w:val="en-GB"/>
        </w:rPr>
        <w:tab/>
        <w:t xml:space="preserve">Introduction </w:t>
      </w:r>
    </w:p>
    <w:p w14:paraId="6B26E47F" w14:textId="77777777" w:rsidR="00E97B94" w:rsidRPr="00FB2FFF" w:rsidRDefault="00E97B94" w:rsidP="00E97B94">
      <w:pPr>
        <w:pStyle w:val="SingleTxtG"/>
        <w:rPr>
          <w:rFonts w:eastAsia="SimSun"/>
          <w:color w:val="000000" w:themeColor="text1"/>
          <w:shd w:val="clear" w:color="000000" w:fill="FFFFFF"/>
          <w:lang w:val="en-GB" w:eastAsia="zh-CN"/>
        </w:rPr>
      </w:pPr>
      <w:r w:rsidRPr="00FB2FFF">
        <w:rPr>
          <w:lang w:val="en-GB"/>
        </w:rPr>
        <w:t>1.</w:t>
      </w:r>
      <w:r w:rsidRPr="00FB2FFF">
        <w:rPr>
          <w:lang w:val="en-GB"/>
        </w:rPr>
        <w:tab/>
        <w:t>As per the chapter VII. A. 2 of the report of the 110</w:t>
      </w:r>
      <w:r w:rsidRPr="00FB2FFF">
        <w:rPr>
          <w:vertAlign w:val="superscript"/>
          <w:lang w:val="en-GB"/>
        </w:rPr>
        <w:t>th</w:t>
      </w:r>
      <w:r w:rsidRPr="00FB2FFF">
        <w:rPr>
          <w:lang w:val="en-GB"/>
        </w:rPr>
        <w:t xml:space="preserve"> session of the WP.15 (November 2021 - </w:t>
      </w:r>
      <w:r w:rsidRPr="00FB2FFF">
        <w:rPr>
          <w:color w:val="000000" w:themeColor="text1"/>
          <w:lang w:val="en-GB"/>
        </w:rPr>
        <w:t xml:space="preserve">document </w:t>
      </w:r>
      <w:hyperlink r:id="rId11" w:history="1">
        <w:r w:rsidRPr="00FB2FFF">
          <w:rPr>
            <w:rStyle w:val="Hyperlink"/>
            <w:color w:val="000000" w:themeColor="text1"/>
            <w:lang w:val="en-GB"/>
          </w:rPr>
          <w:t>ECE/TRANS/WP.15/255</w:t>
        </w:r>
      </w:hyperlink>
      <w:r w:rsidRPr="00FB2FFF">
        <w:rPr>
          <w:rStyle w:val="Hyperlink"/>
          <w:color w:val="000000" w:themeColor="text1"/>
          <w:lang w:val="en-GB"/>
        </w:rPr>
        <w:t>)</w:t>
      </w:r>
      <w:r w:rsidRPr="00FB2FFF">
        <w:rPr>
          <w:color w:val="000000" w:themeColor="text1"/>
          <w:lang w:val="en-GB"/>
        </w:rPr>
        <w:t xml:space="preserve"> , </w:t>
      </w:r>
      <w:r w:rsidRPr="00FB2FFF">
        <w:rPr>
          <w:rFonts w:eastAsia="SimSun"/>
          <w:color w:val="000000" w:themeColor="text1"/>
          <w:shd w:val="clear" w:color="000000" w:fill="FFFFFF"/>
          <w:lang w:val="en-GB" w:eastAsia="zh-CN"/>
        </w:rPr>
        <w:t xml:space="preserve">WP.15 </w:t>
      </w:r>
      <w:r w:rsidRPr="00FB2FFF">
        <w:rPr>
          <w:rFonts w:eastAsia="SimSun"/>
          <w:shd w:val="clear" w:color="000000" w:fill="FFFFFF"/>
          <w:lang w:val="en-GB" w:eastAsia="zh-CN"/>
        </w:rPr>
        <w:t xml:space="preserve">agreed that work on the </w:t>
      </w:r>
      <w:bookmarkStart w:id="0" w:name="_Hlk95118368"/>
      <w:r w:rsidRPr="00FB2FFF">
        <w:rPr>
          <w:rFonts w:eastAsia="SimSun"/>
          <w:shd w:val="clear" w:color="000000" w:fill="FFFFFF"/>
          <w:lang w:val="en-GB" w:eastAsia="zh-CN"/>
        </w:rPr>
        <w:t>chapter 9.7.9 (see Annex II</w:t>
      </w:r>
      <w:r w:rsidRPr="00FB2FFF">
        <w:rPr>
          <w:lang w:val="en-GB"/>
        </w:rPr>
        <w:t xml:space="preserve"> of the report</w:t>
      </w:r>
      <w:bookmarkEnd w:id="0"/>
      <w:r w:rsidRPr="00FB2FFF">
        <w:rPr>
          <w:rFonts w:eastAsia="SimSun"/>
          <w:shd w:val="clear" w:color="000000" w:fill="FFFFFF"/>
          <w:lang w:val="en-GB" w:eastAsia="zh-CN"/>
        </w:rPr>
        <w:t>) should “</w:t>
      </w:r>
      <w:r w:rsidRPr="00FB2FFF">
        <w:rPr>
          <w:rFonts w:eastAsia="SimSun"/>
          <w:i/>
          <w:iCs/>
          <w:shd w:val="clear" w:color="000000" w:fill="FFFFFF"/>
          <w:lang w:val="en-GB" w:eastAsia="zh-CN"/>
        </w:rPr>
        <w:t>continue at future sessions to better define the technical provisions to be implemented</w:t>
      </w:r>
      <w:r w:rsidRPr="00FB2FFF">
        <w:rPr>
          <w:rFonts w:eastAsia="SimSun"/>
          <w:shd w:val="clear" w:color="000000" w:fill="FFFFFF"/>
          <w:lang w:val="en-GB" w:eastAsia="zh-CN"/>
        </w:rPr>
        <w:t>” since the Working Party noted that the length of the adopted transitional measures (see chapter 1.6. of Annex II</w:t>
      </w:r>
      <w:r w:rsidRPr="00FB2FFF">
        <w:rPr>
          <w:lang w:val="en-GB"/>
        </w:rPr>
        <w:t xml:space="preserve"> of the</w:t>
      </w:r>
      <w:r w:rsidRPr="00FB2FFF">
        <w:rPr>
          <w:rStyle w:val="Hyperlink"/>
          <w:lang w:val="en-GB"/>
        </w:rPr>
        <w:t xml:space="preserve"> </w:t>
      </w:r>
      <w:r w:rsidRPr="00FB2FFF">
        <w:rPr>
          <w:rStyle w:val="Hyperlink"/>
          <w:color w:val="000000" w:themeColor="text1"/>
          <w:lang w:val="en-GB"/>
        </w:rPr>
        <w:t>report</w:t>
      </w:r>
      <w:r w:rsidRPr="00FB2FFF">
        <w:rPr>
          <w:rFonts w:eastAsia="SimSun"/>
          <w:color w:val="000000" w:themeColor="text1"/>
          <w:shd w:val="clear" w:color="000000" w:fill="FFFFFF"/>
          <w:lang w:val="en-GB" w:eastAsia="zh-CN"/>
        </w:rPr>
        <w:t>) would “</w:t>
      </w:r>
      <w:r w:rsidRPr="00FB2FFF">
        <w:rPr>
          <w:rFonts w:eastAsia="SimSun"/>
          <w:i/>
          <w:iCs/>
          <w:color w:val="000000" w:themeColor="text1"/>
          <w:shd w:val="clear" w:color="000000" w:fill="FFFFFF"/>
          <w:lang w:val="en-GB" w:eastAsia="zh-CN"/>
        </w:rPr>
        <w:t>allow for further refinement of the provisions, if necessary</w:t>
      </w:r>
      <w:r w:rsidRPr="00FB2FFF">
        <w:rPr>
          <w:rFonts w:eastAsia="SimSun"/>
          <w:color w:val="000000" w:themeColor="text1"/>
          <w:shd w:val="clear" w:color="000000" w:fill="FFFFFF"/>
          <w:lang w:val="en-GB" w:eastAsia="zh-CN"/>
        </w:rPr>
        <w:t>”.</w:t>
      </w:r>
    </w:p>
    <w:p w14:paraId="4E18D658" w14:textId="77777777" w:rsidR="00E97B94" w:rsidRPr="00FB2FFF" w:rsidRDefault="00E97B94" w:rsidP="00E97B94">
      <w:pPr>
        <w:pStyle w:val="SingleTxtG"/>
        <w:rPr>
          <w:rFonts w:eastAsia="SimSun"/>
          <w:shd w:val="clear" w:color="000000" w:fill="FFFFFF"/>
          <w:lang w:val="en-GB" w:eastAsia="zh-CN"/>
        </w:rPr>
      </w:pPr>
      <w:r w:rsidRPr="00FB2FFF">
        <w:rPr>
          <w:rFonts w:eastAsia="SimSun"/>
          <w:shd w:val="clear" w:color="000000" w:fill="FFFFFF"/>
          <w:lang w:val="en-GB" w:eastAsia="zh-CN"/>
        </w:rPr>
        <w:t>2.</w:t>
      </w:r>
      <w:r w:rsidRPr="00FB2FFF">
        <w:rPr>
          <w:rFonts w:eastAsia="SimSun"/>
          <w:shd w:val="clear" w:color="000000" w:fill="FFFFFF"/>
          <w:lang w:val="en-GB" w:eastAsia="zh-CN"/>
        </w:rPr>
        <w:tab/>
      </w:r>
      <w:r w:rsidRPr="00FB2FFF">
        <w:rPr>
          <w:lang w:val="en-GB"/>
        </w:rPr>
        <w:t xml:space="preserve">OICA understands that WP.15 and the BLEVE Working Group are looking to further modify the text of </w:t>
      </w:r>
      <w:r w:rsidRPr="00FB2FFF">
        <w:rPr>
          <w:rFonts w:eastAsia="SimSun"/>
          <w:shd w:val="clear" w:color="000000" w:fill="FFFFFF"/>
          <w:lang w:val="en-GB" w:eastAsia="zh-CN"/>
        </w:rPr>
        <w:t>chapter 9.7.9 of the ADR, as adopted per Annex II of the report</w:t>
      </w:r>
      <w:r w:rsidRPr="00FB2FFF">
        <w:rPr>
          <w:lang w:val="en-GB"/>
        </w:rPr>
        <w:t>.</w:t>
      </w:r>
    </w:p>
    <w:p w14:paraId="29E3D1B3" w14:textId="77777777" w:rsidR="00E97B94" w:rsidRPr="00FB2FFF" w:rsidRDefault="00E97B94" w:rsidP="00E97B94">
      <w:pPr>
        <w:pStyle w:val="HChG"/>
        <w:rPr>
          <w:lang w:val="en-GB"/>
        </w:rPr>
      </w:pPr>
      <w:r w:rsidRPr="00FB2FFF">
        <w:rPr>
          <w:lang w:val="en-GB"/>
        </w:rPr>
        <w:tab/>
      </w:r>
      <w:r w:rsidRPr="00FB2FFF">
        <w:rPr>
          <w:lang w:val="en-GB"/>
        </w:rPr>
        <w:tab/>
        <w:t>Recommendations</w:t>
      </w:r>
    </w:p>
    <w:p w14:paraId="23F090CD" w14:textId="77777777" w:rsidR="00E97B94" w:rsidRPr="00FB2FFF" w:rsidRDefault="00E97B94" w:rsidP="00E97B94">
      <w:pPr>
        <w:pStyle w:val="SingleTxtG"/>
        <w:rPr>
          <w:lang w:val="en-GB"/>
        </w:rPr>
      </w:pPr>
      <w:r w:rsidRPr="00FB2FFF">
        <w:rPr>
          <w:rFonts w:eastAsia="SimSun"/>
          <w:shd w:val="clear" w:color="000000" w:fill="FFFFFF"/>
          <w:lang w:val="en-GB" w:eastAsia="zh-CN"/>
        </w:rPr>
        <w:t>3.</w:t>
      </w:r>
      <w:r w:rsidRPr="00FB2FFF">
        <w:rPr>
          <w:rFonts w:eastAsia="SimSun"/>
          <w:shd w:val="clear" w:color="000000" w:fill="FFFFFF"/>
          <w:lang w:val="en-GB" w:eastAsia="zh-CN"/>
        </w:rPr>
        <w:tab/>
      </w:r>
      <w:r w:rsidRPr="00FB2FFF">
        <w:rPr>
          <w:lang w:val="en-GB"/>
        </w:rPr>
        <w:t>Primarily, OICA recommends not to modify chapter 9.7.9. of the ADR, as adopted per Annex II of the report ECE/TRANS/WP.15/255.</w:t>
      </w:r>
    </w:p>
    <w:p w14:paraId="5EEFDAF8" w14:textId="77777777" w:rsidR="00E97B94" w:rsidRPr="00FB2FFF" w:rsidRDefault="00E97B94" w:rsidP="00E97B94">
      <w:pPr>
        <w:pStyle w:val="SingleTxtG"/>
        <w:rPr>
          <w:lang w:val="en-GB"/>
        </w:rPr>
      </w:pPr>
      <w:r w:rsidRPr="00FB2FFF">
        <w:rPr>
          <w:lang w:val="en-GB"/>
        </w:rPr>
        <w:t>4.</w:t>
      </w:r>
      <w:r w:rsidRPr="00FB2FFF">
        <w:rPr>
          <w:lang w:val="en-GB"/>
        </w:rPr>
        <w:tab/>
        <w:t>Should the chapter 9.7.9. be rediscussed, OICA suggests the following as guidelines for the future discussions to improve the provisions:</w:t>
      </w:r>
    </w:p>
    <w:p w14:paraId="32B03569" w14:textId="3835C795" w:rsidR="00E97B94" w:rsidRPr="00FB2FFF" w:rsidRDefault="00F65015" w:rsidP="00E97B94">
      <w:pPr>
        <w:pStyle w:val="SingleTxtG"/>
        <w:rPr>
          <w:lang w:val="en-GB"/>
        </w:rPr>
      </w:pPr>
      <w:r w:rsidRPr="00FB2FFF">
        <w:rPr>
          <w:lang w:val="en-GB"/>
        </w:rPr>
        <w:tab/>
      </w:r>
      <w:r w:rsidRPr="00FB2FFF">
        <w:rPr>
          <w:lang w:val="en-GB"/>
        </w:rPr>
        <w:tab/>
      </w:r>
      <w:r w:rsidR="00E97B94" w:rsidRPr="00FB2FFF">
        <w:rPr>
          <w:lang w:val="en-GB"/>
        </w:rPr>
        <w:t>a)</w:t>
      </w:r>
      <w:r w:rsidR="00E97B94" w:rsidRPr="00FB2FFF">
        <w:rPr>
          <w:lang w:val="en-GB"/>
        </w:rPr>
        <w:tab/>
        <w:t xml:space="preserve">OICA recommends that the technical provisions be finalized and voted latest for the ADR 2025 edition to leave time for the first stage, second stage, third stage manufacturers to implement the relevant design modifications on time. </w:t>
      </w:r>
    </w:p>
    <w:p w14:paraId="2CFDC467" w14:textId="1BEAA42D" w:rsidR="00E97B94" w:rsidRPr="00FB2FFF" w:rsidRDefault="00F65015" w:rsidP="00E97B94">
      <w:pPr>
        <w:pStyle w:val="SingleTxtG"/>
        <w:rPr>
          <w:lang w:val="en-GB"/>
        </w:rPr>
      </w:pPr>
      <w:r w:rsidRPr="00FB2FFF">
        <w:rPr>
          <w:lang w:val="en-GB"/>
        </w:rPr>
        <w:tab/>
      </w:r>
      <w:r w:rsidRPr="00FB2FFF">
        <w:rPr>
          <w:lang w:val="en-GB"/>
        </w:rPr>
        <w:tab/>
      </w:r>
      <w:r w:rsidR="00E97B94" w:rsidRPr="00FB2FFF">
        <w:rPr>
          <w:lang w:val="en-GB"/>
        </w:rPr>
        <w:t>b)</w:t>
      </w:r>
      <w:r w:rsidR="00E97B94" w:rsidRPr="00FB2FFF">
        <w:rPr>
          <w:lang w:val="en-GB"/>
        </w:rPr>
        <w:tab/>
        <w:t>In general, good practice at UNECE is to implement technology-neutral provisions. OICA recommends to follow this good practice since it opens the door to new, creative solutions and it avoids the regulations to freeze to a specific technology.</w:t>
      </w:r>
    </w:p>
    <w:p w14:paraId="1E64734B" w14:textId="58902775" w:rsidR="00E97B94" w:rsidRPr="00FB2FFF" w:rsidRDefault="00F65015" w:rsidP="00E97B94">
      <w:pPr>
        <w:pStyle w:val="SingleTxtG"/>
        <w:rPr>
          <w:lang w:val="en-GB"/>
        </w:rPr>
      </w:pPr>
      <w:r w:rsidRPr="00FB2FFF">
        <w:rPr>
          <w:lang w:val="en-GB"/>
        </w:rPr>
        <w:tab/>
      </w:r>
      <w:r w:rsidRPr="00FB2FFF">
        <w:rPr>
          <w:lang w:val="en-GB"/>
        </w:rPr>
        <w:tab/>
      </w:r>
      <w:r w:rsidR="00E97B94" w:rsidRPr="00FB2FFF">
        <w:rPr>
          <w:lang w:val="en-GB"/>
        </w:rPr>
        <w:t>c)</w:t>
      </w:r>
      <w:r w:rsidR="00E97B94" w:rsidRPr="00FB2FFF">
        <w:rPr>
          <w:lang w:val="en-GB"/>
        </w:rPr>
        <w:tab/>
        <w:t>OICA recommends also to evaluate the approach in the context of complete or completed vehicles instead of focusing on the chassis/cab design.</w:t>
      </w:r>
    </w:p>
    <w:p w14:paraId="0EA7CFDA" w14:textId="098ED947" w:rsidR="00E97B94" w:rsidRPr="00FB2FFF" w:rsidRDefault="00F65015" w:rsidP="00E97B94">
      <w:pPr>
        <w:pStyle w:val="SingleTxtG"/>
        <w:rPr>
          <w:lang w:val="en-GB"/>
        </w:rPr>
      </w:pPr>
      <w:r w:rsidRPr="00FB2FFF">
        <w:rPr>
          <w:lang w:val="en-GB"/>
        </w:rPr>
        <w:tab/>
      </w:r>
      <w:r w:rsidRPr="00FB2FFF">
        <w:rPr>
          <w:lang w:val="en-GB"/>
        </w:rPr>
        <w:tab/>
      </w:r>
      <w:r w:rsidR="00E97B94" w:rsidRPr="00FB2FFF">
        <w:rPr>
          <w:lang w:val="en-GB"/>
        </w:rPr>
        <w:t>d)</w:t>
      </w:r>
      <w:r w:rsidR="00E97B94" w:rsidRPr="00FB2FFF">
        <w:rPr>
          <w:lang w:val="en-GB"/>
        </w:rPr>
        <w:tab/>
        <w:t>Finally, OICA recommends performing a root cause analysis to well identify the technical provisions. WP.15 will then be able to set the right requirements in terms of fire propagation, for example setting a “heat flux rate” performance.</w:t>
      </w:r>
    </w:p>
    <w:p w14:paraId="56DD9C3C" w14:textId="77777777" w:rsidR="00E97B94" w:rsidRPr="00FB2FFF" w:rsidRDefault="00E97B94" w:rsidP="00E97B94">
      <w:pPr>
        <w:pStyle w:val="SingleTxtG"/>
        <w:rPr>
          <w:lang w:val="en-GB"/>
        </w:rPr>
      </w:pPr>
      <w:r w:rsidRPr="00FB2FFF">
        <w:rPr>
          <w:lang w:val="en-GB"/>
        </w:rPr>
        <w:t>5.</w:t>
      </w:r>
      <w:r w:rsidRPr="00FB2FFF">
        <w:rPr>
          <w:lang w:val="en-GB"/>
        </w:rPr>
        <w:tab/>
        <w:t xml:space="preserve">Specifically, OICA highlights that ADR vehicles represent a small proportion of the production. Design-restrictive requirements will automatically bring extra cost and delay for the end user.  </w:t>
      </w:r>
    </w:p>
    <w:p w14:paraId="0EBF92ED" w14:textId="77777777" w:rsidR="00E97B94" w:rsidRPr="00FB2FFF" w:rsidRDefault="00E97B94" w:rsidP="00E97B94">
      <w:pPr>
        <w:pStyle w:val="SingleTxtG"/>
        <w:rPr>
          <w:lang w:val="en-GB"/>
        </w:rPr>
      </w:pPr>
      <w:r w:rsidRPr="00FB2FFF">
        <w:rPr>
          <w:lang w:val="en-GB"/>
        </w:rPr>
        <w:lastRenderedPageBreak/>
        <w:t>6.</w:t>
      </w:r>
      <w:r w:rsidRPr="00FB2FFF">
        <w:rPr>
          <w:lang w:val="en-GB"/>
        </w:rPr>
        <w:tab/>
        <w:t>OICA offered the documents INF.11/Rev.1 of the 110</w:t>
      </w:r>
      <w:r w:rsidRPr="00FB2FFF">
        <w:rPr>
          <w:vertAlign w:val="superscript"/>
          <w:lang w:val="en-GB"/>
        </w:rPr>
        <w:t>th</w:t>
      </w:r>
      <w:r w:rsidRPr="00FB2FFF">
        <w:rPr>
          <w:lang w:val="en-GB"/>
        </w:rPr>
        <w:t xml:space="preserve"> WP.15 session and </w:t>
      </w:r>
      <w:r w:rsidRPr="00FB2FFF">
        <w:rPr>
          <w:rStyle w:val="Strong"/>
          <w:b w:val="0"/>
          <w:color w:val="333333"/>
          <w:lang w:val="en-GB"/>
        </w:rPr>
        <w:t>INF.19</w:t>
      </w:r>
      <w:r w:rsidRPr="00FB2FFF">
        <w:rPr>
          <w:b/>
          <w:bCs/>
          <w:lang w:val="en-GB"/>
        </w:rPr>
        <w:t xml:space="preserve"> </w:t>
      </w:r>
      <w:r w:rsidRPr="00FB2FFF">
        <w:rPr>
          <w:lang w:val="en-GB"/>
        </w:rPr>
        <w:t>of the 109</w:t>
      </w:r>
      <w:r w:rsidRPr="00FB2FFF">
        <w:rPr>
          <w:vertAlign w:val="superscript"/>
          <w:lang w:val="en-GB"/>
        </w:rPr>
        <w:t>th</w:t>
      </w:r>
      <w:r w:rsidRPr="00FB2FFF">
        <w:rPr>
          <w:lang w:val="en-GB"/>
        </w:rPr>
        <w:t xml:space="preserve"> WP.15 session, that flag the constraints to design specific ADR’s chassis/cab vehicles and their architectures.</w:t>
      </w:r>
    </w:p>
    <w:p w14:paraId="66743B81" w14:textId="77777777" w:rsidR="00E97B94" w:rsidRPr="00FB2FFF" w:rsidRDefault="00E97B94" w:rsidP="00E97B94">
      <w:pPr>
        <w:spacing w:before="240"/>
        <w:jc w:val="center"/>
        <w:rPr>
          <w:u w:val="single"/>
        </w:rPr>
      </w:pPr>
      <w:r w:rsidRPr="00FB2FFF">
        <w:rPr>
          <w:u w:val="single"/>
        </w:rPr>
        <w:tab/>
      </w:r>
      <w:r w:rsidRPr="00FB2FFF">
        <w:rPr>
          <w:u w:val="single"/>
        </w:rPr>
        <w:tab/>
      </w:r>
      <w:r w:rsidRPr="00FB2FFF">
        <w:rPr>
          <w:u w:val="single"/>
        </w:rPr>
        <w:tab/>
      </w:r>
    </w:p>
    <w:p w14:paraId="7A7F4EDD" w14:textId="141BA08D" w:rsidR="004804CE" w:rsidRPr="00FB2FFF" w:rsidRDefault="004804CE" w:rsidP="00E97B94">
      <w:pPr>
        <w:pStyle w:val="H1G"/>
        <w:rPr>
          <w:u w:val="single"/>
        </w:rPr>
      </w:pPr>
    </w:p>
    <w:sectPr w:rsidR="004804CE" w:rsidRPr="00FB2FFF" w:rsidSect="0066083C">
      <w:headerReference w:type="even" r:id="rId12"/>
      <w:headerReference w:type="default" r:id="rId13"/>
      <w:footerReference w:type="even" r:id="rId14"/>
      <w:footerReference w:type="default" r:id="rId15"/>
      <w:headerReference w:type="first" r:id="rId16"/>
      <w:type w:val="continuous"/>
      <w:pgSz w:w="11906" w:h="16838" w:code="9"/>
      <w:pgMar w:top="1418" w:right="1134" w:bottom="1134" w:left="1134" w:header="851" w:footer="567"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48D2" w14:textId="77777777" w:rsidR="00D626DA" w:rsidRDefault="00D626DA">
      <w:pPr>
        <w:spacing w:line="240" w:lineRule="auto"/>
      </w:pPr>
      <w:r>
        <w:separator/>
      </w:r>
    </w:p>
  </w:endnote>
  <w:endnote w:type="continuationSeparator" w:id="0">
    <w:p w14:paraId="520F70FD" w14:textId="77777777" w:rsidR="00D626DA" w:rsidRDefault="00D626DA">
      <w:pPr>
        <w:spacing w:line="240" w:lineRule="auto"/>
      </w:pPr>
      <w:r>
        <w:continuationSeparator/>
      </w:r>
    </w:p>
  </w:endnote>
  <w:endnote w:type="continuationNotice" w:id="1">
    <w:p w14:paraId="690DC1E9" w14:textId="77777777" w:rsidR="00D626DA" w:rsidRDefault="00D626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7161" w14:textId="77777777" w:rsidR="00C23796" w:rsidRPr="00E023B1" w:rsidRDefault="00C23796">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481EA8">
      <w:rPr>
        <w:b/>
        <w:noProof/>
        <w:sz w:val="18"/>
        <w:szCs w:val="18"/>
      </w:rPr>
      <w:t>2</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60F1" w14:textId="77777777" w:rsidR="00C23796" w:rsidRPr="00E023B1" w:rsidRDefault="00C23796">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F457" w14:textId="77777777" w:rsidR="00D626DA" w:rsidRDefault="00D626DA">
      <w:r>
        <w:separator/>
      </w:r>
    </w:p>
  </w:footnote>
  <w:footnote w:type="continuationSeparator" w:id="0">
    <w:p w14:paraId="2A5F527A" w14:textId="77777777" w:rsidR="00D626DA" w:rsidRDefault="00D626DA">
      <w:r>
        <w:continuationSeparator/>
      </w:r>
    </w:p>
  </w:footnote>
  <w:footnote w:type="continuationNotice" w:id="1">
    <w:p w14:paraId="62D90037" w14:textId="77777777" w:rsidR="00D626DA" w:rsidRDefault="00D626D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7202" w14:textId="27202F68" w:rsidR="00C23796" w:rsidRPr="00630413" w:rsidRDefault="00C23796" w:rsidP="00E023B1">
    <w:pPr>
      <w:pStyle w:val="Header"/>
      <w:pBdr>
        <w:bottom w:val="single" w:sz="4" w:space="1" w:color="auto"/>
      </w:pBdr>
      <w:rPr>
        <w:b w:val="0"/>
        <w:szCs w:val="18"/>
      </w:rPr>
    </w:pPr>
    <w:r>
      <w:rPr>
        <w:szCs w:val="18"/>
      </w:rPr>
      <w:t>INF.</w:t>
    </w:r>
    <w:r w:rsidR="00F65015">
      <w:rPr>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9E1A" w14:textId="2BDD25F6" w:rsidR="00C23796" w:rsidRPr="00E023B1" w:rsidRDefault="00C23796" w:rsidP="00E023B1">
    <w:pPr>
      <w:pStyle w:val="Header"/>
      <w:pBdr>
        <w:bottom w:val="single" w:sz="4" w:space="1" w:color="auto"/>
      </w:pBdr>
      <w:jc w:val="right"/>
      <w:rPr>
        <w:szCs w:val="18"/>
      </w:rPr>
    </w:pPr>
    <w:r>
      <w:rPr>
        <w:szCs w:val="18"/>
      </w:rPr>
      <w:t>INF.</w:t>
    </w:r>
    <w:r w:rsidR="0066083C">
      <w:rPr>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82A" w14:textId="41EC4909" w:rsidR="00C23796" w:rsidRPr="00E023B1" w:rsidRDefault="00C23796" w:rsidP="00E023B1">
    <w:pPr>
      <w:pStyle w:val="Header"/>
      <w:pBdr>
        <w:bottom w:val="single" w:sz="4" w:space="1" w:color="auto"/>
      </w:pBdr>
      <w:jc w:val="right"/>
      <w:rPr>
        <w:b w:val="0"/>
        <w:sz w:val="28"/>
        <w:szCs w:val="28"/>
      </w:rPr>
    </w:pPr>
    <w:r w:rsidRPr="00E023B1">
      <w:rPr>
        <w:sz w:val="28"/>
        <w:szCs w:val="28"/>
      </w:rPr>
      <w:t>INF.</w:t>
    </w:r>
    <w:r w:rsidR="001F16F5">
      <w:rPr>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7E25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2E57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06D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ECD8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F8A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49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26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A4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845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22E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D562D"/>
    <w:multiLevelType w:val="hybridMultilevel"/>
    <w:tmpl w:val="AB8244C2"/>
    <w:lvl w:ilvl="0" w:tplc="090EC70C">
      <w:start w:val="1"/>
      <w:numFmt w:val="lowerLetter"/>
      <w:lvlText w:val="(%1)"/>
      <w:lvlJc w:val="left"/>
      <w:pPr>
        <w:ind w:left="2271" w:hanging="57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1" w15:restartNumberingAfterBreak="0">
    <w:nsid w:val="15116794"/>
    <w:multiLevelType w:val="hybridMultilevel"/>
    <w:tmpl w:val="771A8AC0"/>
    <w:lvl w:ilvl="0" w:tplc="BAB43F9A">
      <w:start w:val="13"/>
      <w:numFmt w:val="bullet"/>
      <w:lvlText w:val="-"/>
      <w:lvlJc w:val="left"/>
      <w:pPr>
        <w:ind w:left="1500" w:hanging="360"/>
      </w:pPr>
      <w:rPr>
        <w:rFonts w:ascii="Times New Roman" w:eastAsia="Times New Roman" w:hAnsi="Times New Roman" w:cs="Times New Roman"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2" w15:restartNumberingAfterBreak="0">
    <w:nsid w:val="22AC57CF"/>
    <w:multiLevelType w:val="hybridMultilevel"/>
    <w:tmpl w:val="7DD4B26C"/>
    <w:lvl w:ilvl="0" w:tplc="8EAA985C">
      <w:start w:val="1"/>
      <w:numFmt w:val="lowerLetter"/>
      <w:lvlText w:val="%1)"/>
      <w:lvlJc w:val="left"/>
      <w:pPr>
        <w:ind w:left="792" w:hanging="360"/>
      </w:pPr>
      <w:rPr>
        <w:rFonts w:cs="Times New Roman" w:hint="default"/>
      </w:rPr>
    </w:lvl>
    <w:lvl w:ilvl="1" w:tplc="040C0019" w:tentative="1">
      <w:start w:val="1"/>
      <w:numFmt w:val="lowerLetter"/>
      <w:lvlText w:val="%2."/>
      <w:lvlJc w:val="left"/>
      <w:pPr>
        <w:ind w:left="1512" w:hanging="360"/>
      </w:pPr>
      <w:rPr>
        <w:rFonts w:cs="Times New Roman"/>
      </w:rPr>
    </w:lvl>
    <w:lvl w:ilvl="2" w:tplc="040C001B" w:tentative="1">
      <w:start w:val="1"/>
      <w:numFmt w:val="lowerRoman"/>
      <w:lvlText w:val="%3."/>
      <w:lvlJc w:val="right"/>
      <w:pPr>
        <w:ind w:left="2232" w:hanging="180"/>
      </w:pPr>
      <w:rPr>
        <w:rFonts w:cs="Times New Roman"/>
      </w:rPr>
    </w:lvl>
    <w:lvl w:ilvl="3" w:tplc="040C000F" w:tentative="1">
      <w:start w:val="1"/>
      <w:numFmt w:val="decimal"/>
      <w:lvlText w:val="%4."/>
      <w:lvlJc w:val="left"/>
      <w:pPr>
        <w:ind w:left="2952" w:hanging="360"/>
      </w:pPr>
      <w:rPr>
        <w:rFonts w:cs="Times New Roman"/>
      </w:rPr>
    </w:lvl>
    <w:lvl w:ilvl="4" w:tplc="040C0019" w:tentative="1">
      <w:start w:val="1"/>
      <w:numFmt w:val="lowerLetter"/>
      <w:lvlText w:val="%5."/>
      <w:lvlJc w:val="left"/>
      <w:pPr>
        <w:ind w:left="3672" w:hanging="360"/>
      </w:pPr>
      <w:rPr>
        <w:rFonts w:cs="Times New Roman"/>
      </w:rPr>
    </w:lvl>
    <w:lvl w:ilvl="5" w:tplc="040C001B" w:tentative="1">
      <w:start w:val="1"/>
      <w:numFmt w:val="lowerRoman"/>
      <w:lvlText w:val="%6."/>
      <w:lvlJc w:val="right"/>
      <w:pPr>
        <w:ind w:left="4392" w:hanging="180"/>
      </w:pPr>
      <w:rPr>
        <w:rFonts w:cs="Times New Roman"/>
      </w:rPr>
    </w:lvl>
    <w:lvl w:ilvl="6" w:tplc="040C000F" w:tentative="1">
      <w:start w:val="1"/>
      <w:numFmt w:val="decimal"/>
      <w:lvlText w:val="%7."/>
      <w:lvlJc w:val="left"/>
      <w:pPr>
        <w:ind w:left="5112" w:hanging="360"/>
      </w:pPr>
      <w:rPr>
        <w:rFonts w:cs="Times New Roman"/>
      </w:rPr>
    </w:lvl>
    <w:lvl w:ilvl="7" w:tplc="040C0019" w:tentative="1">
      <w:start w:val="1"/>
      <w:numFmt w:val="lowerLetter"/>
      <w:lvlText w:val="%8."/>
      <w:lvlJc w:val="left"/>
      <w:pPr>
        <w:ind w:left="5832" w:hanging="360"/>
      </w:pPr>
      <w:rPr>
        <w:rFonts w:cs="Times New Roman"/>
      </w:rPr>
    </w:lvl>
    <w:lvl w:ilvl="8" w:tplc="040C001B" w:tentative="1">
      <w:start w:val="1"/>
      <w:numFmt w:val="lowerRoman"/>
      <w:lvlText w:val="%9."/>
      <w:lvlJc w:val="right"/>
      <w:pPr>
        <w:ind w:left="6552" w:hanging="180"/>
      </w:pPr>
      <w:rPr>
        <w:rFonts w:cs="Times New Roman"/>
      </w:rPr>
    </w:lvl>
  </w:abstractNum>
  <w:abstractNum w:abstractNumId="13" w15:restartNumberingAfterBreak="0">
    <w:nsid w:val="49335FE2"/>
    <w:multiLevelType w:val="hybridMultilevel"/>
    <w:tmpl w:val="332A5F72"/>
    <w:lvl w:ilvl="0" w:tplc="0814245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4BEA235A"/>
    <w:multiLevelType w:val="hybridMultilevel"/>
    <w:tmpl w:val="6D2A6824"/>
    <w:lvl w:ilvl="0" w:tplc="C50AA696">
      <w:start w:val="4"/>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4E2F2F7D"/>
    <w:multiLevelType w:val="hybridMultilevel"/>
    <w:tmpl w:val="846CA6F2"/>
    <w:lvl w:ilvl="0" w:tplc="42621E80">
      <w:start w:val="1"/>
      <w:numFmt w:val="decimal"/>
      <w:lvlText w:val="%1."/>
      <w:lvlJc w:val="left"/>
      <w:pPr>
        <w:ind w:left="1853" w:hanging="576"/>
      </w:pPr>
      <w:rPr>
        <w:rFonts w:cs="Times New Roman" w:hint="default"/>
      </w:rPr>
    </w:lvl>
    <w:lvl w:ilvl="1" w:tplc="100C0019" w:tentative="1">
      <w:start w:val="1"/>
      <w:numFmt w:val="lowerLetter"/>
      <w:lvlText w:val="%2."/>
      <w:lvlJc w:val="left"/>
      <w:pPr>
        <w:ind w:left="2357" w:hanging="360"/>
      </w:pPr>
      <w:rPr>
        <w:rFonts w:cs="Times New Roman"/>
      </w:rPr>
    </w:lvl>
    <w:lvl w:ilvl="2" w:tplc="100C001B" w:tentative="1">
      <w:start w:val="1"/>
      <w:numFmt w:val="lowerRoman"/>
      <w:lvlText w:val="%3."/>
      <w:lvlJc w:val="right"/>
      <w:pPr>
        <w:ind w:left="3077" w:hanging="180"/>
      </w:pPr>
      <w:rPr>
        <w:rFonts w:cs="Times New Roman"/>
      </w:rPr>
    </w:lvl>
    <w:lvl w:ilvl="3" w:tplc="100C000F" w:tentative="1">
      <w:start w:val="1"/>
      <w:numFmt w:val="decimal"/>
      <w:lvlText w:val="%4."/>
      <w:lvlJc w:val="left"/>
      <w:pPr>
        <w:ind w:left="3797" w:hanging="360"/>
      </w:pPr>
      <w:rPr>
        <w:rFonts w:cs="Times New Roman"/>
      </w:rPr>
    </w:lvl>
    <w:lvl w:ilvl="4" w:tplc="100C0019" w:tentative="1">
      <w:start w:val="1"/>
      <w:numFmt w:val="lowerLetter"/>
      <w:lvlText w:val="%5."/>
      <w:lvlJc w:val="left"/>
      <w:pPr>
        <w:ind w:left="4517" w:hanging="360"/>
      </w:pPr>
      <w:rPr>
        <w:rFonts w:cs="Times New Roman"/>
      </w:rPr>
    </w:lvl>
    <w:lvl w:ilvl="5" w:tplc="100C001B" w:tentative="1">
      <w:start w:val="1"/>
      <w:numFmt w:val="lowerRoman"/>
      <w:lvlText w:val="%6."/>
      <w:lvlJc w:val="right"/>
      <w:pPr>
        <w:ind w:left="5237" w:hanging="180"/>
      </w:pPr>
      <w:rPr>
        <w:rFonts w:cs="Times New Roman"/>
      </w:rPr>
    </w:lvl>
    <w:lvl w:ilvl="6" w:tplc="100C000F" w:tentative="1">
      <w:start w:val="1"/>
      <w:numFmt w:val="decimal"/>
      <w:lvlText w:val="%7."/>
      <w:lvlJc w:val="left"/>
      <w:pPr>
        <w:ind w:left="5957" w:hanging="360"/>
      </w:pPr>
      <w:rPr>
        <w:rFonts w:cs="Times New Roman"/>
      </w:rPr>
    </w:lvl>
    <w:lvl w:ilvl="7" w:tplc="100C0019" w:tentative="1">
      <w:start w:val="1"/>
      <w:numFmt w:val="lowerLetter"/>
      <w:lvlText w:val="%8."/>
      <w:lvlJc w:val="left"/>
      <w:pPr>
        <w:ind w:left="6677" w:hanging="360"/>
      </w:pPr>
      <w:rPr>
        <w:rFonts w:cs="Times New Roman"/>
      </w:rPr>
    </w:lvl>
    <w:lvl w:ilvl="8" w:tplc="100C001B" w:tentative="1">
      <w:start w:val="1"/>
      <w:numFmt w:val="lowerRoman"/>
      <w:lvlText w:val="%9."/>
      <w:lvlJc w:val="right"/>
      <w:pPr>
        <w:ind w:left="7397" w:hanging="180"/>
      </w:pPr>
      <w:rPr>
        <w:rFonts w:cs="Times New Roman"/>
      </w:rPr>
    </w:lvl>
  </w:abstractNum>
  <w:abstractNum w:abstractNumId="16" w15:restartNumberingAfterBreak="0">
    <w:nsid w:val="6E5D468A"/>
    <w:multiLevelType w:val="hybridMultilevel"/>
    <w:tmpl w:val="024A424A"/>
    <w:lvl w:ilvl="0" w:tplc="584020BA">
      <w:start w:val="1"/>
      <w:numFmt w:val="lowerLetter"/>
      <w:lvlText w:val="(%1)"/>
      <w:lvlJc w:val="left"/>
      <w:pPr>
        <w:ind w:left="2061" w:hanging="360"/>
      </w:pPr>
      <w:rPr>
        <w:rFonts w:hint="default"/>
      </w:rPr>
    </w:lvl>
    <w:lvl w:ilvl="1" w:tplc="04130019" w:tentative="1">
      <w:start w:val="1"/>
      <w:numFmt w:val="lowerLetter"/>
      <w:lvlText w:val="%2."/>
      <w:lvlJc w:val="left"/>
      <w:pPr>
        <w:ind w:left="3565" w:hanging="360"/>
      </w:pPr>
    </w:lvl>
    <w:lvl w:ilvl="2" w:tplc="0413001B" w:tentative="1">
      <w:start w:val="1"/>
      <w:numFmt w:val="lowerRoman"/>
      <w:lvlText w:val="%3."/>
      <w:lvlJc w:val="right"/>
      <w:pPr>
        <w:ind w:left="4285" w:hanging="180"/>
      </w:pPr>
    </w:lvl>
    <w:lvl w:ilvl="3" w:tplc="0413000F" w:tentative="1">
      <w:start w:val="1"/>
      <w:numFmt w:val="decimal"/>
      <w:lvlText w:val="%4."/>
      <w:lvlJc w:val="left"/>
      <w:pPr>
        <w:ind w:left="5005" w:hanging="360"/>
      </w:pPr>
    </w:lvl>
    <w:lvl w:ilvl="4" w:tplc="04130019" w:tentative="1">
      <w:start w:val="1"/>
      <w:numFmt w:val="lowerLetter"/>
      <w:lvlText w:val="%5."/>
      <w:lvlJc w:val="left"/>
      <w:pPr>
        <w:ind w:left="5725" w:hanging="360"/>
      </w:pPr>
    </w:lvl>
    <w:lvl w:ilvl="5" w:tplc="0413001B" w:tentative="1">
      <w:start w:val="1"/>
      <w:numFmt w:val="lowerRoman"/>
      <w:lvlText w:val="%6."/>
      <w:lvlJc w:val="right"/>
      <w:pPr>
        <w:ind w:left="6445" w:hanging="180"/>
      </w:pPr>
    </w:lvl>
    <w:lvl w:ilvl="6" w:tplc="0413000F" w:tentative="1">
      <w:start w:val="1"/>
      <w:numFmt w:val="decimal"/>
      <w:lvlText w:val="%7."/>
      <w:lvlJc w:val="left"/>
      <w:pPr>
        <w:ind w:left="7165" w:hanging="360"/>
      </w:pPr>
    </w:lvl>
    <w:lvl w:ilvl="7" w:tplc="04130019" w:tentative="1">
      <w:start w:val="1"/>
      <w:numFmt w:val="lowerLetter"/>
      <w:lvlText w:val="%8."/>
      <w:lvlJc w:val="left"/>
      <w:pPr>
        <w:ind w:left="7885" w:hanging="360"/>
      </w:pPr>
    </w:lvl>
    <w:lvl w:ilvl="8" w:tplc="0413001B" w:tentative="1">
      <w:start w:val="1"/>
      <w:numFmt w:val="lowerRoman"/>
      <w:lvlText w:val="%9."/>
      <w:lvlJc w:val="right"/>
      <w:pPr>
        <w:ind w:left="8605" w:hanging="180"/>
      </w:pPr>
    </w:lvl>
  </w:abstractNum>
  <w:abstractNum w:abstractNumId="17" w15:restartNumberingAfterBreak="0">
    <w:nsid w:val="74AF34E2"/>
    <w:multiLevelType w:val="hybridMultilevel"/>
    <w:tmpl w:val="1BC013A4"/>
    <w:lvl w:ilvl="0" w:tplc="CF081C96">
      <w:start w:val="1"/>
      <w:numFmt w:val="decimal"/>
      <w:lvlText w:val="%1."/>
      <w:lvlJc w:val="left"/>
      <w:pPr>
        <w:ind w:left="1710" w:hanging="576"/>
      </w:pPr>
      <w:rPr>
        <w:rFonts w:hint="default"/>
      </w:rPr>
    </w:lvl>
    <w:lvl w:ilvl="1" w:tplc="04130019">
      <w:start w:val="1"/>
      <w:numFmt w:val="lowerLetter"/>
      <w:lvlText w:val="%2."/>
      <w:lvlJc w:val="left"/>
      <w:pPr>
        <w:ind w:left="2214" w:hanging="360"/>
      </w:pPr>
    </w:lvl>
    <w:lvl w:ilvl="2" w:tplc="0413001B">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2"/>
  </w:num>
  <w:num w:numId="43">
    <w:abstractNumId w:val="15"/>
  </w:num>
  <w:num w:numId="44">
    <w:abstractNumId w:val="18"/>
  </w:num>
  <w:num w:numId="45">
    <w:abstractNumId w:val="13"/>
  </w:num>
  <w:num w:numId="46">
    <w:abstractNumId w:val="17"/>
  </w:num>
  <w:num w:numId="47">
    <w:abstractNumId w:val="16"/>
  </w:num>
  <w:num w:numId="48">
    <w:abstractNumId w:val="1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73"/>
    <w:rsid w:val="00001347"/>
    <w:rsid w:val="00004139"/>
    <w:rsid w:val="00004F9C"/>
    <w:rsid w:val="000204AF"/>
    <w:rsid w:val="00020846"/>
    <w:rsid w:val="000244CF"/>
    <w:rsid w:val="00030553"/>
    <w:rsid w:val="00031B6E"/>
    <w:rsid w:val="00032ED8"/>
    <w:rsid w:val="00037051"/>
    <w:rsid w:val="00065A36"/>
    <w:rsid w:val="000770F1"/>
    <w:rsid w:val="000A26E9"/>
    <w:rsid w:val="000A28B0"/>
    <w:rsid w:val="000B0482"/>
    <w:rsid w:val="000B3036"/>
    <w:rsid w:val="000B46A9"/>
    <w:rsid w:val="000D6455"/>
    <w:rsid w:val="000E1B70"/>
    <w:rsid w:val="000E416F"/>
    <w:rsid w:val="00111CE4"/>
    <w:rsid w:val="00121296"/>
    <w:rsid w:val="00124248"/>
    <w:rsid w:val="00124A6C"/>
    <w:rsid w:val="00124B77"/>
    <w:rsid w:val="00126B65"/>
    <w:rsid w:val="00130A61"/>
    <w:rsid w:val="00152473"/>
    <w:rsid w:val="0015267E"/>
    <w:rsid w:val="00162796"/>
    <w:rsid w:val="00180D9C"/>
    <w:rsid w:val="00187F82"/>
    <w:rsid w:val="00190B9E"/>
    <w:rsid w:val="00191375"/>
    <w:rsid w:val="001A32E7"/>
    <w:rsid w:val="001A71CF"/>
    <w:rsid w:val="001C39CE"/>
    <w:rsid w:val="001E44B6"/>
    <w:rsid w:val="001E5133"/>
    <w:rsid w:val="001F0D4E"/>
    <w:rsid w:val="001F16F5"/>
    <w:rsid w:val="001F657D"/>
    <w:rsid w:val="00205832"/>
    <w:rsid w:val="002064AC"/>
    <w:rsid w:val="0021751C"/>
    <w:rsid w:val="00221AEA"/>
    <w:rsid w:val="00222BA9"/>
    <w:rsid w:val="002467CD"/>
    <w:rsid w:val="0025172E"/>
    <w:rsid w:val="002728F3"/>
    <w:rsid w:val="00274A7B"/>
    <w:rsid w:val="0027501F"/>
    <w:rsid w:val="00275A39"/>
    <w:rsid w:val="00290FD6"/>
    <w:rsid w:val="002A1E9A"/>
    <w:rsid w:val="002E404C"/>
    <w:rsid w:val="00316B80"/>
    <w:rsid w:val="003341D4"/>
    <w:rsid w:val="003348D4"/>
    <w:rsid w:val="00336A68"/>
    <w:rsid w:val="0034699D"/>
    <w:rsid w:val="00351228"/>
    <w:rsid w:val="00361661"/>
    <w:rsid w:val="00365836"/>
    <w:rsid w:val="00372FA0"/>
    <w:rsid w:val="003902F2"/>
    <w:rsid w:val="003A3CDE"/>
    <w:rsid w:val="003B0E8E"/>
    <w:rsid w:val="003B6F48"/>
    <w:rsid w:val="003C6374"/>
    <w:rsid w:val="003D24BD"/>
    <w:rsid w:val="003E3D3D"/>
    <w:rsid w:val="004027D9"/>
    <w:rsid w:val="00421B6C"/>
    <w:rsid w:val="00425748"/>
    <w:rsid w:val="00431D6C"/>
    <w:rsid w:val="00447288"/>
    <w:rsid w:val="0047131A"/>
    <w:rsid w:val="004804CE"/>
    <w:rsid w:val="00481EA8"/>
    <w:rsid w:val="00485AEF"/>
    <w:rsid w:val="004938A4"/>
    <w:rsid w:val="004A53C8"/>
    <w:rsid w:val="004A6057"/>
    <w:rsid w:val="004C4BF9"/>
    <w:rsid w:val="004D422C"/>
    <w:rsid w:val="004D6A03"/>
    <w:rsid w:val="004E209D"/>
    <w:rsid w:val="004F71FA"/>
    <w:rsid w:val="0050636F"/>
    <w:rsid w:val="00541B25"/>
    <w:rsid w:val="00543F68"/>
    <w:rsid w:val="005649B5"/>
    <w:rsid w:val="00580801"/>
    <w:rsid w:val="00582C34"/>
    <w:rsid w:val="00592A26"/>
    <w:rsid w:val="005A249B"/>
    <w:rsid w:val="005A2A9D"/>
    <w:rsid w:val="005B76C7"/>
    <w:rsid w:val="005D5FFB"/>
    <w:rsid w:val="005E6D91"/>
    <w:rsid w:val="005F5000"/>
    <w:rsid w:val="005F5F42"/>
    <w:rsid w:val="005F7D50"/>
    <w:rsid w:val="0060110F"/>
    <w:rsid w:val="00603EA3"/>
    <w:rsid w:val="00604860"/>
    <w:rsid w:val="00607B70"/>
    <w:rsid w:val="00616AD7"/>
    <w:rsid w:val="00630413"/>
    <w:rsid w:val="00632E91"/>
    <w:rsid w:val="006435E8"/>
    <w:rsid w:val="0064761B"/>
    <w:rsid w:val="0066083C"/>
    <w:rsid w:val="00677416"/>
    <w:rsid w:val="0069422F"/>
    <w:rsid w:val="006A3FBB"/>
    <w:rsid w:val="006A7F69"/>
    <w:rsid w:val="006B1505"/>
    <w:rsid w:val="006B2556"/>
    <w:rsid w:val="006D651C"/>
    <w:rsid w:val="006E2338"/>
    <w:rsid w:val="0070514D"/>
    <w:rsid w:val="00713BE2"/>
    <w:rsid w:val="007247CC"/>
    <w:rsid w:val="00725432"/>
    <w:rsid w:val="00727E18"/>
    <w:rsid w:val="007313AA"/>
    <w:rsid w:val="00737EBF"/>
    <w:rsid w:val="007701AF"/>
    <w:rsid w:val="00777F58"/>
    <w:rsid w:val="007959C8"/>
    <w:rsid w:val="007A34D3"/>
    <w:rsid w:val="007C735B"/>
    <w:rsid w:val="007D7C22"/>
    <w:rsid w:val="007E2F86"/>
    <w:rsid w:val="007F27B2"/>
    <w:rsid w:val="008277DB"/>
    <w:rsid w:val="00830530"/>
    <w:rsid w:val="00840CB5"/>
    <w:rsid w:val="0084145B"/>
    <w:rsid w:val="008416E2"/>
    <w:rsid w:val="00847A09"/>
    <w:rsid w:val="00851DF1"/>
    <w:rsid w:val="00872079"/>
    <w:rsid w:val="00877F4B"/>
    <w:rsid w:val="00886715"/>
    <w:rsid w:val="00890FFB"/>
    <w:rsid w:val="008A49FA"/>
    <w:rsid w:val="008B0C17"/>
    <w:rsid w:val="008B1779"/>
    <w:rsid w:val="008C5B63"/>
    <w:rsid w:val="008C640D"/>
    <w:rsid w:val="008F302A"/>
    <w:rsid w:val="009052CC"/>
    <w:rsid w:val="00910763"/>
    <w:rsid w:val="009121E7"/>
    <w:rsid w:val="00913EC2"/>
    <w:rsid w:val="00917720"/>
    <w:rsid w:val="0095119C"/>
    <w:rsid w:val="009521AF"/>
    <w:rsid w:val="00952E4B"/>
    <w:rsid w:val="00956453"/>
    <w:rsid w:val="00964211"/>
    <w:rsid w:val="009A1D6E"/>
    <w:rsid w:val="009A7A7A"/>
    <w:rsid w:val="009D6E87"/>
    <w:rsid w:val="009E188F"/>
    <w:rsid w:val="009F0BA5"/>
    <w:rsid w:val="009F70C1"/>
    <w:rsid w:val="00A01885"/>
    <w:rsid w:val="00A0681F"/>
    <w:rsid w:val="00A07FD9"/>
    <w:rsid w:val="00A2258E"/>
    <w:rsid w:val="00A372BF"/>
    <w:rsid w:val="00A50A9D"/>
    <w:rsid w:val="00A572AD"/>
    <w:rsid w:val="00A918D1"/>
    <w:rsid w:val="00A92CBF"/>
    <w:rsid w:val="00AB2826"/>
    <w:rsid w:val="00AC2105"/>
    <w:rsid w:val="00B03CAA"/>
    <w:rsid w:val="00B262E5"/>
    <w:rsid w:val="00B33B1C"/>
    <w:rsid w:val="00B3602D"/>
    <w:rsid w:val="00B70CBD"/>
    <w:rsid w:val="00B86720"/>
    <w:rsid w:val="00B87CEC"/>
    <w:rsid w:val="00B95D9A"/>
    <w:rsid w:val="00BA0E50"/>
    <w:rsid w:val="00BA5615"/>
    <w:rsid w:val="00BE1004"/>
    <w:rsid w:val="00BE1488"/>
    <w:rsid w:val="00BE3581"/>
    <w:rsid w:val="00C02A46"/>
    <w:rsid w:val="00C13D1B"/>
    <w:rsid w:val="00C23796"/>
    <w:rsid w:val="00C300CC"/>
    <w:rsid w:val="00C74C38"/>
    <w:rsid w:val="00C929EE"/>
    <w:rsid w:val="00C979C8"/>
    <w:rsid w:val="00CA5E6B"/>
    <w:rsid w:val="00CD2EDE"/>
    <w:rsid w:val="00CE5320"/>
    <w:rsid w:val="00D0791D"/>
    <w:rsid w:val="00D332D7"/>
    <w:rsid w:val="00D42273"/>
    <w:rsid w:val="00D4775C"/>
    <w:rsid w:val="00D52557"/>
    <w:rsid w:val="00D626DA"/>
    <w:rsid w:val="00D6316A"/>
    <w:rsid w:val="00D92145"/>
    <w:rsid w:val="00D924DC"/>
    <w:rsid w:val="00DA566B"/>
    <w:rsid w:val="00DB3917"/>
    <w:rsid w:val="00DC1883"/>
    <w:rsid w:val="00DC1B7D"/>
    <w:rsid w:val="00DE2A2E"/>
    <w:rsid w:val="00E023B1"/>
    <w:rsid w:val="00E05920"/>
    <w:rsid w:val="00E103E3"/>
    <w:rsid w:val="00E50A7F"/>
    <w:rsid w:val="00E50DC8"/>
    <w:rsid w:val="00E604DC"/>
    <w:rsid w:val="00E610C2"/>
    <w:rsid w:val="00E95E73"/>
    <w:rsid w:val="00E97B94"/>
    <w:rsid w:val="00EA6D8A"/>
    <w:rsid w:val="00EB0359"/>
    <w:rsid w:val="00EC6F8C"/>
    <w:rsid w:val="00EE4457"/>
    <w:rsid w:val="00F0675E"/>
    <w:rsid w:val="00F1433E"/>
    <w:rsid w:val="00F1453F"/>
    <w:rsid w:val="00F25544"/>
    <w:rsid w:val="00F255C5"/>
    <w:rsid w:val="00F4079A"/>
    <w:rsid w:val="00F43DED"/>
    <w:rsid w:val="00F47565"/>
    <w:rsid w:val="00F65015"/>
    <w:rsid w:val="00F76683"/>
    <w:rsid w:val="00F838CB"/>
    <w:rsid w:val="00F83938"/>
    <w:rsid w:val="00F84D4B"/>
    <w:rsid w:val="00F948BB"/>
    <w:rsid w:val="00FB037D"/>
    <w:rsid w:val="00FB2FFF"/>
    <w:rsid w:val="00FD637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BED022"/>
  <w15:docId w15:val="{23A9CF2A-4EBF-452A-BF37-CCAAD412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22"/>
    <w:qFormat/>
    <w:rsid w:val="00004F9C"/>
    <w:rPr>
      <w:rFonts w:cs="Times New Roman"/>
      <w:b/>
    </w:rPr>
  </w:style>
  <w:style w:type="character" w:customStyle="1" w:styleId="H1GChar">
    <w:name w:val="_ H_1_G Char"/>
    <w:link w:val="H1G"/>
    <w:uiPriority w:val="99"/>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uiPriority w:val="99"/>
    <w:qFormat/>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 w:type="character" w:styleId="SubtleEmphasis">
    <w:name w:val="Subtle Emphasis"/>
    <w:basedOn w:val="DefaultParagraphFont"/>
    <w:uiPriority w:val="19"/>
    <w:qFormat/>
    <w:rsid w:val="007247CC"/>
    <w:rPr>
      <w:i/>
      <w:iCs/>
      <w:color w:val="808080" w:themeColor="text1" w:themeTint="7F"/>
    </w:rPr>
  </w:style>
  <w:style w:type="paragraph" w:styleId="CommentSubject">
    <w:name w:val="annotation subject"/>
    <w:basedOn w:val="CommentText"/>
    <w:next w:val="CommentText"/>
    <w:link w:val="CommentSubjectChar"/>
    <w:uiPriority w:val="99"/>
    <w:semiHidden/>
    <w:unhideWhenUsed/>
    <w:locked/>
    <w:rsid w:val="0069422F"/>
    <w:pPr>
      <w:spacing w:line="240" w:lineRule="auto"/>
    </w:pPr>
    <w:rPr>
      <w:b/>
      <w:bCs/>
    </w:rPr>
  </w:style>
  <w:style w:type="character" w:customStyle="1" w:styleId="CommentSubjectChar">
    <w:name w:val="Comment Subject Char"/>
    <w:basedOn w:val="CommentTextChar"/>
    <w:link w:val="CommentSubject"/>
    <w:uiPriority w:val="99"/>
    <w:semiHidden/>
    <w:rsid w:val="0069422F"/>
    <w:rPr>
      <w:rFonts w:cs="Times New Roman"/>
      <w:b/>
      <w:bCs/>
      <w:sz w:val="20"/>
      <w:szCs w:val="20"/>
      <w:lang w:val="en-GB" w:eastAsia="en-US"/>
    </w:rPr>
  </w:style>
  <w:style w:type="character" w:customStyle="1" w:styleId="hps">
    <w:name w:val="hps"/>
    <w:basedOn w:val="DefaultParagraphFont"/>
    <w:rsid w:val="00C3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809398560">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 w:id="178549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sites/default/files/2021-12/ECE-TRANS-WP15-255e_corrected.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A1F12-2DFD-4FD8-94E0-96E47D86D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C3A17-5E7A-4D9B-A125-E03636953E79}">
  <ds:schemaRefs>
    <ds:schemaRef ds:uri="http://schemas.openxmlformats.org/officeDocument/2006/bibliography"/>
  </ds:schemaRefs>
</ds:datastoreItem>
</file>

<file path=customXml/itemProps3.xml><?xml version="1.0" encoding="utf-8"?>
<ds:datastoreItem xmlns:ds="http://schemas.openxmlformats.org/officeDocument/2006/customXml" ds:itemID="{AD673062-57A6-49A9-A93B-3CF08FBEA5CF}">
  <ds:schemaRefs>
    <ds:schemaRef ds:uri="http://schemas.microsoft.com/sharepoint/v3/contenttype/forms"/>
  </ds:schemaRefs>
</ds:datastoreItem>
</file>

<file path=customXml/itemProps4.xml><?xml version="1.0" encoding="utf-8"?>
<ds:datastoreItem xmlns:ds="http://schemas.openxmlformats.org/officeDocument/2006/customXml" ds:itemID="{1F8C8FA2-0E4C-4DD0-ACFB-0FCE12A0EB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442</Words>
  <Characters>2485</Characters>
  <Application>Microsoft Office Word</Application>
  <DocSecurity>0</DocSecurity>
  <Lines>48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Company>CSD</Company>
  <LinksUpToDate>false</LinksUpToDate>
  <CharactersWithSpaces>2900</CharactersWithSpaces>
  <SharedDoc>false</SharedDoc>
  <HLinks>
    <vt:vector size="6" baseType="variant">
      <vt:variant>
        <vt:i4>262245</vt:i4>
      </vt:variant>
      <vt:variant>
        <vt:i4>0</vt:i4>
      </vt:variant>
      <vt:variant>
        <vt:i4>0</vt:i4>
      </vt:variant>
      <vt:variant>
        <vt:i4>5</vt:i4>
      </vt:variant>
      <vt:variant>
        <vt:lpwstr>https://unece.org/sites/default/files/2021-12/ECE-TRANS-WP15-255e_corrected.pdf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ADH</dc:creator>
  <cp:keywords/>
  <dc:description>Final</dc:description>
  <cp:lastModifiedBy>Christine Barrio-Champeau</cp:lastModifiedBy>
  <cp:revision>12</cp:revision>
  <cp:lastPrinted>2019-11-04T09:52:00Z</cp:lastPrinted>
  <dcterms:created xsi:type="dcterms:W3CDTF">2022-03-03T13:56:00Z</dcterms:created>
  <dcterms:modified xsi:type="dcterms:W3CDTF">2022-03-10T13:52:00Z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ies>
</file>