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E0783A"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E0783A" w:rsidRDefault="00785AC2" w:rsidP="002E2BA8">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E0783A" w:rsidRDefault="00785AC2" w:rsidP="002E2BA8">
            <w:pPr>
              <w:spacing w:after="80" w:line="300" w:lineRule="exact"/>
              <w:rPr>
                <w:rFonts w:asciiTheme="majorBidi" w:hAnsiTheme="majorBidi" w:cstheme="majorBidi"/>
                <w:b/>
                <w:sz w:val="24"/>
                <w:szCs w:val="24"/>
              </w:rPr>
            </w:pPr>
            <w:r w:rsidRPr="00E0783A">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6855C2D0" w:rsidR="00785AC2" w:rsidRPr="00E0783A" w:rsidRDefault="00785AC2" w:rsidP="002E2BA8">
            <w:pPr>
              <w:jc w:val="right"/>
              <w:rPr>
                <w:rFonts w:asciiTheme="majorBidi" w:hAnsiTheme="majorBidi" w:cstheme="majorBidi"/>
              </w:rPr>
            </w:pPr>
            <w:r w:rsidRPr="00E0783A">
              <w:rPr>
                <w:rFonts w:asciiTheme="majorBidi" w:hAnsiTheme="majorBidi" w:cstheme="majorBidi"/>
                <w:sz w:val="40"/>
              </w:rPr>
              <w:t>ECE</w:t>
            </w:r>
            <w:r w:rsidRPr="00E0783A">
              <w:rPr>
                <w:rFonts w:asciiTheme="majorBidi" w:hAnsiTheme="majorBidi" w:cstheme="majorBidi"/>
              </w:rPr>
              <w:t>/TRANS/WP.29/GRS</w:t>
            </w:r>
            <w:r w:rsidR="00DE76A5" w:rsidRPr="00E0783A">
              <w:rPr>
                <w:rFonts w:asciiTheme="majorBidi" w:hAnsiTheme="majorBidi" w:cstheme="majorBidi"/>
              </w:rPr>
              <w:t>P</w:t>
            </w:r>
            <w:r w:rsidRPr="00E0783A">
              <w:rPr>
                <w:rFonts w:asciiTheme="majorBidi" w:hAnsiTheme="majorBidi" w:cstheme="majorBidi"/>
              </w:rPr>
              <w:t>/20</w:t>
            </w:r>
            <w:r w:rsidR="002B4811" w:rsidRPr="00E0783A">
              <w:rPr>
                <w:rFonts w:asciiTheme="majorBidi" w:hAnsiTheme="majorBidi" w:cstheme="majorBidi"/>
              </w:rPr>
              <w:t>2</w:t>
            </w:r>
            <w:r w:rsidR="00961963" w:rsidRPr="00E0783A">
              <w:rPr>
                <w:rFonts w:asciiTheme="majorBidi" w:hAnsiTheme="majorBidi" w:cstheme="majorBidi"/>
              </w:rPr>
              <w:t>2</w:t>
            </w:r>
            <w:r w:rsidRPr="00E0783A">
              <w:rPr>
                <w:rFonts w:asciiTheme="majorBidi" w:hAnsiTheme="majorBidi" w:cstheme="majorBidi"/>
              </w:rPr>
              <w:t>/</w:t>
            </w:r>
            <w:r w:rsidR="00DE76A5" w:rsidRPr="00E0783A">
              <w:rPr>
                <w:rFonts w:asciiTheme="majorBidi" w:hAnsiTheme="majorBidi" w:cstheme="majorBidi"/>
              </w:rPr>
              <w:t>10</w:t>
            </w:r>
          </w:p>
        </w:tc>
      </w:tr>
      <w:tr w:rsidR="00785AC2" w:rsidRPr="00E0783A"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E0783A" w:rsidRDefault="00785AC2" w:rsidP="002E2BA8">
            <w:pPr>
              <w:spacing w:before="120"/>
              <w:rPr>
                <w:rFonts w:asciiTheme="majorBidi" w:hAnsiTheme="majorBidi" w:cstheme="majorBidi"/>
              </w:rPr>
            </w:pPr>
            <w:r w:rsidRPr="00E0783A">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E0783A" w:rsidRDefault="00785AC2" w:rsidP="002C25DD">
            <w:pPr>
              <w:spacing w:before="120" w:line="420" w:lineRule="exact"/>
              <w:rPr>
                <w:rFonts w:asciiTheme="majorBidi" w:hAnsiTheme="majorBidi" w:cstheme="majorBidi"/>
                <w:b/>
                <w:sz w:val="40"/>
                <w:szCs w:val="40"/>
              </w:rPr>
            </w:pPr>
            <w:r w:rsidRPr="00E0783A">
              <w:rPr>
                <w:rFonts w:asciiTheme="majorBidi" w:hAnsiTheme="majorBidi" w:cstheme="majorBidi"/>
                <w:b/>
                <w:sz w:val="40"/>
                <w:szCs w:val="40"/>
              </w:rPr>
              <w:t>Economic and Social Council</w:t>
            </w:r>
          </w:p>
          <w:p w14:paraId="79C013FE" w14:textId="7A57D644" w:rsidR="00151208" w:rsidRPr="00E0783A"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E0783A" w:rsidRDefault="00785AC2" w:rsidP="002E2BA8">
            <w:pPr>
              <w:spacing w:before="240" w:line="240" w:lineRule="exact"/>
              <w:rPr>
                <w:rFonts w:asciiTheme="majorBidi" w:hAnsiTheme="majorBidi" w:cstheme="majorBidi"/>
              </w:rPr>
            </w:pPr>
            <w:r w:rsidRPr="00E0783A">
              <w:rPr>
                <w:rFonts w:asciiTheme="majorBidi" w:hAnsiTheme="majorBidi" w:cstheme="majorBidi"/>
              </w:rPr>
              <w:t>Distr.: General</w:t>
            </w:r>
          </w:p>
          <w:p w14:paraId="2288E497" w14:textId="49839767" w:rsidR="00785AC2" w:rsidRPr="00E0783A" w:rsidRDefault="00E34765" w:rsidP="002E2BA8">
            <w:pPr>
              <w:spacing w:line="240" w:lineRule="exact"/>
              <w:rPr>
                <w:rFonts w:asciiTheme="majorBidi" w:hAnsiTheme="majorBidi" w:cstheme="majorBidi"/>
              </w:rPr>
            </w:pPr>
            <w:r w:rsidRPr="00E0783A">
              <w:rPr>
                <w:rFonts w:asciiTheme="majorBidi" w:hAnsiTheme="majorBidi" w:cstheme="majorBidi"/>
              </w:rPr>
              <w:t>1</w:t>
            </w:r>
            <w:r w:rsidR="00DE336C">
              <w:rPr>
                <w:rFonts w:asciiTheme="majorBidi" w:hAnsiTheme="majorBidi" w:cstheme="majorBidi"/>
              </w:rPr>
              <w:t>8</w:t>
            </w:r>
            <w:r w:rsidR="001C6D04" w:rsidRPr="00E0783A">
              <w:rPr>
                <w:rFonts w:asciiTheme="majorBidi" w:hAnsiTheme="majorBidi" w:cstheme="majorBidi"/>
              </w:rPr>
              <w:t xml:space="preserve"> </w:t>
            </w:r>
            <w:r w:rsidR="00DE76A5" w:rsidRPr="00E0783A">
              <w:rPr>
                <w:rFonts w:asciiTheme="majorBidi" w:hAnsiTheme="majorBidi" w:cstheme="majorBidi"/>
              </w:rPr>
              <w:t>February</w:t>
            </w:r>
            <w:r w:rsidR="001C6D04" w:rsidRPr="00E0783A">
              <w:rPr>
                <w:rFonts w:asciiTheme="majorBidi" w:hAnsiTheme="majorBidi" w:cstheme="majorBidi"/>
              </w:rPr>
              <w:t xml:space="preserve"> 2022</w:t>
            </w:r>
          </w:p>
          <w:p w14:paraId="78B62AA7" w14:textId="77777777" w:rsidR="00785AC2" w:rsidRPr="00E0783A" w:rsidRDefault="00785AC2" w:rsidP="002E2BA8">
            <w:pPr>
              <w:spacing w:line="240" w:lineRule="exact"/>
              <w:rPr>
                <w:rFonts w:asciiTheme="majorBidi" w:hAnsiTheme="majorBidi" w:cstheme="majorBidi"/>
              </w:rPr>
            </w:pPr>
          </w:p>
          <w:p w14:paraId="7F8F328A" w14:textId="77777777" w:rsidR="00785AC2" w:rsidRPr="00E0783A" w:rsidRDefault="00785AC2" w:rsidP="002E2BA8">
            <w:pPr>
              <w:spacing w:line="240" w:lineRule="exact"/>
              <w:rPr>
                <w:rFonts w:asciiTheme="majorBidi" w:hAnsiTheme="majorBidi" w:cstheme="majorBidi"/>
              </w:rPr>
            </w:pPr>
            <w:r w:rsidRPr="00E0783A">
              <w:rPr>
                <w:rFonts w:asciiTheme="majorBidi" w:hAnsiTheme="majorBidi" w:cstheme="majorBidi"/>
              </w:rPr>
              <w:t>Original: English</w:t>
            </w:r>
          </w:p>
        </w:tc>
      </w:tr>
    </w:tbl>
    <w:p w14:paraId="218E037E" w14:textId="77777777" w:rsidR="00785AC2" w:rsidRPr="00E0783A" w:rsidRDefault="00785AC2" w:rsidP="00785AC2">
      <w:pPr>
        <w:spacing w:before="120"/>
        <w:rPr>
          <w:rFonts w:asciiTheme="majorBidi" w:hAnsiTheme="majorBidi" w:cstheme="majorBidi"/>
          <w:b/>
          <w:sz w:val="28"/>
          <w:szCs w:val="28"/>
        </w:rPr>
      </w:pPr>
      <w:r w:rsidRPr="00E0783A">
        <w:rPr>
          <w:rFonts w:asciiTheme="majorBidi" w:hAnsiTheme="majorBidi" w:cstheme="majorBidi"/>
          <w:b/>
          <w:sz w:val="28"/>
          <w:szCs w:val="28"/>
        </w:rPr>
        <w:t>Economic Commission for Europe</w:t>
      </w:r>
    </w:p>
    <w:p w14:paraId="1FF657A2" w14:textId="77777777" w:rsidR="00F607C0" w:rsidRPr="00E0783A" w:rsidRDefault="00F607C0">
      <w:pPr>
        <w:spacing w:before="120"/>
        <w:rPr>
          <w:rFonts w:asciiTheme="majorBidi" w:hAnsiTheme="majorBidi" w:cstheme="majorBidi"/>
          <w:sz w:val="28"/>
          <w:szCs w:val="28"/>
        </w:rPr>
      </w:pPr>
      <w:r w:rsidRPr="00E0783A">
        <w:rPr>
          <w:rFonts w:asciiTheme="majorBidi" w:hAnsiTheme="majorBidi" w:cstheme="majorBidi"/>
          <w:sz w:val="28"/>
          <w:szCs w:val="28"/>
        </w:rPr>
        <w:t>Inland Transport Committee</w:t>
      </w:r>
    </w:p>
    <w:p w14:paraId="488CB120" w14:textId="77777777" w:rsidR="00F607C0" w:rsidRPr="00E0783A" w:rsidRDefault="00F607C0">
      <w:pPr>
        <w:spacing w:before="120"/>
        <w:rPr>
          <w:rFonts w:asciiTheme="majorBidi" w:hAnsiTheme="majorBidi" w:cstheme="majorBidi"/>
          <w:b/>
          <w:sz w:val="24"/>
          <w:szCs w:val="24"/>
        </w:rPr>
      </w:pPr>
      <w:r w:rsidRPr="00E0783A">
        <w:rPr>
          <w:rFonts w:asciiTheme="majorBidi" w:hAnsiTheme="majorBidi" w:cstheme="majorBidi"/>
          <w:b/>
          <w:sz w:val="24"/>
          <w:szCs w:val="24"/>
        </w:rPr>
        <w:t>World Forum for Harmonization of Vehicle Regulations</w:t>
      </w:r>
    </w:p>
    <w:p w14:paraId="5873F935" w14:textId="77777777" w:rsidR="00F607C0" w:rsidRPr="00E0783A" w:rsidRDefault="00F607C0">
      <w:pPr>
        <w:spacing w:before="120"/>
        <w:rPr>
          <w:rFonts w:asciiTheme="majorBidi" w:hAnsiTheme="majorBidi" w:cstheme="majorBidi"/>
          <w:b/>
        </w:rPr>
      </w:pPr>
      <w:r w:rsidRPr="00E0783A">
        <w:rPr>
          <w:rFonts w:asciiTheme="majorBidi" w:hAnsiTheme="majorBidi" w:cstheme="majorBidi"/>
          <w:b/>
        </w:rPr>
        <w:t>Working Party on General Safety Provisions</w:t>
      </w:r>
    </w:p>
    <w:p w14:paraId="742C4543" w14:textId="42A37751" w:rsidR="0082103C" w:rsidRPr="00E0783A" w:rsidRDefault="00DE76A5" w:rsidP="0082103C">
      <w:pPr>
        <w:spacing w:before="120"/>
        <w:rPr>
          <w:rFonts w:asciiTheme="majorBidi" w:hAnsiTheme="majorBidi" w:cstheme="majorBidi"/>
          <w:b/>
        </w:rPr>
      </w:pPr>
      <w:r w:rsidRPr="00E0783A">
        <w:rPr>
          <w:rFonts w:asciiTheme="majorBidi" w:hAnsiTheme="majorBidi" w:cstheme="majorBidi"/>
          <w:b/>
        </w:rPr>
        <w:t>Seventy-first</w:t>
      </w:r>
      <w:r w:rsidR="001C6D04" w:rsidRPr="00E0783A">
        <w:rPr>
          <w:rFonts w:asciiTheme="majorBidi" w:hAnsiTheme="majorBidi" w:cstheme="majorBidi"/>
          <w:b/>
        </w:rPr>
        <w:t xml:space="preserve"> </w:t>
      </w:r>
      <w:r w:rsidR="0082103C" w:rsidRPr="00E0783A">
        <w:rPr>
          <w:rFonts w:asciiTheme="majorBidi" w:hAnsiTheme="majorBidi" w:cstheme="majorBidi"/>
          <w:b/>
        </w:rPr>
        <w:t>session</w:t>
      </w:r>
    </w:p>
    <w:p w14:paraId="616A0177" w14:textId="2D593A49" w:rsidR="0082103C" w:rsidRPr="00E0783A" w:rsidRDefault="0082103C" w:rsidP="0082103C">
      <w:pPr>
        <w:rPr>
          <w:rFonts w:asciiTheme="majorBidi" w:hAnsiTheme="majorBidi" w:cstheme="majorBidi"/>
        </w:rPr>
      </w:pPr>
      <w:r w:rsidRPr="00E0783A">
        <w:rPr>
          <w:rFonts w:asciiTheme="majorBidi" w:hAnsiTheme="majorBidi" w:cstheme="majorBidi"/>
        </w:rPr>
        <w:t xml:space="preserve">Geneva, </w:t>
      </w:r>
      <w:r w:rsidR="00DE76A5" w:rsidRPr="00E0783A">
        <w:rPr>
          <w:rFonts w:asciiTheme="majorBidi" w:hAnsiTheme="majorBidi" w:cstheme="majorBidi"/>
        </w:rPr>
        <w:t>9</w:t>
      </w:r>
      <w:r w:rsidR="001C6D04" w:rsidRPr="00E0783A">
        <w:rPr>
          <w:rFonts w:asciiTheme="majorBidi" w:hAnsiTheme="majorBidi" w:cstheme="majorBidi"/>
        </w:rPr>
        <w:t>–1</w:t>
      </w:r>
      <w:r w:rsidR="00DE76A5" w:rsidRPr="00E0783A">
        <w:rPr>
          <w:rFonts w:asciiTheme="majorBidi" w:hAnsiTheme="majorBidi" w:cstheme="majorBidi"/>
        </w:rPr>
        <w:t>3</w:t>
      </w:r>
      <w:r w:rsidR="001C6D04" w:rsidRPr="00E0783A">
        <w:rPr>
          <w:rFonts w:asciiTheme="majorBidi" w:hAnsiTheme="majorBidi" w:cstheme="majorBidi"/>
        </w:rPr>
        <w:t xml:space="preserve"> </w:t>
      </w:r>
      <w:r w:rsidR="00DE76A5" w:rsidRPr="00E0783A">
        <w:rPr>
          <w:rFonts w:asciiTheme="majorBidi" w:hAnsiTheme="majorBidi" w:cstheme="majorBidi"/>
        </w:rPr>
        <w:t>May</w:t>
      </w:r>
      <w:r w:rsidR="001C6D04" w:rsidRPr="00E0783A">
        <w:rPr>
          <w:rFonts w:asciiTheme="majorBidi" w:hAnsiTheme="majorBidi" w:cstheme="majorBidi"/>
        </w:rPr>
        <w:t xml:space="preserve"> 2022</w:t>
      </w:r>
    </w:p>
    <w:p w14:paraId="3AC72240" w14:textId="08280F9A" w:rsidR="0082103C" w:rsidRPr="00E0783A" w:rsidRDefault="0082103C" w:rsidP="0082103C">
      <w:pPr>
        <w:rPr>
          <w:rFonts w:asciiTheme="majorBidi" w:hAnsiTheme="majorBidi" w:cstheme="majorBidi"/>
        </w:rPr>
      </w:pPr>
      <w:r w:rsidRPr="00E0783A">
        <w:rPr>
          <w:rFonts w:asciiTheme="majorBidi" w:hAnsiTheme="majorBidi" w:cstheme="majorBidi"/>
        </w:rPr>
        <w:t xml:space="preserve">Item </w:t>
      </w:r>
      <w:r w:rsidR="00DE76A5" w:rsidRPr="00E0783A">
        <w:rPr>
          <w:rFonts w:asciiTheme="majorBidi" w:hAnsiTheme="majorBidi" w:cstheme="majorBidi"/>
        </w:rPr>
        <w:t>16</w:t>
      </w:r>
      <w:r w:rsidR="00170E8B" w:rsidRPr="00E0783A">
        <w:rPr>
          <w:rFonts w:asciiTheme="majorBidi" w:hAnsiTheme="majorBidi" w:cstheme="majorBidi"/>
        </w:rPr>
        <w:t xml:space="preserve"> </w:t>
      </w:r>
      <w:r w:rsidRPr="00E0783A">
        <w:rPr>
          <w:rFonts w:asciiTheme="majorBidi" w:hAnsiTheme="majorBidi" w:cstheme="majorBidi"/>
        </w:rPr>
        <w:t>of the provisional agenda</w:t>
      </w:r>
    </w:p>
    <w:p w14:paraId="2FB9AB39" w14:textId="73C20B46" w:rsidR="00AA3F13" w:rsidRPr="00E0783A" w:rsidRDefault="00DE76A5" w:rsidP="00DE76A5">
      <w:pPr>
        <w:rPr>
          <w:b/>
          <w:lang w:eastAsia="fr-FR"/>
        </w:rPr>
      </w:pPr>
      <w:r w:rsidRPr="00E0783A">
        <w:rPr>
          <w:b/>
          <w:lang w:eastAsia="fr-FR"/>
        </w:rPr>
        <w:t>Mutual Resolution No. 1</w:t>
      </w:r>
    </w:p>
    <w:p w14:paraId="2074CE97" w14:textId="6D57F648" w:rsidR="00DF5B41" w:rsidRPr="00E0783A" w:rsidRDefault="00065893" w:rsidP="002E2178">
      <w:pPr>
        <w:pStyle w:val="HChG"/>
        <w:jc w:val="both"/>
      </w:pPr>
      <w:r w:rsidRPr="00E0783A">
        <w:tab/>
      </w:r>
      <w:r w:rsidR="00D73791" w:rsidRPr="00E0783A">
        <w:tab/>
      </w:r>
      <w:r w:rsidR="00D73791" w:rsidRPr="00E0783A">
        <w:tab/>
      </w:r>
      <w:r w:rsidR="00DE76A5" w:rsidRPr="00E0783A">
        <w:t xml:space="preserve">Proposal for Mutual Resolution No. 1, Addendum 1 (Specifications for the Construction, Preparation and Certification of the 50th percentile male </w:t>
      </w:r>
      <w:proofErr w:type="spellStart"/>
      <w:r w:rsidR="00DE76A5" w:rsidRPr="00E0783A">
        <w:t>Biofidelic</w:t>
      </w:r>
      <w:proofErr w:type="spellEnd"/>
      <w:r w:rsidR="00DE76A5" w:rsidRPr="00E0783A">
        <w:t xml:space="preserve"> Rear Impact Dummy, (</w:t>
      </w:r>
      <w:proofErr w:type="spellStart"/>
      <w:r w:rsidR="00DE76A5" w:rsidRPr="00E0783A">
        <w:t>BioRID</w:t>
      </w:r>
      <w:proofErr w:type="spellEnd"/>
      <w:r w:rsidR="00DE76A5" w:rsidRPr="00E0783A">
        <w:t>-II UN) anthropomorphic test Device)</w:t>
      </w:r>
    </w:p>
    <w:p w14:paraId="2B381787" w14:textId="503360C9" w:rsidR="002E5C78" w:rsidRPr="00E0783A" w:rsidRDefault="00D73791" w:rsidP="00D73791">
      <w:pPr>
        <w:pStyle w:val="H1G"/>
      </w:pPr>
      <w:r w:rsidRPr="00E0783A">
        <w:tab/>
      </w:r>
      <w:r w:rsidRPr="00E0783A">
        <w:tab/>
      </w:r>
      <w:r w:rsidR="00DE76A5" w:rsidRPr="00E0783A">
        <w:t>Submitted by the Expert from the United Kingdom</w:t>
      </w:r>
      <w:r w:rsidR="00E24AB9" w:rsidRPr="00E0783A">
        <w:rPr>
          <w:bCs/>
        </w:rPr>
        <w:t xml:space="preserve"> </w:t>
      </w:r>
      <w:r w:rsidR="002E5C78" w:rsidRPr="00E0783A">
        <w:rPr>
          <w:bCs/>
        </w:rPr>
        <w:footnoteReference w:customMarkFollows="1" w:id="2"/>
        <w:t>*</w:t>
      </w:r>
    </w:p>
    <w:p w14:paraId="106A03BA" w14:textId="4BFDA6C2" w:rsidR="00F607C0" w:rsidRPr="00E0783A" w:rsidRDefault="00DE76A5" w:rsidP="00371368">
      <w:pPr>
        <w:pStyle w:val="SingleTxtG"/>
        <w:ind w:firstLine="425"/>
        <w:rPr>
          <w:rFonts w:asciiTheme="majorBidi" w:hAnsiTheme="majorBidi" w:cstheme="majorBidi"/>
        </w:rPr>
      </w:pPr>
      <w:r w:rsidRPr="00E0783A">
        <w:rPr>
          <w:snapToGrid w:val="0"/>
          <w:lang w:eastAsia="fr-FR"/>
        </w:rPr>
        <w:t xml:space="preserve">The text reproduced below was prepared by the expert from the United Kingdom. It </w:t>
      </w:r>
      <w:r w:rsidRPr="00E0783A">
        <w:rPr>
          <w:lang w:eastAsia="fr-FR"/>
        </w:rPr>
        <w:t>aims t</w:t>
      </w:r>
      <w:r w:rsidR="00F96210">
        <w:rPr>
          <w:lang w:eastAsia="fr-FR"/>
        </w:rPr>
        <w:t>o</w:t>
      </w:r>
      <w:r w:rsidRPr="00E0783A">
        <w:rPr>
          <w:lang w:eastAsia="fr-FR"/>
        </w:rPr>
        <w:t xml:space="preserve"> clarify the text of Addendum 1 to Mutual Resolution No. 1</w:t>
      </w:r>
      <w:r w:rsidR="003D255A" w:rsidRPr="00E0783A">
        <w:rPr>
          <w:lang w:eastAsia="fr-FR"/>
        </w:rPr>
        <w:t xml:space="preserve"> (M.R.1)</w:t>
      </w:r>
      <w:r w:rsidRPr="00E0783A">
        <w:rPr>
          <w:lang w:eastAsia="fr-FR"/>
        </w:rPr>
        <w:t>, and reflects comments and questions received following the adoption of the Addendum by the World Forum for Harmonization of Vehicle Regulations (WP.29) at its 185</w:t>
      </w:r>
      <w:r w:rsidRPr="00DE336C">
        <w:rPr>
          <w:lang w:eastAsia="fr-FR"/>
        </w:rPr>
        <w:t>th</w:t>
      </w:r>
      <w:r w:rsidRPr="00E0783A">
        <w:rPr>
          <w:lang w:eastAsia="fr-FR"/>
        </w:rPr>
        <w:t xml:space="preserve"> session, 23</w:t>
      </w:r>
      <w:r w:rsidR="00F96210" w:rsidRPr="00E0783A">
        <w:rPr>
          <w:rFonts w:asciiTheme="majorBidi" w:hAnsiTheme="majorBidi" w:cstheme="majorBidi"/>
        </w:rPr>
        <w:t>–</w:t>
      </w:r>
      <w:r w:rsidRPr="00E0783A">
        <w:rPr>
          <w:lang w:eastAsia="fr-FR"/>
        </w:rPr>
        <w:t>25 November 2021 (</w:t>
      </w:r>
      <w:r w:rsidR="003F4FF0">
        <w:rPr>
          <w:lang w:eastAsia="fr-FR"/>
        </w:rPr>
        <w:t>ECE/</w:t>
      </w:r>
      <w:r w:rsidRPr="00E0783A">
        <w:rPr>
          <w:lang w:eastAsia="fr-FR"/>
        </w:rPr>
        <w:t>TRANS/WP.29/2021/146).</w:t>
      </w:r>
      <w:r w:rsidR="00BE4683" w:rsidRPr="00E0783A">
        <w:t xml:space="preserve"> </w:t>
      </w:r>
      <w:r w:rsidR="006D61D7" w:rsidRPr="00E0783A">
        <w:rPr>
          <w:szCs w:val="23"/>
        </w:rPr>
        <w:t xml:space="preserve">The modifications to the current text of the </w:t>
      </w:r>
      <w:r w:rsidR="00E91AD5" w:rsidRPr="00E0783A">
        <w:rPr>
          <w:szCs w:val="23"/>
        </w:rPr>
        <w:t xml:space="preserve">Addendum 1 </w:t>
      </w:r>
      <w:r w:rsidR="003D255A" w:rsidRPr="00E0783A">
        <w:rPr>
          <w:szCs w:val="23"/>
        </w:rPr>
        <w:t>of M.R.1. (</w:t>
      </w:r>
      <w:r w:rsidR="00F96210">
        <w:rPr>
          <w:szCs w:val="23"/>
        </w:rPr>
        <w:t>ECE/</w:t>
      </w:r>
      <w:r w:rsidR="003D255A" w:rsidRPr="00E0783A">
        <w:rPr>
          <w:lang w:eastAsia="fr-FR"/>
        </w:rPr>
        <w:t>TRANS/WP.29/2021/146)</w:t>
      </w:r>
      <w:r w:rsidR="00025824" w:rsidRPr="00E0783A">
        <w:rPr>
          <w:lang w:eastAsia="fr-FR"/>
        </w:rPr>
        <w:t>,</w:t>
      </w:r>
      <w:r w:rsidR="003D255A" w:rsidRPr="00E0783A">
        <w:rPr>
          <w:szCs w:val="23"/>
        </w:rPr>
        <w:t xml:space="preserve"> </w:t>
      </w:r>
      <w:r w:rsidR="006D61D7" w:rsidRPr="00E0783A">
        <w:rPr>
          <w:szCs w:val="23"/>
        </w:rPr>
        <w:t xml:space="preserve">are marked </w:t>
      </w:r>
      <w:r w:rsidR="00371368" w:rsidRPr="00E0783A">
        <w:rPr>
          <w:bCs/>
          <w:szCs w:val="23"/>
        </w:rPr>
        <w:t>in bold for new and strikethrough for deleted characters</w:t>
      </w:r>
      <w:r w:rsidR="00FB6628" w:rsidRPr="00E0783A">
        <w:rPr>
          <w:rFonts w:asciiTheme="majorBidi" w:hAnsiTheme="majorBidi" w:cstheme="majorBidi"/>
        </w:rPr>
        <w:t>.</w:t>
      </w:r>
      <w:r w:rsidR="00F607C0" w:rsidRPr="00E0783A">
        <w:rPr>
          <w:rFonts w:asciiTheme="majorBidi" w:hAnsiTheme="majorBidi" w:cstheme="majorBidi"/>
        </w:rPr>
        <w:br w:type="page"/>
      </w:r>
    </w:p>
    <w:p w14:paraId="5387A716" w14:textId="77777777" w:rsidR="00131CD7" w:rsidRPr="00E0783A" w:rsidRDefault="00131CD7" w:rsidP="00131CD7">
      <w:pPr>
        <w:pStyle w:val="HChG"/>
        <w:rPr>
          <w:rFonts w:asciiTheme="majorBidi" w:hAnsiTheme="majorBidi" w:cstheme="majorBidi"/>
          <w:b w:val="0"/>
          <w:szCs w:val="28"/>
        </w:rPr>
      </w:pPr>
      <w:r w:rsidRPr="00E0783A">
        <w:rPr>
          <w:rFonts w:asciiTheme="majorBidi" w:hAnsiTheme="majorBidi" w:cstheme="majorBidi"/>
          <w:szCs w:val="28"/>
        </w:rPr>
        <w:lastRenderedPageBreak/>
        <w:tab/>
        <w:t>I.</w:t>
      </w:r>
      <w:r w:rsidRPr="00E0783A">
        <w:rPr>
          <w:rFonts w:asciiTheme="majorBidi" w:hAnsiTheme="majorBidi" w:cstheme="majorBidi"/>
          <w:szCs w:val="28"/>
        </w:rPr>
        <w:tab/>
      </w:r>
      <w:r w:rsidRPr="00E0783A">
        <w:t>Proposal</w:t>
      </w:r>
    </w:p>
    <w:p w14:paraId="566FED11" w14:textId="699CF4BD" w:rsidR="00DE76A5" w:rsidRPr="00E0783A" w:rsidRDefault="00DE76A5" w:rsidP="00DE76A5">
      <w:pPr>
        <w:tabs>
          <w:tab w:val="left" w:pos="2300"/>
          <w:tab w:val="left" w:pos="2800"/>
        </w:tabs>
        <w:spacing w:after="120"/>
        <w:ind w:right="1134" w:firstLine="1134"/>
        <w:jc w:val="both"/>
        <w:rPr>
          <w:bCs/>
          <w:i/>
          <w:lang w:eastAsia="fr-FR"/>
        </w:rPr>
      </w:pPr>
      <w:bookmarkStart w:id="0" w:name="_Hlk93660034"/>
      <w:r w:rsidRPr="00E0783A">
        <w:rPr>
          <w:bCs/>
          <w:i/>
          <w:lang w:eastAsia="fr-FR"/>
        </w:rPr>
        <w:t>Paragraph 1.2.1., Table 1</w:t>
      </w:r>
      <w:r w:rsidR="00B01684" w:rsidRPr="00E0783A">
        <w:rPr>
          <w:bCs/>
          <w:iCs/>
          <w:lang w:eastAsia="fr-FR"/>
        </w:rPr>
        <w:t>,</w:t>
      </w:r>
      <w:r w:rsidRPr="00E0783A">
        <w:rPr>
          <w:bCs/>
          <w:iCs/>
          <w:lang w:eastAsia="fr-FR"/>
        </w:rPr>
        <w:t xml:space="preserve"> </w:t>
      </w:r>
      <w:r w:rsidR="006A5887" w:rsidRPr="00E0783A">
        <w:rPr>
          <w:bCs/>
          <w:iCs/>
          <w:lang w:eastAsia="fr-FR"/>
        </w:rPr>
        <w:t>amend to read:</w:t>
      </w:r>
    </w:p>
    <w:p w14:paraId="79E807B0" w14:textId="4960A956" w:rsidR="000C14DA" w:rsidRPr="00E0783A" w:rsidRDefault="00A94160" w:rsidP="000C14DA">
      <w:pPr>
        <w:pStyle w:val="SingleTxtG"/>
        <w:spacing w:before="120"/>
        <w:jc w:val="left"/>
        <w:rPr>
          <w:b/>
        </w:rPr>
      </w:pPr>
      <w:r w:rsidRPr="00E0783A">
        <w:rPr>
          <w:bCs/>
        </w:rPr>
        <w:t>"</w:t>
      </w:r>
      <w:r w:rsidR="000C14DA" w:rsidRPr="00E0783A">
        <w:rPr>
          <w:bCs/>
        </w:rPr>
        <w:t>Table 1.</w:t>
      </w:r>
      <w:r w:rsidR="000C14DA" w:rsidRPr="00E0783A">
        <w:rPr>
          <w:bCs/>
        </w:rPr>
        <w:br/>
      </w:r>
      <w:proofErr w:type="spellStart"/>
      <w:r w:rsidR="000C14DA" w:rsidRPr="00E0783A">
        <w:rPr>
          <w:b/>
        </w:rPr>
        <w:t>BioRID</w:t>
      </w:r>
      <w:proofErr w:type="spellEnd"/>
      <w:r w:rsidR="000C14DA" w:rsidRPr="00E0783A">
        <w:rPr>
          <w:b/>
        </w:rPr>
        <w:t>-II UN Instrumentation</w:t>
      </w:r>
    </w:p>
    <w:tbl>
      <w:tblPr>
        <w:tblW w:w="7370" w:type="dxa"/>
        <w:tblInd w:w="1134" w:type="dxa"/>
        <w:tblLayout w:type="fixed"/>
        <w:tblCellMar>
          <w:left w:w="0" w:type="dxa"/>
          <w:right w:w="0" w:type="dxa"/>
        </w:tblCellMar>
        <w:tblLook w:val="04A0" w:firstRow="1" w:lastRow="0" w:firstColumn="1" w:lastColumn="0" w:noHBand="0" w:noVBand="1"/>
      </w:tblPr>
      <w:tblGrid>
        <w:gridCol w:w="1429"/>
        <w:gridCol w:w="1593"/>
        <w:gridCol w:w="1645"/>
        <w:gridCol w:w="1645"/>
        <w:gridCol w:w="1058"/>
      </w:tblGrid>
      <w:tr w:rsidR="000C14DA" w:rsidRPr="00E0783A" w14:paraId="22B4B911" w14:textId="77777777" w:rsidTr="009019DC">
        <w:trPr>
          <w:tblHeader/>
        </w:trPr>
        <w:tc>
          <w:tcPr>
            <w:tcW w:w="1379" w:type="dxa"/>
            <w:tcBorders>
              <w:top w:val="single" w:sz="4" w:space="0" w:color="auto"/>
              <w:bottom w:val="single" w:sz="12" w:space="0" w:color="auto"/>
            </w:tcBorders>
            <w:shd w:val="clear" w:color="auto" w:fill="auto"/>
            <w:vAlign w:val="bottom"/>
          </w:tcPr>
          <w:p w14:paraId="557BDB41" w14:textId="77777777" w:rsidR="000C14DA" w:rsidRPr="00E0783A" w:rsidRDefault="000C14DA" w:rsidP="009019DC">
            <w:pPr>
              <w:spacing w:before="80" w:after="80" w:line="200" w:lineRule="exact"/>
              <w:ind w:right="113"/>
              <w:rPr>
                <w:rFonts w:eastAsia="Calibri"/>
                <w:i/>
                <w:sz w:val="16"/>
              </w:rPr>
            </w:pPr>
          </w:p>
        </w:tc>
        <w:tc>
          <w:tcPr>
            <w:tcW w:w="1537" w:type="dxa"/>
            <w:tcBorders>
              <w:top w:val="single" w:sz="4" w:space="0" w:color="auto"/>
              <w:bottom w:val="single" w:sz="12" w:space="0" w:color="auto"/>
            </w:tcBorders>
            <w:shd w:val="clear" w:color="auto" w:fill="auto"/>
            <w:vAlign w:val="bottom"/>
          </w:tcPr>
          <w:p w14:paraId="0B97313F" w14:textId="77777777" w:rsidR="000C14DA" w:rsidRPr="00E0783A" w:rsidRDefault="000C14DA" w:rsidP="009019DC">
            <w:pPr>
              <w:spacing w:before="80" w:after="80" w:line="200" w:lineRule="exact"/>
              <w:ind w:right="113"/>
              <w:rPr>
                <w:rFonts w:eastAsia="Calibri"/>
                <w:i/>
                <w:sz w:val="16"/>
              </w:rPr>
            </w:pPr>
          </w:p>
        </w:tc>
        <w:tc>
          <w:tcPr>
            <w:tcW w:w="3176" w:type="dxa"/>
            <w:gridSpan w:val="2"/>
            <w:tcBorders>
              <w:top w:val="single" w:sz="4" w:space="0" w:color="auto"/>
              <w:bottom w:val="single" w:sz="12" w:space="0" w:color="auto"/>
            </w:tcBorders>
            <w:shd w:val="clear" w:color="auto" w:fill="auto"/>
            <w:vAlign w:val="bottom"/>
          </w:tcPr>
          <w:p w14:paraId="4248EF31" w14:textId="77777777" w:rsidR="000C14DA" w:rsidRPr="00E0783A" w:rsidRDefault="000C14DA" w:rsidP="009019DC">
            <w:pPr>
              <w:spacing w:before="80" w:after="80" w:line="200" w:lineRule="exact"/>
              <w:ind w:right="113"/>
              <w:rPr>
                <w:rFonts w:eastAsia="Calibri"/>
                <w:i/>
                <w:sz w:val="16"/>
              </w:rPr>
            </w:pPr>
            <w:r w:rsidRPr="00E0783A">
              <w:rPr>
                <w:rFonts w:eastAsia="Calibri"/>
                <w:i/>
                <w:sz w:val="16"/>
              </w:rPr>
              <w:t>Measurement</w:t>
            </w:r>
          </w:p>
        </w:tc>
        <w:tc>
          <w:tcPr>
            <w:tcW w:w="1021" w:type="dxa"/>
            <w:tcBorders>
              <w:top w:val="single" w:sz="4" w:space="0" w:color="auto"/>
              <w:bottom w:val="single" w:sz="12" w:space="0" w:color="auto"/>
            </w:tcBorders>
            <w:shd w:val="clear" w:color="auto" w:fill="auto"/>
            <w:vAlign w:val="bottom"/>
          </w:tcPr>
          <w:p w14:paraId="030CF236" w14:textId="77777777" w:rsidR="000C14DA" w:rsidRPr="00E0783A" w:rsidRDefault="000C14DA" w:rsidP="009019DC">
            <w:pPr>
              <w:spacing w:before="80" w:after="80" w:line="200" w:lineRule="exact"/>
              <w:ind w:right="113"/>
              <w:rPr>
                <w:rFonts w:eastAsia="Calibri"/>
                <w:i/>
                <w:sz w:val="16"/>
              </w:rPr>
            </w:pPr>
          </w:p>
        </w:tc>
      </w:tr>
      <w:tr w:rsidR="000C14DA" w:rsidRPr="00E0783A" w14:paraId="53A54483" w14:textId="77777777" w:rsidTr="009019DC">
        <w:trPr>
          <w:trHeight w:hRule="exact" w:val="113"/>
        </w:trPr>
        <w:tc>
          <w:tcPr>
            <w:tcW w:w="1379" w:type="dxa"/>
            <w:tcBorders>
              <w:top w:val="single" w:sz="12" w:space="0" w:color="auto"/>
            </w:tcBorders>
            <w:shd w:val="clear" w:color="auto" w:fill="auto"/>
          </w:tcPr>
          <w:p w14:paraId="0A2C848B" w14:textId="77777777" w:rsidR="000C14DA" w:rsidRPr="00E0783A" w:rsidRDefault="000C14DA" w:rsidP="009019DC">
            <w:pPr>
              <w:spacing w:before="40" w:after="120"/>
              <w:ind w:right="113"/>
              <w:rPr>
                <w:rFonts w:eastAsia="Calibri"/>
              </w:rPr>
            </w:pPr>
          </w:p>
        </w:tc>
        <w:tc>
          <w:tcPr>
            <w:tcW w:w="1537" w:type="dxa"/>
            <w:tcBorders>
              <w:top w:val="single" w:sz="12" w:space="0" w:color="auto"/>
            </w:tcBorders>
            <w:shd w:val="clear" w:color="auto" w:fill="auto"/>
          </w:tcPr>
          <w:p w14:paraId="68E577EC" w14:textId="77777777" w:rsidR="000C14DA" w:rsidRPr="00E0783A" w:rsidRDefault="000C14DA" w:rsidP="009019DC">
            <w:pPr>
              <w:spacing w:before="40" w:after="120"/>
              <w:ind w:right="113"/>
              <w:rPr>
                <w:rFonts w:eastAsia="Calibri"/>
              </w:rPr>
            </w:pPr>
          </w:p>
        </w:tc>
        <w:tc>
          <w:tcPr>
            <w:tcW w:w="3176" w:type="dxa"/>
            <w:gridSpan w:val="2"/>
            <w:tcBorders>
              <w:top w:val="single" w:sz="12" w:space="0" w:color="auto"/>
            </w:tcBorders>
            <w:shd w:val="clear" w:color="auto" w:fill="auto"/>
          </w:tcPr>
          <w:p w14:paraId="4636981D" w14:textId="77777777" w:rsidR="000C14DA" w:rsidRPr="00E0783A" w:rsidRDefault="000C14DA" w:rsidP="009019DC">
            <w:pPr>
              <w:spacing w:before="40" w:after="120"/>
              <w:ind w:right="113"/>
              <w:rPr>
                <w:rFonts w:eastAsia="Calibri"/>
              </w:rPr>
            </w:pPr>
          </w:p>
        </w:tc>
        <w:tc>
          <w:tcPr>
            <w:tcW w:w="1021" w:type="dxa"/>
            <w:tcBorders>
              <w:top w:val="single" w:sz="12" w:space="0" w:color="auto"/>
            </w:tcBorders>
            <w:shd w:val="clear" w:color="auto" w:fill="auto"/>
          </w:tcPr>
          <w:p w14:paraId="37766248" w14:textId="77777777" w:rsidR="000C14DA" w:rsidRPr="00E0783A" w:rsidRDefault="000C14DA" w:rsidP="009019DC">
            <w:pPr>
              <w:spacing w:before="40" w:after="120"/>
              <w:ind w:right="113"/>
              <w:rPr>
                <w:rFonts w:eastAsia="Calibri"/>
              </w:rPr>
            </w:pPr>
          </w:p>
        </w:tc>
      </w:tr>
      <w:tr w:rsidR="000C14DA" w:rsidRPr="00E0783A" w14:paraId="0D73B8A3" w14:textId="77777777" w:rsidTr="009019DC">
        <w:tc>
          <w:tcPr>
            <w:tcW w:w="1379" w:type="dxa"/>
            <w:shd w:val="clear" w:color="auto" w:fill="auto"/>
          </w:tcPr>
          <w:p w14:paraId="06424610" w14:textId="77777777" w:rsidR="000C14DA" w:rsidRPr="00E0783A" w:rsidRDefault="000C14DA" w:rsidP="009019DC">
            <w:pPr>
              <w:spacing w:before="40" w:after="120"/>
              <w:ind w:right="113"/>
              <w:rPr>
                <w:rFonts w:eastAsia="Calibri"/>
              </w:rPr>
            </w:pPr>
            <w:r w:rsidRPr="00E0783A">
              <w:rPr>
                <w:rFonts w:eastAsia="Calibri"/>
              </w:rPr>
              <w:t>Location</w:t>
            </w:r>
          </w:p>
        </w:tc>
        <w:tc>
          <w:tcPr>
            <w:tcW w:w="1537" w:type="dxa"/>
            <w:shd w:val="clear" w:color="auto" w:fill="auto"/>
          </w:tcPr>
          <w:p w14:paraId="37867994" w14:textId="77777777" w:rsidR="000C14DA" w:rsidRPr="00E0783A" w:rsidRDefault="000C14DA" w:rsidP="009019DC">
            <w:pPr>
              <w:spacing w:before="40" w:after="120"/>
              <w:ind w:right="113"/>
              <w:rPr>
                <w:rFonts w:eastAsia="Calibri"/>
              </w:rPr>
            </w:pPr>
            <w:r w:rsidRPr="00E0783A">
              <w:rPr>
                <w:rFonts w:eastAsia="Calibri"/>
              </w:rPr>
              <w:t>Type</w:t>
            </w:r>
          </w:p>
        </w:tc>
        <w:tc>
          <w:tcPr>
            <w:tcW w:w="1588" w:type="dxa"/>
            <w:shd w:val="clear" w:color="auto" w:fill="auto"/>
          </w:tcPr>
          <w:p w14:paraId="3CF2EB39" w14:textId="77777777" w:rsidR="000C14DA" w:rsidRPr="00E0783A" w:rsidRDefault="000C14DA" w:rsidP="009019DC">
            <w:pPr>
              <w:spacing w:before="40" w:after="120"/>
              <w:ind w:right="113"/>
              <w:rPr>
                <w:rFonts w:eastAsia="Calibri"/>
              </w:rPr>
            </w:pPr>
            <w:r w:rsidRPr="00E0783A">
              <w:rPr>
                <w:rFonts w:eastAsia="Calibri"/>
              </w:rPr>
              <w:t>Required</w:t>
            </w:r>
          </w:p>
        </w:tc>
        <w:tc>
          <w:tcPr>
            <w:tcW w:w="1588" w:type="dxa"/>
            <w:shd w:val="clear" w:color="auto" w:fill="auto"/>
          </w:tcPr>
          <w:p w14:paraId="4E36B5FC" w14:textId="77777777" w:rsidR="000C14DA" w:rsidRPr="00E0783A" w:rsidRDefault="000C14DA" w:rsidP="009019DC">
            <w:pPr>
              <w:spacing w:before="40" w:after="120"/>
              <w:ind w:right="113"/>
              <w:rPr>
                <w:rFonts w:eastAsia="Calibri"/>
              </w:rPr>
            </w:pPr>
            <w:r w:rsidRPr="00E0783A">
              <w:rPr>
                <w:rFonts w:eastAsia="Calibri"/>
              </w:rPr>
              <w:t>Optional</w:t>
            </w:r>
          </w:p>
        </w:tc>
        <w:tc>
          <w:tcPr>
            <w:tcW w:w="1021" w:type="dxa"/>
            <w:shd w:val="clear" w:color="auto" w:fill="auto"/>
          </w:tcPr>
          <w:p w14:paraId="23F05AF1" w14:textId="77777777" w:rsidR="000C14DA" w:rsidRPr="00E0783A" w:rsidRDefault="000C14DA" w:rsidP="009019DC">
            <w:pPr>
              <w:spacing w:before="40" w:after="120"/>
              <w:ind w:right="113"/>
              <w:rPr>
                <w:rFonts w:eastAsia="Calibri"/>
                <w:strike/>
              </w:rPr>
            </w:pPr>
            <w:r w:rsidRPr="00E0783A">
              <w:rPr>
                <w:rFonts w:eastAsia="Calibri"/>
                <w:strike/>
              </w:rPr>
              <w:t>Number of</w:t>
            </w:r>
          </w:p>
          <w:p w14:paraId="56DD9396" w14:textId="77777777" w:rsidR="000C14DA" w:rsidRPr="00E0783A" w:rsidRDefault="000C14DA" w:rsidP="009019DC">
            <w:pPr>
              <w:spacing w:before="40" w:after="120"/>
              <w:ind w:right="113"/>
              <w:rPr>
                <w:rFonts w:eastAsia="Calibri"/>
              </w:rPr>
            </w:pPr>
            <w:r w:rsidRPr="00E0783A">
              <w:rPr>
                <w:rFonts w:eastAsia="Calibri"/>
                <w:strike/>
              </w:rPr>
              <w:t>Channels</w:t>
            </w:r>
          </w:p>
        </w:tc>
      </w:tr>
      <w:tr w:rsidR="000C14DA" w:rsidRPr="00E0783A" w14:paraId="44963DDB" w14:textId="77777777" w:rsidTr="009019DC">
        <w:tc>
          <w:tcPr>
            <w:tcW w:w="1379" w:type="dxa"/>
            <w:shd w:val="clear" w:color="auto" w:fill="auto"/>
          </w:tcPr>
          <w:p w14:paraId="2B7F0235" w14:textId="77777777" w:rsidR="000C14DA" w:rsidRPr="00E0783A" w:rsidRDefault="000C14DA" w:rsidP="009019DC">
            <w:pPr>
              <w:spacing w:before="40" w:after="120"/>
              <w:ind w:right="113"/>
              <w:rPr>
                <w:rFonts w:eastAsia="Calibri"/>
              </w:rPr>
            </w:pPr>
            <w:r w:rsidRPr="00E0783A">
              <w:rPr>
                <w:rFonts w:eastAsia="Calibri"/>
              </w:rPr>
              <w:t>Head</w:t>
            </w:r>
          </w:p>
        </w:tc>
        <w:tc>
          <w:tcPr>
            <w:tcW w:w="1537" w:type="dxa"/>
            <w:shd w:val="clear" w:color="auto" w:fill="auto"/>
          </w:tcPr>
          <w:p w14:paraId="42847F8C" w14:textId="77777777" w:rsidR="000C14DA" w:rsidRPr="00E0783A" w:rsidRDefault="000C14DA" w:rsidP="009019DC">
            <w:pPr>
              <w:spacing w:before="40" w:after="120"/>
              <w:ind w:right="113"/>
              <w:rPr>
                <w:rFonts w:eastAsia="Calibri"/>
              </w:rPr>
            </w:pPr>
            <w:r w:rsidRPr="00E0783A">
              <w:rPr>
                <w:rFonts w:eastAsia="Calibri"/>
              </w:rPr>
              <w:t xml:space="preserve">Accelerometer </w:t>
            </w:r>
          </w:p>
        </w:tc>
        <w:tc>
          <w:tcPr>
            <w:tcW w:w="1588" w:type="dxa"/>
            <w:shd w:val="clear" w:color="auto" w:fill="auto"/>
          </w:tcPr>
          <w:p w14:paraId="701E04F5" w14:textId="77777777" w:rsidR="000C14DA" w:rsidRPr="00E0783A" w:rsidRDefault="000C14DA" w:rsidP="009019DC">
            <w:pPr>
              <w:spacing w:before="40" w:after="120"/>
              <w:ind w:right="113"/>
              <w:rPr>
                <w:rFonts w:eastAsia="Calibri"/>
              </w:rPr>
            </w:pPr>
            <w:r w:rsidRPr="00E0783A">
              <w:rPr>
                <w:rFonts w:eastAsia="Calibri"/>
              </w:rPr>
              <w:t xml:space="preserve">AX </w:t>
            </w:r>
          </w:p>
        </w:tc>
        <w:tc>
          <w:tcPr>
            <w:tcW w:w="1588" w:type="dxa"/>
            <w:shd w:val="clear" w:color="auto" w:fill="auto"/>
          </w:tcPr>
          <w:p w14:paraId="4AB128CF" w14:textId="77777777" w:rsidR="000C14DA" w:rsidRPr="00E0783A" w:rsidRDefault="000C14DA" w:rsidP="009019DC">
            <w:pPr>
              <w:spacing w:before="40" w:after="120"/>
              <w:ind w:right="113"/>
              <w:rPr>
                <w:rFonts w:eastAsia="Calibri"/>
              </w:rPr>
            </w:pPr>
            <w:r w:rsidRPr="00E0783A">
              <w:rPr>
                <w:rFonts w:eastAsia="Calibri"/>
              </w:rPr>
              <w:t>AY, AZ</w:t>
            </w:r>
          </w:p>
        </w:tc>
        <w:tc>
          <w:tcPr>
            <w:tcW w:w="1021" w:type="dxa"/>
            <w:shd w:val="clear" w:color="auto" w:fill="auto"/>
          </w:tcPr>
          <w:p w14:paraId="09776625" w14:textId="77777777" w:rsidR="000C14DA" w:rsidRPr="00E0783A" w:rsidRDefault="000C14DA" w:rsidP="009019DC">
            <w:pPr>
              <w:spacing w:before="40" w:after="120"/>
              <w:ind w:right="113"/>
              <w:rPr>
                <w:rFonts w:eastAsia="Calibri"/>
                <w:strike/>
              </w:rPr>
            </w:pPr>
            <w:r w:rsidRPr="00E0783A">
              <w:rPr>
                <w:rFonts w:eastAsia="Calibri"/>
                <w:strike/>
              </w:rPr>
              <w:t>1 – 3</w:t>
            </w:r>
          </w:p>
        </w:tc>
      </w:tr>
      <w:tr w:rsidR="000C14DA" w:rsidRPr="00E0783A" w14:paraId="13D15BF8" w14:textId="77777777" w:rsidTr="009019DC">
        <w:tc>
          <w:tcPr>
            <w:tcW w:w="1379" w:type="dxa"/>
            <w:shd w:val="clear" w:color="auto" w:fill="auto"/>
          </w:tcPr>
          <w:p w14:paraId="52CFDF09" w14:textId="77777777" w:rsidR="000C14DA" w:rsidRPr="00E0783A" w:rsidRDefault="000C14DA" w:rsidP="009019DC">
            <w:pPr>
              <w:spacing w:before="40" w:after="120"/>
              <w:ind w:right="113"/>
              <w:rPr>
                <w:rFonts w:eastAsia="Calibri"/>
              </w:rPr>
            </w:pPr>
            <w:r w:rsidRPr="00E0783A">
              <w:rPr>
                <w:rFonts w:eastAsia="Calibri"/>
              </w:rPr>
              <w:t>Head</w:t>
            </w:r>
          </w:p>
        </w:tc>
        <w:tc>
          <w:tcPr>
            <w:tcW w:w="1537" w:type="dxa"/>
            <w:shd w:val="clear" w:color="auto" w:fill="auto"/>
          </w:tcPr>
          <w:p w14:paraId="0BAC4C5E" w14:textId="77777777" w:rsidR="000C14DA" w:rsidRPr="00E0783A" w:rsidRDefault="000C14DA" w:rsidP="009019DC">
            <w:pPr>
              <w:spacing w:before="40" w:after="120"/>
              <w:ind w:right="113"/>
              <w:rPr>
                <w:rFonts w:eastAsia="Calibri"/>
              </w:rPr>
            </w:pPr>
            <w:r w:rsidRPr="00E0783A">
              <w:rPr>
                <w:rFonts w:eastAsia="Calibri"/>
              </w:rPr>
              <w:t>Tilt Sensor</w:t>
            </w:r>
          </w:p>
        </w:tc>
        <w:tc>
          <w:tcPr>
            <w:tcW w:w="1588" w:type="dxa"/>
            <w:shd w:val="clear" w:color="auto" w:fill="auto"/>
          </w:tcPr>
          <w:p w14:paraId="6BFA5B6E" w14:textId="77777777" w:rsidR="000C14DA" w:rsidRPr="00E0783A" w:rsidRDefault="000C14DA" w:rsidP="009019DC">
            <w:pPr>
              <w:spacing w:before="40" w:after="120"/>
              <w:ind w:right="113"/>
              <w:rPr>
                <w:rFonts w:eastAsia="Calibri"/>
              </w:rPr>
            </w:pPr>
          </w:p>
        </w:tc>
        <w:tc>
          <w:tcPr>
            <w:tcW w:w="1588" w:type="dxa"/>
            <w:shd w:val="clear" w:color="auto" w:fill="auto"/>
          </w:tcPr>
          <w:p w14:paraId="7E928E62" w14:textId="77777777" w:rsidR="000C14DA" w:rsidRPr="00E0783A" w:rsidRDefault="000C14DA" w:rsidP="009019DC">
            <w:pPr>
              <w:spacing w:before="40" w:after="120"/>
              <w:ind w:right="113"/>
              <w:rPr>
                <w:rFonts w:eastAsia="Calibri"/>
              </w:rPr>
            </w:pPr>
            <w:r w:rsidRPr="00E0783A">
              <w:rPr>
                <w:rFonts w:eastAsia="Calibri"/>
              </w:rPr>
              <w:t>Angle</w:t>
            </w:r>
          </w:p>
        </w:tc>
        <w:tc>
          <w:tcPr>
            <w:tcW w:w="1021" w:type="dxa"/>
            <w:shd w:val="clear" w:color="auto" w:fill="auto"/>
          </w:tcPr>
          <w:p w14:paraId="576D3684" w14:textId="77777777" w:rsidR="000C14DA" w:rsidRPr="00E0783A" w:rsidRDefault="000C14DA" w:rsidP="009019DC">
            <w:pPr>
              <w:spacing w:before="40" w:after="120"/>
              <w:ind w:right="113"/>
              <w:rPr>
                <w:rFonts w:eastAsia="Calibri"/>
              </w:rPr>
            </w:pPr>
            <w:r w:rsidRPr="00E0783A">
              <w:rPr>
                <w:rFonts w:eastAsia="Calibri"/>
              </w:rPr>
              <w:t>2</w:t>
            </w:r>
          </w:p>
        </w:tc>
      </w:tr>
      <w:tr w:rsidR="000C14DA" w:rsidRPr="00E0783A" w14:paraId="34500925" w14:textId="77777777" w:rsidTr="009019DC">
        <w:tc>
          <w:tcPr>
            <w:tcW w:w="1379" w:type="dxa"/>
            <w:shd w:val="clear" w:color="auto" w:fill="auto"/>
          </w:tcPr>
          <w:p w14:paraId="61C1EFCA" w14:textId="77777777" w:rsidR="000C14DA" w:rsidRPr="00E0783A" w:rsidRDefault="000C14DA" w:rsidP="009019DC">
            <w:pPr>
              <w:spacing w:before="40" w:after="120"/>
              <w:ind w:right="113"/>
              <w:rPr>
                <w:rFonts w:eastAsia="Calibri"/>
              </w:rPr>
            </w:pPr>
            <w:r w:rsidRPr="00E0783A">
              <w:rPr>
                <w:rFonts w:eastAsia="Calibri"/>
              </w:rPr>
              <w:t>Head</w:t>
            </w:r>
          </w:p>
        </w:tc>
        <w:tc>
          <w:tcPr>
            <w:tcW w:w="1537" w:type="dxa"/>
            <w:shd w:val="clear" w:color="auto" w:fill="auto"/>
          </w:tcPr>
          <w:p w14:paraId="68190926" w14:textId="77777777" w:rsidR="000C14DA" w:rsidRPr="00E0783A" w:rsidRDefault="000C14DA" w:rsidP="009019DC">
            <w:pPr>
              <w:spacing w:before="40" w:after="120"/>
              <w:ind w:right="113"/>
              <w:rPr>
                <w:rFonts w:eastAsia="Calibri"/>
              </w:rPr>
            </w:pPr>
            <w:r w:rsidRPr="00E0783A">
              <w:rPr>
                <w:rFonts w:eastAsia="Calibri"/>
              </w:rPr>
              <w:t>Angular Rate Sensor (ARS)</w:t>
            </w:r>
          </w:p>
        </w:tc>
        <w:tc>
          <w:tcPr>
            <w:tcW w:w="1588" w:type="dxa"/>
            <w:shd w:val="clear" w:color="auto" w:fill="auto"/>
          </w:tcPr>
          <w:p w14:paraId="2380DECF" w14:textId="77777777" w:rsidR="000C14DA" w:rsidRPr="00E0783A" w:rsidRDefault="000C14DA" w:rsidP="009019DC">
            <w:pPr>
              <w:spacing w:before="40" w:after="120"/>
              <w:ind w:right="113"/>
              <w:rPr>
                <w:rFonts w:eastAsia="Calibri"/>
                <w:i/>
              </w:rPr>
            </w:pPr>
          </w:p>
        </w:tc>
        <w:tc>
          <w:tcPr>
            <w:tcW w:w="1588" w:type="dxa"/>
            <w:shd w:val="clear" w:color="auto" w:fill="auto"/>
          </w:tcPr>
          <w:p w14:paraId="21F0632C" w14:textId="77777777" w:rsidR="000C14DA" w:rsidRPr="00E0783A" w:rsidRDefault="000C14DA" w:rsidP="009019DC">
            <w:pPr>
              <w:spacing w:before="40" w:after="120"/>
              <w:ind w:right="113"/>
              <w:rPr>
                <w:rFonts w:eastAsia="Calibri"/>
              </w:rPr>
            </w:pPr>
            <w:r w:rsidRPr="00E0783A">
              <w:rPr>
                <w:rFonts w:eastAsia="Calibri"/>
              </w:rPr>
              <w:t>AVX, AVY, AVZ</w:t>
            </w:r>
          </w:p>
          <w:p w14:paraId="1E195CC3" w14:textId="77777777" w:rsidR="000C14DA" w:rsidRPr="00E0783A" w:rsidRDefault="000C14DA" w:rsidP="009019DC">
            <w:pPr>
              <w:spacing w:before="40" w:after="120"/>
              <w:ind w:right="113"/>
              <w:rPr>
                <w:rFonts w:eastAsia="Calibri"/>
              </w:rPr>
            </w:pPr>
          </w:p>
        </w:tc>
        <w:tc>
          <w:tcPr>
            <w:tcW w:w="1021" w:type="dxa"/>
            <w:shd w:val="clear" w:color="auto" w:fill="auto"/>
          </w:tcPr>
          <w:p w14:paraId="4E086D25" w14:textId="77777777" w:rsidR="000C14DA" w:rsidRPr="00E0783A" w:rsidRDefault="000C14DA" w:rsidP="009019DC">
            <w:pPr>
              <w:spacing w:before="40" w:after="120"/>
              <w:ind w:right="113"/>
              <w:rPr>
                <w:rFonts w:eastAsia="Calibri"/>
                <w:strike/>
              </w:rPr>
            </w:pPr>
            <w:r w:rsidRPr="00E0783A">
              <w:rPr>
                <w:rFonts w:eastAsia="Calibri"/>
                <w:strike/>
              </w:rPr>
              <w:t>1 – 3</w:t>
            </w:r>
          </w:p>
        </w:tc>
      </w:tr>
      <w:tr w:rsidR="000C14DA" w:rsidRPr="00E0783A" w14:paraId="7EFED426" w14:textId="77777777" w:rsidTr="009019DC">
        <w:tc>
          <w:tcPr>
            <w:tcW w:w="1379" w:type="dxa"/>
            <w:shd w:val="clear" w:color="auto" w:fill="auto"/>
          </w:tcPr>
          <w:p w14:paraId="7D7BAF13" w14:textId="77777777" w:rsidR="000C14DA" w:rsidRPr="00E0783A" w:rsidRDefault="000C14DA" w:rsidP="009019DC">
            <w:pPr>
              <w:spacing w:before="40" w:after="120"/>
              <w:ind w:right="113"/>
              <w:rPr>
                <w:rFonts w:eastAsia="Calibri"/>
              </w:rPr>
            </w:pPr>
            <w:r w:rsidRPr="00E0783A">
              <w:rPr>
                <w:rFonts w:eastAsia="Calibri"/>
              </w:rPr>
              <w:t>Head</w:t>
            </w:r>
          </w:p>
        </w:tc>
        <w:tc>
          <w:tcPr>
            <w:tcW w:w="1537" w:type="dxa"/>
            <w:shd w:val="clear" w:color="auto" w:fill="auto"/>
          </w:tcPr>
          <w:p w14:paraId="0CF8558E" w14:textId="77777777" w:rsidR="000C14DA" w:rsidRPr="00E0783A" w:rsidRDefault="000C14DA" w:rsidP="009019DC">
            <w:pPr>
              <w:spacing w:before="40" w:after="120"/>
              <w:ind w:right="113"/>
              <w:rPr>
                <w:rFonts w:eastAsia="Calibri"/>
              </w:rPr>
            </w:pPr>
            <w:r w:rsidRPr="00E0783A">
              <w:rPr>
                <w:rFonts w:eastAsia="Calibri"/>
              </w:rPr>
              <w:t>Contact Switch</w:t>
            </w:r>
          </w:p>
        </w:tc>
        <w:tc>
          <w:tcPr>
            <w:tcW w:w="1588" w:type="dxa"/>
            <w:shd w:val="clear" w:color="auto" w:fill="auto"/>
          </w:tcPr>
          <w:p w14:paraId="2DF6E08F" w14:textId="77777777" w:rsidR="000C14DA" w:rsidRPr="00E0783A" w:rsidRDefault="000C14DA" w:rsidP="009019DC">
            <w:pPr>
              <w:spacing w:before="40" w:after="120"/>
              <w:ind w:right="113"/>
              <w:rPr>
                <w:rFonts w:eastAsia="Calibri"/>
              </w:rPr>
            </w:pPr>
            <w:r w:rsidRPr="00E0783A">
              <w:rPr>
                <w:rFonts w:eastAsia="Calibri"/>
              </w:rPr>
              <w:t>Event</w:t>
            </w:r>
          </w:p>
        </w:tc>
        <w:tc>
          <w:tcPr>
            <w:tcW w:w="1588" w:type="dxa"/>
            <w:shd w:val="clear" w:color="auto" w:fill="auto"/>
          </w:tcPr>
          <w:p w14:paraId="73119BB9" w14:textId="77777777" w:rsidR="000C14DA" w:rsidRPr="00E0783A" w:rsidRDefault="000C14DA" w:rsidP="009019DC">
            <w:pPr>
              <w:spacing w:before="40" w:after="120"/>
              <w:ind w:right="113"/>
              <w:rPr>
                <w:rFonts w:eastAsia="Calibri"/>
              </w:rPr>
            </w:pPr>
          </w:p>
        </w:tc>
        <w:tc>
          <w:tcPr>
            <w:tcW w:w="1021" w:type="dxa"/>
            <w:shd w:val="clear" w:color="auto" w:fill="auto"/>
          </w:tcPr>
          <w:p w14:paraId="058FF6E1" w14:textId="77777777" w:rsidR="000C14DA" w:rsidRPr="00E0783A" w:rsidRDefault="000C14DA" w:rsidP="009019DC">
            <w:pPr>
              <w:spacing w:before="40" w:after="120"/>
              <w:ind w:right="113"/>
              <w:rPr>
                <w:rFonts w:eastAsia="Calibri"/>
                <w:strike/>
              </w:rPr>
            </w:pPr>
            <w:r w:rsidRPr="00E0783A">
              <w:rPr>
                <w:rFonts w:eastAsia="Calibri"/>
                <w:strike/>
              </w:rPr>
              <w:t>1</w:t>
            </w:r>
          </w:p>
        </w:tc>
      </w:tr>
      <w:tr w:rsidR="000C14DA" w:rsidRPr="00E0783A" w14:paraId="2599F52B" w14:textId="77777777" w:rsidTr="009019DC">
        <w:tc>
          <w:tcPr>
            <w:tcW w:w="1379" w:type="dxa"/>
            <w:shd w:val="clear" w:color="auto" w:fill="auto"/>
          </w:tcPr>
          <w:p w14:paraId="111DC1C6" w14:textId="77777777" w:rsidR="000C14DA" w:rsidRPr="00E0783A" w:rsidRDefault="000C14DA" w:rsidP="009019DC">
            <w:pPr>
              <w:spacing w:before="40" w:after="120"/>
              <w:ind w:right="113"/>
              <w:rPr>
                <w:rFonts w:eastAsia="Calibri"/>
              </w:rPr>
            </w:pPr>
            <w:r w:rsidRPr="00E0783A">
              <w:rPr>
                <w:rFonts w:eastAsia="Calibri"/>
              </w:rPr>
              <w:t>Upper Neck</w:t>
            </w:r>
          </w:p>
        </w:tc>
        <w:tc>
          <w:tcPr>
            <w:tcW w:w="1537" w:type="dxa"/>
            <w:shd w:val="clear" w:color="auto" w:fill="auto"/>
          </w:tcPr>
          <w:p w14:paraId="3D9F8818" w14:textId="77777777" w:rsidR="000C14DA" w:rsidRPr="00E0783A" w:rsidRDefault="000C14DA" w:rsidP="009019DC">
            <w:pPr>
              <w:spacing w:before="40" w:after="120"/>
              <w:ind w:right="113"/>
              <w:rPr>
                <w:rFonts w:eastAsia="Calibri"/>
              </w:rPr>
            </w:pPr>
            <w:r w:rsidRPr="00E0783A">
              <w:rPr>
                <w:rFonts w:eastAsia="Calibri"/>
              </w:rPr>
              <w:t>Load Cell</w:t>
            </w:r>
          </w:p>
        </w:tc>
        <w:tc>
          <w:tcPr>
            <w:tcW w:w="1588" w:type="dxa"/>
            <w:shd w:val="clear" w:color="auto" w:fill="auto"/>
          </w:tcPr>
          <w:p w14:paraId="2C34DF48" w14:textId="77777777" w:rsidR="000C14DA" w:rsidRPr="00E0783A" w:rsidRDefault="000C14DA" w:rsidP="009019DC">
            <w:pPr>
              <w:spacing w:before="40" w:after="120"/>
              <w:ind w:right="113"/>
              <w:rPr>
                <w:rFonts w:eastAsia="Calibri"/>
              </w:rPr>
            </w:pPr>
            <w:r w:rsidRPr="00E0783A">
              <w:rPr>
                <w:rFonts w:eastAsia="Calibri"/>
              </w:rPr>
              <w:t>FX, FZ, MY</w:t>
            </w:r>
          </w:p>
        </w:tc>
        <w:tc>
          <w:tcPr>
            <w:tcW w:w="1588" w:type="dxa"/>
            <w:shd w:val="clear" w:color="auto" w:fill="auto"/>
          </w:tcPr>
          <w:p w14:paraId="0366897A" w14:textId="77777777" w:rsidR="000C14DA" w:rsidRPr="00E0783A" w:rsidRDefault="000C14DA" w:rsidP="009019DC">
            <w:pPr>
              <w:spacing w:before="40" w:after="120"/>
              <w:ind w:right="113"/>
              <w:rPr>
                <w:rFonts w:eastAsia="Calibri"/>
              </w:rPr>
            </w:pPr>
            <w:r w:rsidRPr="00E0783A">
              <w:rPr>
                <w:rFonts w:eastAsia="Calibri"/>
              </w:rPr>
              <w:t>FY, MX, MZ</w:t>
            </w:r>
          </w:p>
        </w:tc>
        <w:tc>
          <w:tcPr>
            <w:tcW w:w="1021" w:type="dxa"/>
            <w:shd w:val="clear" w:color="auto" w:fill="auto"/>
          </w:tcPr>
          <w:p w14:paraId="0FB4C944" w14:textId="77777777" w:rsidR="000C14DA" w:rsidRPr="00E0783A" w:rsidRDefault="000C14DA" w:rsidP="009019DC">
            <w:pPr>
              <w:spacing w:before="40" w:after="120"/>
              <w:ind w:right="113"/>
              <w:rPr>
                <w:rFonts w:eastAsia="Calibri"/>
                <w:strike/>
              </w:rPr>
            </w:pPr>
            <w:r w:rsidRPr="00E0783A">
              <w:rPr>
                <w:rFonts w:eastAsia="Calibri"/>
                <w:strike/>
              </w:rPr>
              <w:t>6</w:t>
            </w:r>
          </w:p>
        </w:tc>
      </w:tr>
      <w:tr w:rsidR="000C14DA" w:rsidRPr="00E0783A" w14:paraId="1F2E469A" w14:textId="77777777" w:rsidTr="009019DC">
        <w:tc>
          <w:tcPr>
            <w:tcW w:w="1379" w:type="dxa"/>
            <w:shd w:val="clear" w:color="auto" w:fill="auto"/>
          </w:tcPr>
          <w:p w14:paraId="1E5F46B1" w14:textId="77777777" w:rsidR="000C14DA" w:rsidRPr="00E0783A" w:rsidRDefault="000C14DA" w:rsidP="009019DC">
            <w:pPr>
              <w:spacing w:before="40" w:after="120"/>
              <w:ind w:right="113"/>
              <w:rPr>
                <w:rFonts w:eastAsia="Calibri"/>
              </w:rPr>
            </w:pPr>
            <w:r w:rsidRPr="00E0783A">
              <w:rPr>
                <w:rFonts w:eastAsia="Calibri"/>
              </w:rPr>
              <w:t>Lower Neck</w:t>
            </w:r>
          </w:p>
        </w:tc>
        <w:tc>
          <w:tcPr>
            <w:tcW w:w="1537" w:type="dxa"/>
            <w:shd w:val="clear" w:color="auto" w:fill="auto"/>
          </w:tcPr>
          <w:p w14:paraId="4827C67F" w14:textId="77777777" w:rsidR="000C14DA" w:rsidRPr="00E0783A" w:rsidRDefault="000C14DA" w:rsidP="009019DC">
            <w:pPr>
              <w:spacing w:before="40" w:after="120"/>
              <w:ind w:right="113"/>
              <w:rPr>
                <w:rFonts w:eastAsia="Calibri"/>
              </w:rPr>
            </w:pPr>
            <w:r w:rsidRPr="00E0783A">
              <w:rPr>
                <w:rFonts w:eastAsia="Calibri"/>
              </w:rPr>
              <w:t>Load Cell</w:t>
            </w:r>
          </w:p>
        </w:tc>
        <w:tc>
          <w:tcPr>
            <w:tcW w:w="1588" w:type="dxa"/>
            <w:shd w:val="clear" w:color="auto" w:fill="auto"/>
          </w:tcPr>
          <w:p w14:paraId="38F6D9F1" w14:textId="77777777" w:rsidR="000C14DA" w:rsidRPr="00E0783A" w:rsidRDefault="000C14DA" w:rsidP="009019DC">
            <w:pPr>
              <w:spacing w:before="40" w:after="120"/>
              <w:ind w:right="113"/>
              <w:rPr>
                <w:rFonts w:eastAsia="Calibri"/>
              </w:rPr>
            </w:pPr>
            <w:r w:rsidRPr="00E0783A">
              <w:rPr>
                <w:rFonts w:eastAsia="Calibri"/>
              </w:rPr>
              <w:t>FX, FZ, MY</w:t>
            </w:r>
          </w:p>
        </w:tc>
        <w:tc>
          <w:tcPr>
            <w:tcW w:w="1588" w:type="dxa"/>
            <w:shd w:val="clear" w:color="auto" w:fill="auto"/>
          </w:tcPr>
          <w:p w14:paraId="7113CA4A" w14:textId="77777777" w:rsidR="000C14DA" w:rsidRPr="00E0783A" w:rsidRDefault="000C14DA" w:rsidP="009019DC">
            <w:pPr>
              <w:spacing w:before="40" w:after="120"/>
              <w:ind w:right="113"/>
              <w:rPr>
                <w:rFonts w:eastAsia="Calibri"/>
              </w:rPr>
            </w:pPr>
          </w:p>
        </w:tc>
        <w:tc>
          <w:tcPr>
            <w:tcW w:w="1021" w:type="dxa"/>
            <w:shd w:val="clear" w:color="auto" w:fill="auto"/>
          </w:tcPr>
          <w:p w14:paraId="1F446DA0" w14:textId="77777777" w:rsidR="000C14DA" w:rsidRPr="00E0783A" w:rsidRDefault="000C14DA" w:rsidP="009019DC">
            <w:pPr>
              <w:spacing w:before="40" w:after="120"/>
              <w:ind w:right="113"/>
              <w:rPr>
                <w:rFonts w:eastAsia="Calibri"/>
                <w:strike/>
              </w:rPr>
            </w:pPr>
            <w:r w:rsidRPr="00E0783A">
              <w:rPr>
                <w:rFonts w:eastAsia="Calibri"/>
                <w:strike/>
              </w:rPr>
              <w:t>3</w:t>
            </w:r>
          </w:p>
        </w:tc>
      </w:tr>
      <w:tr w:rsidR="000C14DA" w:rsidRPr="00E0783A" w14:paraId="36B7244A" w14:textId="77777777" w:rsidTr="009019DC">
        <w:tc>
          <w:tcPr>
            <w:tcW w:w="1379" w:type="dxa"/>
            <w:shd w:val="clear" w:color="auto" w:fill="auto"/>
          </w:tcPr>
          <w:p w14:paraId="4D57539E" w14:textId="77777777" w:rsidR="000C14DA" w:rsidRPr="00E0783A" w:rsidRDefault="000C14DA" w:rsidP="009019DC">
            <w:pPr>
              <w:spacing w:before="40" w:after="120"/>
              <w:ind w:right="113"/>
              <w:rPr>
                <w:rFonts w:eastAsia="Calibri"/>
              </w:rPr>
            </w:pPr>
            <w:r w:rsidRPr="00E0783A">
              <w:rPr>
                <w:rFonts w:eastAsia="Calibri"/>
              </w:rPr>
              <w:t>Thorax (T1) right</w:t>
            </w:r>
          </w:p>
        </w:tc>
        <w:tc>
          <w:tcPr>
            <w:tcW w:w="1537" w:type="dxa"/>
            <w:shd w:val="clear" w:color="auto" w:fill="auto"/>
          </w:tcPr>
          <w:p w14:paraId="2A2FADCA" w14:textId="77777777" w:rsidR="000C14DA" w:rsidRPr="00E0783A" w:rsidRDefault="000C14DA" w:rsidP="009019DC">
            <w:pPr>
              <w:spacing w:before="40" w:after="120"/>
              <w:ind w:right="113"/>
              <w:rPr>
                <w:rFonts w:eastAsia="Calibri"/>
              </w:rPr>
            </w:pPr>
            <w:r w:rsidRPr="00E0783A">
              <w:rPr>
                <w:rFonts w:eastAsia="Calibri"/>
              </w:rPr>
              <w:t>Accelerometer</w:t>
            </w:r>
          </w:p>
        </w:tc>
        <w:tc>
          <w:tcPr>
            <w:tcW w:w="1588" w:type="dxa"/>
            <w:shd w:val="clear" w:color="auto" w:fill="auto"/>
          </w:tcPr>
          <w:p w14:paraId="022AEC9D" w14:textId="77777777" w:rsidR="000C14DA" w:rsidRPr="00E0783A" w:rsidRDefault="000C14DA" w:rsidP="009019DC">
            <w:pPr>
              <w:spacing w:before="40" w:after="120"/>
              <w:ind w:right="113"/>
              <w:rPr>
                <w:rFonts w:eastAsia="Calibri"/>
              </w:rPr>
            </w:pPr>
            <w:r w:rsidRPr="00E0783A">
              <w:rPr>
                <w:rFonts w:eastAsia="Calibri"/>
              </w:rPr>
              <w:t>AX, AZ</w:t>
            </w:r>
          </w:p>
        </w:tc>
        <w:tc>
          <w:tcPr>
            <w:tcW w:w="1588" w:type="dxa"/>
            <w:shd w:val="clear" w:color="auto" w:fill="auto"/>
          </w:tcPr>
          <w:p w14:paraId="43C3E86D" w14:textId="77777777" w:rsidR="000C14DA" w:rsidRPr="00E0783A" w:rsidRDefault="000C14DA" w:rsidP="009019DC">
            <w:pPr>
              <w:spacing w:before="40" w:after="120"/>
              <w:ind w:right="113"/>
              <w:rPr>
                <w:rFonts w:eastAsia="Calibri"/>
              </w:rPr>
            </w:pPr>
          </w:p>
        </w:tc>
        <w:tc>
          <w:tcPr>
            <w:tcW w:w="1021" w:type="dxa"/>
            <w:shd w:val="clear" w:color="auto" w:fill="auto"/>
          </w:tcPr>
          <w:p w14:paraId="4DB86994" w14:textId="77777777" w:rsidR="000C14DA" w:rsidRPr="00E0783A" w:rsidRDefault="000C14DA" w:rsidP="009019DC">
            <w:pPr>
              <w:spacing w:before="40" w:after="120"/>
              <w:ind w:right="113"/>
              <w:rPr>
                <w:rFonts w:eastAsia="Calibri"/>
                <w:strike/>
              </w:rPr>
            </w:pPr>
            <w:r w:rsidRPr="00E0783A">
              <w:rPr>
                <w:rFonts w:eastAsia="Calibri"/>
                <w:strike/>
              </w:rPr>
              <w:t>2</w:t>
            </w:r>
          </w:p>
        </w:tc>
      </w:tr>
      <w:tr w:rsidR="000C14DA" w:rsidRPr="00E0783A" w14:paraId="2A7C023D" w14:textId="77777777" w:rsidTr="009019DC">
        <w:tc>
          <w:tcPr>
            <w:tcW w:w="1379" w:type="dxa"/>
            <w:shd w:val="clear" w:color="auto" w:fill="auto"/>
          </w:tcPr>
          <w:p w14:paraId="2AF7F656" w14:textId="77777777" w:rsidR="000C14DA" w:rsidRPr="00E0783A" w:rsidRDefault="000C14DA" w:rsidP="009019DC">
            <w:pPr>
              <w:spacing w:before="40" w:after="120"/>
              <w:ind w:right="113"/>
              <w:rPr>
                <w:rFonts w:eastAsia="Calibri"/>
              </w:rPr>
            </w:pPr>
            <w:r w:rsidRPr="00E0783A">
              <w:rPr>
                <w:rFonts w:eastAsia="Calibri"/>
              </w:rPr>
              <w:t>Thorax (T1) left</w:t>
            </w:r>
          </w:p>
        </w:tc>
        <w:tc>
          <w:tcPr>
            <w:tcW w:w="1537" w:type="dxa"/>
            <w:shd w:val="clear" w:color="auto" w:fill="auto"/>
          </w:tcPr>
          <w:p w14:paraId="05B217B7" w14:textId="77777777" w:rsidR="000C14DA" w:rsidRPr="00E0783A" w:rsidRDefault="000C14DA" w:rsidP="009019DC">
            <w:pPr>
              <w:spacing w:before="40" w:after="120"/>
              <w:ind w:right="113"/>
              <w:rPr>
                <w:rFonts w:eastAsia="Calibri"/>
              </w:rPr>
            </w:pPr>
            <w:r w:rsidRPr="00E0783A">
              <w:rPr>
                <w:rFonts w:eastAsia="Calibri"/>
              </w:rPr>
              <w:t xml:space="preserve">Accelerometer </w:t>
            </w:r>
          </w:p>
        </w:tc>
        <w:tc>
          <w:tcPr>
            <w:tcW w:w="1588" w:type="dxa"/>
            <w:shd w:val="clear" w:color="auto" w:fill="auto"/>
          </w:tcPr>
          <w:p w14:paraId="1C446C1F" w14:textId="77777777" w:rsidR="000C14DA" w:rsidRPr="00E0783A" w:rsidRDefault="000C14DA" w:rsidP="009019DC">
            <w:pPr>
              <w:spacing w:before="40" w:after="120"/>
              <w:ind w:right="113"/>
              <w:rPr>
                <w:rFonts w:eastAsia="Calibri"/>
              </w:rPr>
            </w:pPr>
            <w:r w:rsidRPr="00E0783A">
              <w:rPr>
                <w:rFonts w:eastAsia="Calibri"/>
              </w:rPr>
              <w:t>AX, AZ</w:t>
            </w:r>
          </w:p>
        </w:tc>
        <w:tc>
          <w:tcPr>
            <w:tcW w:w="1588" w:type="dxa"/>
            <w:shd w:val="clear" w:color="auto" w:fill="auto"/>
          </w:tcPr>
          <w:p w14:paraId="07F4B449" w14:textId="77777777" w:rsidR="000C14DA" w:rsidRPr="00E0783A" w:rsidRDefault="000C14DA" w:rsidP="009019DC">
            <w:pPr>
              <w:spacing w:before="40" w:after="120"/>
              <w:ind w:right="113"/>
              <w:rPr>
                <w:rFonts w:eastAsia="Calibri"/>
              </w:rPr>
            </w:pPr>
          </w:p>
        </w:tc>
        <w:tc>
          <w:tcPr>
            <w:tcW w:w="1021" w:type="dxa"/>
            <w:shd w:val="clear" w:color="auto" w:fill="auto"/>
          </w:tcPr>
          <w:p w14:paraId="51B511E3" w14:textId="77777777" w:rsidR="000C14DA" w:rsidRPr="00E0783A" w:rsidRDefault="000C14DA" w:rsidP="009019DC">
            <w:pPr>
              <w:spacing w:before="40" w:after="120"/>
              <w:ind w:right="113"/>
              <w:rPr>
                <w:rFonts w:eastAsia="Calibri"/>
                <w:strike/>
              </w:rPr>
            </w:pPr>
            <w:r w:rsidRPr="00E0783A">
              <w:rPr>
                <w:rFonts w:eastAsia="Calibri"/>
                <w:strike/>
              </w:rPr>
              <w:t>2</w:t>
            </w:r>
          </w:p>
        </w:tc>
      </w:tr>
      <w:tr w:rsidR="000C14DA" w:rsidRPr="00E0783A" w14:paraId="24C124C3" w14:textId="77777777" w:rsidTr="009019DC">
        <w:tc>
          <w:tcPr>
            <w:tcW w:w="1379" w:type="dxa"/>
            <w:shd w:val="clear" w:color="auto" w:fill="auto"/>
          </w:tcPr>
          <w:p w14:paraId="726EB0A7" w14:textId="77777777" w:rsidR="000C14DA" w:rsidRPr="00E0783A" w:rsidRDefault="000C14DA" w:rsidP="009019DC">
            <w:pPr>
              <w:spacing w:before="40" w:after="120"/>
              <w:ind w:right="113"/>
              <w:rPr>
                <w:rFonts w:eastAsia="Calibri"/>
              </w:rPr>
            </w:pPr>
            <w:r w:rsidRPr="00E0783A">
              <w:rPr>
                <w:rFonts w:eastAsia="Calibri"/>
              </w:rPr>
              <w:t>Thorax (T1)</w:t>
            </w:r>
          </w:p>
        </w:tc>
        <w:tc>
          <w:tcPr>
            <w:tcW w:w="1537" w:type="dxa"/>
            <w:shd w:val="clear" w:color="auto" w:fill="auto"/>
          </w:tcPr>
          <w:p w14:paraId="1B7BF659" w14:textId="77777777" w:rsidR="000C14DA" w:rsidRPr="00E0783A" w:rsidRDefault="000C14DA" w:rsidP="009019DC">
            <w:pPr>
              <w:spacing w:before="40" w:after="120"/>
              <w:ind w:right="113"/>
              <w:rPr>
                <w:rFonts w:eastAsia="Calibri"/>
              </w:rPr>
            </w:pPr>
            <w:r w:rsidRPr="00E0783A">
              <w:rPr>
                <w:rFonts w:eastAsia="Calibri"/>
              </w:rPr>
              <w:t>Angular Rate Sensor (ARS)</w:t>
            </w:r>
          </w:p>
        </w:tc>
        <w:tc>
          <w:tcPr>
            <w:tcW w:w="1588" w:type="dxa"/>
            <w:shd w:val="clear" w:color="auto" w:fill="auto"/>
          </w:tcPr>
          <w:p w14:paraId="7DA67B96" w14:textId="77777777" w:rsidR="000C14DA" w:rsidRPr="00E0783A" w:rsidRDefault="000C14DA" w:rsidP="009019DC">
            <w:pPr>
              <w:spacing w:before="40" w:after="120"/>
              <w:ind w:right="113"/>
              <w:rPr>
                <w:rFonts w:eastAsia="Calibri"/>
                <w:i/>
              </w:rPr>
            </w:pPr>
          </w:p>
        </w:tc>
        <w:tc>
          <w:tcPr>
            <w:tcW w:w="1588" w:type="dxa"/>
            <w:shd w:val="clear" w:color="auto" w:fill="auto"/>
          </w:tcPr>
          <w:p w14:paraId="76E01FBA" w14:textId="77777777" w:rsidR="000C14DA" w:rsidRPr="00E0783A" w:rsidRDefault="000C14DA" w:rsidP="009019DC">
            <w:pPr>
              <w:spacing w:before="40" w:after="120"/>
              <w:ind w:right="113"/>
              <w:rPr>
                <w:rFonts w:eastAsia="Calibri"/>
              </w:rPr>
            </w:pPr>
            <w:r w:rsidRPr="00E0783A">
              <w:rPr>
                <w:rFonts w:eastAsia="Calibri"/>
              </w:rPr>
              <w:t>AVX, AVY, AVZ</w:t>
            </w:r>
          </w:p>
          <w:p w14:paraId="0F2E14B0" w14:textId="77777777" w:rsidR="000C14DA" w:rsidRPr="00E0783A" w:rsidRDefault="000C14DA" w:rsidP="009019DC">
            <w:pPr>
              <w:spacing w:before="40" w:after="120"/>
              <w:ind w:right="113"/>
              <w:rPr>
                <w:rFonts w:eastAsia="Calibri"/>
                <w:i/>
              </w:rPr>
            </w:pPr>
          </w:p>
        </w:tc>
        <w:tc>
          <w:tcPr>
            <w:tcW w:w="1021" w:type="dxa"/>
            <w:shd w:val="clear" w:color="auto" w:fill="auto"/>
          </w:tcPr>
          <w:p w14:paraId="75DC6FFD" w14:textId="77777777" w:rsidR="000C14DA" w:rsidRPr="00E0783A" w:rsidRDefault="000C14DA" w:rsidP="009019DC">
            <w:pPr>
              <w:spacing w:before="40" w:after="120"/>
              <w:ind w:right="113"/>
              <w:rPr>
                <w:rFonts w:eastAsia="Calibri"/>
                <w:strike/>
              </w:rPr>
            </w:pPr>
            <w:r w:rsidRPr="00E0783A">
              <w:rPr>
                <w:rFonts w:eastAsia="Calibri"/>
                <w:strike/>
              </w:rPr>
              <w:t>1 - 3</w:t>
            </w:r>
          </w:p>
        </w:tc>
      </w:tr>
      <w:tr w:rsidR="000C14DA" w:rsidRPr="00E0783A" w14:paraId="6FDF23B0" w14:textId="77777777" w:rsidTr="009019DC">
        <w:tc>
          <w:tcPr>
            <w:tcW w:w="1379" w:type="dxa"/>
            <w:shd w:val="clear" w:color="auto" w:fill="auto"/>
          </w:tcPr>
          <w:p w14:paraId="20AC1D64" w14:textId="77777777" w:rsidR="000C14DA" w:rsidRPr="00E0783A" w:rsidRDefault="000C14DA" w:rsidP="009019DC">
            <w:pPr>
              <w:spacing w:before="40" w:after="120"/>
              <w:ind w:right="113"/>
              <w:rPr>
                <w:rFonts w:eastAsia="Calibri"/>
              </w:rPr>
            </w:pPr>
            <w:r w:rsidRPr="00E0783A">
              <w:rPr>
                <w:rFonts w:eastAsia="Calibri"/>
              </w:rPr>
              <w:t>Thorax (T8)</w:t>
            </w:r>
          </w:p>
        </w:tc>
        <w:tc>
          <w:tcPr>
            <w:tcW w:w="1537" w:type="dxa"/>
            <w:shd w:val="clear" w:color="auto" w:fill="auto"/>
          </w:tcPr>
          <w:p w14:paraId="05F042EC" w14:textId="77777777" w:rsidR="000C14DA" w:rsidRPr="00E0783A" w:rsidRDefault="000C14DA" w:rsidP="009019DC">
            <w:pPr>
              <w:spacing w:before="40" w:after="120"/>
              <w:ind w:right="113"/>
              <w:rPr>
                <w:rFonts w:eastAsia="Calibri"/>
              </w:rPr>
            </w:pPr>
            <w:r w:rsidRPr="00E0783A">
              <w:rPr>
                <w:rFonts w:eastAsia="Calibri"/>
              </w:rPr>
              <w:t>Tilt Sensor</w:t>
            </w:r>
          </w:p>
        </w:tc>
        <w:tc>
          <w:tcPr>
            <w:tcW w:w="1588" w:type="dxa"/>
            <w:shd w:val="clear" w:color="auto" w:fill="auto"/>
          </w:tcPr>
          <w:p w14:paraId="6D44170C" w14:textId="77777777" w:rsidR="000C14DA" w:rsidRPr="00E0783A" w:rsidRDefault="000C14DA" w:rsidP="009019DC">
            <w:pPr>
              <w:spacing w:before="40" w:after="120"/>
              <w:ind w:right="113"/>
              <w:rPr>
                <w:rFonts w:eastAsia="Calibri"/>
              </w:rPr>
            </w:pPr>
          </w:p>
        </w:tc>
        <w:tc>
          <w:tcPr>
            <w:tcW w:w="1588" w:type="dxa"/>
            <w:shd w:val="clear" w:color="auto" w:fill="auto"/>
          </w:tcPr>
          <w:p w14:paraId="683513DA" w14:textId="77777777" w:rsidR="000C14DA" w:rsidRPr="00E0783A" w:rsidRDefault="000C14DA" w:rsidP="009019DC">
            <w:pPr>
              <w:spacing w:before="40" w:after="120"/>
              <w:ind w:right="113"/>
              <w:rPr>
                <w:rFonts w:eastAsia="Calibri"/>
              </w:rPr>
            </w:pPr>
            <w:r w:rsidRPr="00E0783A">
              <w:rPr>
                <w:rFonts w:eastAsia="Calibri"/>
              </w:rPr>
              <w:t>Angle</w:t>
            </w:r>
          </w:p>
        </w:tc>
        <w:tc>
          <w:tcPr>
            <w:tcW w:w="1021" w:type="dxa"/>
            <w:shd w:val="clear" w:color="auto" w:fill="auto"/>
          </w:tcPr>
          <w:p w14:paraId="574792FF" w14:textId="77777777" w:rsidR="000C14DA" w:rsidRPr="00E0783A" w:rsidRDefault="000C14DA" w:rsidP="009019DC">
            <w:pPr>
              <w:spacing w:before="40" w:after="120"/>
              <w:ind w:right="113"/>
              <w:rPr>
                <w:rFonts w:eastAsia="Calibri"/>
                <w:strike/>
              </w:rPr>
            </w:pPr>
            <w:r w:rsidRPr="00E0783A">
              <w:rPr>
                <w:rFonts w:eastAsia="Calibri"/>
                <w:strike/>
              </w:rPr>
              <w:t>2</w:t>
            </w:r>
          </w:p>
        </w:tc>
      </w:tr>
      <w:tr w:rsidR="000C14DA" w:rsidRPr="00E0783A" w14:paraId="02D8747C" w14:textId="77777777" w:rsidTr="009019DC">
        <w:tc>
          <w:tcPr>
            <w:tcW w:w="1379" w:type="dxa"/>
            <w:shd w:val="clear" w:color="auto" w:fill="auto"/>
          </w:tcPr>
          <w:p w14:paraId="5E691C15" w14:textId="77777777" w:rsidR="000C14DA" w:rsidRPr="00E0783A" w:rsidRDefault="000C14DA" w:rsidP="009019DC">
            <w:pPr>
              <w:spacing w:before="40" w:after="120"/>
              <w:ind w:right="113"/>
              <w:rPr>
                <w:rFonts w:eastAsia="Calibri"/>
              </w:rPr>
            </w:pPr>
            <w:r w:rsidRPr="00E0783A">
              <w:rPr>
                <w:rFonts w:eastAsia="Calibri"/>
              </w:rPr>
              <w:t>Thorax (T8)</w:t>
            </w:r>
          </w:p>
        </w:tc>
        <w:tc>
          <w:tcPr>
            <w:tcW w:w="1537" w:type="dxa"/>
            <w:shd w:val="clear" w:color="auto" w:fill="auto"/>
          </w:tcPr>
          <w:p w14:paraId="0167494B" w14:textId="77777777" w:rsidR="000C14DA" w:rsidRPr="00E0783A" w:rsidRDefault="000C14DA" w:rsidP="009019DC">
            <w:pPr>
              <w:spacing w:before="40" w:after="120"/>
              <w:ind w:right="113"/>
              <w:rPr>
                <w:rFonts w:eastAsia="Calibri"/>
              </w:rPr>
            </w:pPr>
            <w:r w:rsidRPr="00E0783A">
              <w:rPr>
                <w:rFonts w:eastAsia="Calibri"/>
              </w:rPr>
              <w:t xml:space="preserve">Accelerometer </w:t>
            </w:r>
          </w:p>
        </w:tc>
        <w:tc>
          <w:tcPr>
            <w:tcW w:w="1588" w:type="dxa"/>
            <w:shd w:val="clear" w:color="auto" w:fill="auto"/>
          </w:tcPr>
          <w:p w14:paraId="727378CB" w14:textId="77777777" w:rsidR="000C14DA" w:rsidRPr="00E0783A" w:rsidRDefault="000C14DA" w:rsidP="009019DC">
            <w:pPr>
              <w:spacing w:before="40" w:after="120"/>
              <w:ind w:right="113"/>
              <w:rPr>
                <w:rFonts w:eastAsia="Calibri"/>
              </w:rPr>
            </w:pPr>
          </w:p>
        </w:tc>
        <w:tc>
          <w:tcPr>
            <w:tcW w:w="1588" w:type="dxa"/>
            <w:shd w:val="clear" w:color="auto" w:fill="auto"/>
          </w:tcPr>
          <w:p w14:paraId="52EDE694" w14:textId="77777777" w:rsidR="000C14DA" w:rsidRPr="00E0783A" w:rsidRDefault="000C14DA" w:rsidP="009019DC">
            <w:pPr>
              <w:spacing w:before="40" w:after="120"/>
              <w:ind w:right="113"/>
              <w:rPr>
                <w:rFonts w:eastAsia="Calibri"/>
              </w:rPr>
            </w:pPr>
            <w:r w:rsidRPr="00E0783A">
              <w:rPr>
                <w:rFonts w:eastAsia="Calibri"/>
              </w:rPr>
              <w:t>AX, AZ</w:t>
            </w:r>
          </w:p>
        </w:tc>
        <w:tc>
          <w:tcPr>
            <w:tcW w:w="1021" w:type="dxa"/>
            <w:shd w:val="clear" w:color="auto" w:fill="auto"/>
          </w:tcPr>
          <w:p w14:paraId="0BB39143" w14:textId="77777777" w:rsidR="000C14DA" w:rsidRPr="00E0783A" w:rsidRDefault="000C14DA" w:rsidP="009019DC">
            <w:pPr>
              <w:spacing w:before="40" w:after="120"/>
              <w:ind w:right="113"/>
              <w:rPr>
                <w:rFonts w:eastAsia="Calibri"/>
                <w:strike/>
              </w:rPr>
            </w:pPr>
            <w:r w:rsidRPr="00E0783A">
              <w:rPr>
                <w:rFonts w:eastAsia="Calibri"/>
                <w:strike/>
              </w:rPr>
              <w:t>1</w:t>
            </w:r>
          </w:p>
        </w:tc>
      </w:tr>
      <w:tr w:rsidR="000C14DA" w:rsidRPr="00E0783A" w14:paraId="743642CD" w14:textId="77777777" w:rsidTr="009019DC">
        <w:tc>
          <w:tcPr>
            <w:tcW w:w="1379" w:type="dxa"/>
            <w:shd w:val="clear" w:color="auto" w:fill="auto"/>
          </w:tcPr>
          <w:p w14:paraId="44F974EA" w14:textId="77777777" w:rsidR="000C14DA" w:rsidRPr="00E0783A" w:rsidRDefault="000C14DA" w:rsidP="009019DC">
            <w:pPr>
              <w:spacing w:before="40" w:after="120"/>
              <w:ind w:right="113"/>
              <w:rPr>
                <w:rFonts w:eastAsia="Calibri"/>
              </w:rPr>
            </w:pPr>
            <w:r w:rsidRPr="00E0783A">
              <w:rPr>
                <w:rFonts w:eastAsia="Calibri"/>
              </w:rPr>
              <w:t>Thorax (T8)</w:t>
            </w:r>
          </w:p>
        </w:tc>
        <w:tc>
          <w:tcPr>
            <w:tcW w:w="1537" w:type="dxa"/>
            <w:shd w:val="clear" w:color="auto" w:fill="auto"/>
          </w:tcPr>
          <w:p w14:paraId="310713DF" w14:textId="77777777" w:rsidR="000C14DA" w:rsidRPr="00E0783A" w:rsidRDefault="000C14DA" w:rsidP="009019DC">
            <w:pPr>
              <w:spacing w:before="40" w:after="120"/>
              <w:ind w:right="113"/>
              <w:rPr>
                <w:rFonts w:eastAsia="Calibri"/>
              </w:rPr>
            </w:pPr>
            <w:r w:rsidRPr="00E0783A">
              <w:rPr>
                <w:rFonts w:eastAsia="Calibri"/>
              </w:rPr>
              <w:t>Angular Rate Sensor (ARS)</w:t>
            </w:r>
          </w:p>
        </w:tc>
        <w:tc>
          <w:tcPr>
            <w:tcW w:w="1588" w:type="dxa"/>
            <w:shd w:val="clear" w:color="auto" w:fill="auto"/>
          </w:tcPr>
          <w:p w14:paraId="77921AD7" w14:textId="77777777" w:rsidR="000C14DA" w:rsidRPr="00E0783A" w:rsidRDefault="000C14DA" w:rsidP="009019DC">
            <w:pPr>
              <w:spacing w:before="40" w:after="120"/>
              <w:ind w:right="113"/>
              <w:rPr>
                <w:rFonts w:eastAsia="Calibri"/>
                <w:i/>
              </w:rPr>
            </w:pPr>
          </w:p>
        </w:tc>
        <w:tc>
          <w:tcPr>
            <w:tcW w:w="1588" w:type="dxa"/>
            <w:shd w:val="clear" w:color="auto" w:fill="auto"/>
          </w:tcPr>
          <w:p w14:paraId="3B1C993A" w14:textId="77777777" w:rsidR="000C14DA" w:rsidRPr="00E0783A" w:rsidRDefault="000C14DA" w:rsidP="009019DC">
            <w:pPr>
              <w:spacing w:before="40" w:after="120"/>
              <w:ind w:right="113"/>
              <w:rPr>
                <w:rFonts w:eastAsia="Calibri"/>
              </w:rPr>
            </w:pPr>
            <w:r w:rsidRPr="00E0783A">
              <w:rPr>
                <w:rFonts w:eastAsia="Calibri"/>
              </w:rPr>
              <w:t>AVX, AVY, AVZ</w:t>
            </w:r>
          </w:p>
          <w:p w14:paraId="532F07EE" w14:textId="77777777" w:rsidR="000C14DA" w:rsidRPr="00E0783A" w:rsidRDefault="000C14DA" w:rsidP="009019DC">
            <w:pPr>
              <w:spacing w:before="40" w:after="120"/>
              <w:ind w:right="113"/>
              <w:rPr>
                <w:rFonts w:eastAsia="Calibri"/>
              </w:rPr>
            </w:pPr>
          </w:p>
        </w:tc>
        <w:tc>
          <w:tcPr>
            <w:tcW w:w="1021" w:type="dxa"/>
            <w:shd w:val="clear" w:color="auto" w:fill="auto"/>
          </w:tcPr>
          <w:p w14:paraId="4E5028B3" w14:textId="77777777" w:rsidR="000C14DA" w:rsidRPr="00E0783A" w:rsidRDefault="000C14DA" w:rsidP="009019DC">
            <w:pPr>
              <w:spacing w:before="40" w:after="120"/>
              <w:ind w:right="113"/>
              <w:rPr>
                <w:rFonts w:eastAsia="Calibri"/>
                <w:strike/>
              </w:rPr>
            </w:pPr>
            <w:r w:rsidRPr="00E0783A">
              <w:rPr>
                <w:rFonts w:eastAsia="Calibri"/>
                <w:strike/>
              </w:rPr>
              <w:t>3</w:t>
            </w:r>
          </w:p>
        </w:tc>
      </w:tr>
      <w:tr w:rsidR="000C14DA" w:rsidRPr="00E0783A" w14:paraId="57E61452" w14:textId="77777777" w:rsidTr="009019DC">
        <w:tc>
          <w:tcPr>
            <w:tcW w:w="1379" w:type="dxa"/>
            <w:shd w:val="clear" w:color="auto" w:fill="auto"/>
          </w:tcPr>
          <w:p w14:paraId="60ADA244" w14:textId="77777777" w:rsidR="000C14DA" w:rsidRPr="00E0783A" w:rsidRDefault="000C14DA" w:rsidP="009019DC">
            <w:pPr>
              <w:spacing w:before="40" w:after="120"/>
              <w:ind w:right="113"/>
              <w:rPr>
                <w:rFonts w:eastAsia="Calibri"/>
              </w:rPr>
            </w:pPr>
            <w:r w:rsidRPr="00E0783A">
              <w:rPr>
                <w:rFonts w:eastAsia="Calibri"/>
              </w:rPr>
              <w:t>Lumbar (L1)</w:t>
            </w:r>
          </w:p>
        </w:tc>
        <w:tc>
          <w:tcPr>
            <w:tcW w:w="1537" w:type="dxa"/>
            <w:shd w:val="clear" w:color="auto" w:fill="auto"/>
          </w:tcPr>
          <w:p w14:paraId="0036E4D9" w14:textId="77777777" w:rsidR="000C14DA" w:rsidRPr="00E0783A" w:rsidRDefault="000C14DA" w:rsidP="009019DC">
            <w:pPr>
              <w:spacing w:before="40" w:after="120"/>
              <w:ind w:right="113"/>
              <w:rPr>
                <w:rFonts w:eastAsia="Calibri"/>
                <w:i/>
              </w:rPr>
            </w:pPr>
            <w:r w:rsidRPr="00E0783A">
              <w:rPr>
                <w:rFonts w:eastAsia="Calibri"/>
              </w:rPr>
              <w:t xml:space="preserve"> Angular Rate Sensor (ARS)</w:t>
            </w:r>
          </w:p>
        </w:tc>
        <w:tc>
          <w:tcPr>
            <w:tcW w:w="1588" w:type="dxa"/>
            <w:shd w:val="clear" w:color="auto" w:fill="auto"/>
          </w:tcPr>
          <w:p w14:paraId="54F5F9A6" w14:textId="77777777" w:rsidR="000C14DA" w:rsidRPr="00E0783A" w:rsidRDefault="000C14DA" w:rsidP="009019DC">
            <w:pPr>
              <w:spacing w:before="40" w:after="120"/>
              <w:ind w:right="113"/>
              <w:rPr>
                <w:rFonts w:eastAsia="Calibri"/>
                <w:i/>
              </w:rPr>
            </w:pPr>
          </w:p>
        </w:tc>
        <w:tc>
          <w:tcPr>
            <w:tcW w:w="1588" w:type="dxa"/>
            <w:shd w:val="clear" w:color="auto" w:fill="auto"/>
          </w:tcPr>
          <w:p w14:paraId="7B774492" w14:textId="77777777" w:rsidR="000C14DA" w:rsidRPr="00E0783A" w:rsidRDefault="000C14DA" w:rsidP="009019DC">
            <w:pPr>
              <w:spacing w:before="40" w:after="120"/>
              <w:ind w:right="113"/>
              <w:rPr>
                <w:rFonts w:eastAsia="Calibri"/>
              </w:rPr>
            </w:pPr>
            <w:r w:rsidRPr="00E0783A">
              <w:rPr>
                <w:rFonts w:eastAsia="Calibri"/>
              </w:rPr>
              <w:t>AVX, AVY, AVZ</w:t>
            </w:r>
          </w:p>
          <w:p w14:paraId="298E9984" w14:textId="77777777" w:rsidR="000C14DA" w:rsidRPr="00E0783A" w:rsidRDefault="000C14DA" w:rsidP="009019DC">
            <w:pPr>
              <w:spacing w:before="40" w:after="120"/>
              <w:ind w:right="113"/>
              <w:rPr>
                <w:rFonts w:eastAsia="Calibri"/>
                <w:i/>
              </w:rPr>
            </w:pPr>
          </w:p>
        </w:tc>
        <w:tc>
          <w:tcPr>
            <w:tcW w:w="1021" w:type="dxa"/>
            <w:shd w:val="clear" w:color="auto" w:fill="auto"/>
          </w:tcPr>
          <w:p w14:paraId="5EA415D2" w14:textId="77777777" w:rsidR="000C14DA" w:rsidRPr="00E0783A" w:rsidRDefault="000C14DA" w:rsidP="009019DC">
            <w:pPr>
              <w:spacing w:before="40" w:after="120"/>
              <w:ind w:right="113"/>
              <w:rPr>
                <w:rFonts w:eastAsia="Calibri"/>
                <w:strike/>
              </w:rPr>
            </w:pPr>
            <w:r w:rsidRPr="00E0783A">
              <w:rPr>
                <w:rFonts w:eastAsia="Calibri"/>
                <w:strike/>
              </w:rPr>
              <w:t>2</w:t>
            </w:r>
          </w:p>
        </w:tc>
      </w:tr>
      <w:tr w:rsidR="000C14DA" w:rsidRPr="00E0783A" w14:paraId="1E2684F0" w14:textId="77777777" w:rsidTr="009019DC">
        <w:tc>
          <w:tcPr>
            <w:tcW w:w="1379" w:type="dxa"/>
            <w:shd w:val="clear" w:color="auto" w:fill="auto"/>
          </w:tcPr>
          <w:p w14:paraId="30A6715F" w14:textId="77777777" w:rsidR="000C14DA" w:rsidRPr="00E0783A" w:rsidRDefault="000C14DA" w:rsidP="009019DC">
            <w:pPr>
              <w:spacing w:before="40" w:after="120"/>
              <w:ind w:right="113"/>
              <w:rPr>
                <w:rFonts w:eastAsia="Calibri"/>
              </w:rPr>
            </w:pPr>
            <w:r w:rsidRPr="00E0783A">
              <w:rPr>
                <w:rFonts w:eastAsia="Calibri"/>
              </w:rPr>
              <w:t>Lumbar (L1)</w:t>
            </w:r>
          </w:p>
        </w:tc>
        <w:tc>
          <w:tcPr>
            <w:tcW w:w="1537" w:type="dxa"/>
            <w:shd w:val="clear" w:color="auto" w:fill="auto"/>
          </w:tcPr>
          <w:p w14:paraId="7C580C58" w14:textId="77777777" w:rsidR="000C14DA" w:rsidRPr="00E0783A" w:rsidRDefault="000C14DA" w:rsidP="009019DC">
            <w:pPr>
              <w:spacing w:before="40" w:after="120"/>
              <w:ind w:right="113"/>
              <w:rPr>
                <w:rFonts w:eastAsia="Calibri"/>
              </w:rPr>
            </w:pPr>
            <w:r w:rsidRPr="00E0783A">
              <w:rPr>
                <w:rFonts w:eastAsia="Calibri"/>
              </w:rPr>
              <w:t xml:space="preserve">Accelerometer </w:t>
            </w:r>
          </w:p>
        </w:tc>
        <w:tc>
          <w:tcPr>
            <w:tcW w:w="1588" w:type="dxa"/>
            <w:shd w:val="clear" w:color="auto" w:fill="auto"/>
          </w:tcPr>
          <w:p w14:paraId="58DE8D12" w14:textId="77777777" w:rsidR="000C14DA" w:rsidRPr="00E0783A" w:rsidRDefault="000C14DA" w:rsidP="009019DC">
            <w:pPr>
              <w:spacing w:before="40" w:after="120"/>
              <w:ind w:right="113"/>
              <w:rPr>
                <w:rFonts w:eastAsia="Calibri"/>
              </w:rPr>
            </w:pPr>
          </w:p>
        </w:tc>
        <w:tc>
          <w:tcPr>
            <w:tcW w:w="1588" w:type="dxa"/>
            <w:shd w:val="clear" w:color="auto" w:fill="auto"/>
          </w:tcPr>
          <w:p w14:paraId="6CD6C42D" w14:textId="77777777" w:rsidR="000C14DA" w:rsidRPr="00E0783A" w:rsidRDefault="000C14DA" w:rsidP="009019DC">
            <w:pPr>
              <w:spacing w:before="40" w:after="120"/>
              <w:ind w:right="113"/>
              <w:rPr>
                <w:rFonts w:eastAsia="Calibri"/>
              </w:rPr>
            </w:pPr>
            <w:r w:rsidRPr="00E0783A">
              <w:rPr>
                <w:rFonts w:eastAsia="Calibri"/>
              </w:rPr>
              <w:t>AX, AZ</w:t>
            </w:r>
          </w:p>
        </w:tc>
        <w:tc>
          <w:tcPr>
            <w:tcW w:w="1021" w:type="dxa"/>
            <w:shd w:val="clear" w:color="auto" w:fill="auto"/>
          </w:tcPr>
          <w:p w14:paraId="0630EDFC" w14:textId="77777777" w:rsidR="000C14DA" w:rsidRPr="00E0783A" w:rsidRDefault="000C14DA" w:rsidP="009019DC">
            <w:pPr>
              <w:spacing w:before="40" w:after="120"/>
              <w:ind w:right="113"/>
              <w:rPr>
                <w:rFonts w:eastAsia="Calibri"/>
                <w:strike/>
              </w:rPr>
            </w:pPr>
            <w:r w:rsidRPr="00E0783A">
              <w:rPr>
                <w:rFonts w:eastAsia="Calibri"/>
                <w:strike/>
              </w:rPr>
              <w:t>1 - 3</w:t>
            </w:r>
          </w:p>
        </w:tc>
      </w:tr>
      <w:tr w:rsidR="000C14DA" w:rsidRPr="00E0783A" w14:paraId="65BAE1F9" w14:textId="77777777" w:rsidTr="009019DC">
        <w:tc>
          <w:tcPr>
            <w:tcW w:w="1379" w:type="dxa"/>
            <w:shd w:val="clear" w:color="auto" w:fill="auto"/>
          </w:tcPr>
          <w:p w14:paraId="46C69AFE" w14:textId="77777777" w:rsidR="000C14DA" w:rsidRPr="00E0783A" w:rsidRDefault="000C14DA" w:rsidP="009019DC">
            <w:pPr>
              <w:spacing w:before="40" w:after="120"/>
              <w:ind w:right="113"/>
              <w:rPr>
                <w:rFonts w:eastAsia="Calibri"/>
              </w:rPr>
            </w:pPr>
            <w:r w:rsidRPr="00E0783A">
              <w:rPr>
                <w:rFonts w:eastAsia="Calibri"/>
              </w:rPr>
              <w:t xml:space="preserve">Lumbar (L5)  </w:t>
            </w:r>
          </w:p>
        </w:tc>
        <w:tc>
          <w:tcPr>
            <w:tcW w:w="1537" w:type="dxa"/>
            <w:shd w:val="clear" w:color="auto" w:fill="auto"/>
          </w:tcPr>
          <w:p w14:paraId="4C34D7C4" w14:textId="77777777" w:rsidR="000C14DA" w:rsidRPr="00E0783A" w:rsidRDefault="000C14DA" w:rsidP="009019DC">
            <w:pPr>
              <w:spacing w:before="40" w:after="120"/>
              <w:ind w:right="113"/>
              <w:rPr>
                <w:rFonts w:eastAsia="Calibri"/>
              </w:rPr>
            </w:pPr>
            <w:r w:rsidRPr="00E0783A">
              <w:rPr>
                <w:rFonts w:eastAsia="Calibri"/>
              </w:rPr>
              <w:t xml:space="preserve"> Load cell</w:t>
            </w:r>
          </w:p>
        </w:tc>
        <w:tc>
          <w:tcPr>
            <w:tcW w:w="1588" w:type="dxa"/>
            <w:shd w:val="clear" w:color="auto" w:fill="auto"/>
          </w:tcPr>
          <w:p w14:paraId="22465DB6" w14:textId="77777777" w:rsidR="000C14DA" w:rsidRPr="00E0783A" w:rsidRDefault="000C14DA" w:rsidP="009019DC">
            <w:pPr>
              <w:spacing w:before="40" w:after="120"/>
              <w:ind w:right="113"/>
              <w:rPr>
                <w:rFonts w:eastAsia="Calibri"/>
                <w:i/>
              </w:rPr>
            </w:pPr>
          </w:p>
        </w:tc>
        <w:tc>
          <w:tcPr>
            <w:tcW w:w="1588" w:type="dxa"/>
            <w:shd w:val="clear" w:color="auto" w:fill="auto"/>
          </w:tcPr>
          <w:p w14:paraId="0085CAFD" w14:textId="77777777" w:rsidR="000C14DA" w:rsidRPr="00E0783A" w:rsidRDefault="000C14DA" w:rsidP="009019DC">
            <w:pPr>
              <w:spacing w:before="40" w:after="120"/>
              <w:ind w:right="113"/>
              <w:rPr>
                <w:rFonts w:eastAsia="Calibri"/>
              </w:rPr>
            </w:pPr>
            <w:r w:rsidRPr="00E0783A">
              <w:rPr>
                <w:rFonts w:eastAsia="Calibri"/>
              </w:rPr>
              <w:t>FX, FY, FZ, MX, MY, MZ</w:t>
            </w:r>
          </w:p>
        </w:tc>
        <w:tc>
          <w:tcPr>
            <w:tcW w:w="1021" w:type="dxa"/>
            <w:shd w:val="clear" w:color="auto" w:fill="auto"/>
          </w:tcPr>
          <w:p w14:paraId="27C90468" w14:textId="77777777" w:rsidR="000C14DA" w:rsidRPr="00E0783A" w:rsidRDefault="000C14DA" w:rsidP="009019DC">
            <w:pPr>
              <w:spacing w:before="40" w:after="120"/>
              <w:ind w:right="113"/>
              <w:rPr>
                <w:rFonts w:eastAsia="Calibri"/>
                <w:strike/>
              </w:rPr>
            </w:pPr>
            <w:r w:rsidRPr="00E0783A">
              <w:rPr>
                <w:rFonts w:eastAsia="Calibri"/>
                <w:strike/>
              </w:rPr>
              <w:t>6</w:t>
            </w:r>
          </w:p>
        </w:tc>
      </w:tr>
      <w:tr w:rsidR="000C14DA" w:rsidRPr="00E0783A" w14:paraId="3BD7A1E8" w14:textId="77777777" w:rsidTr="009019DC">
        <w:tc>
          <w:tcPr>
            <w:tcW w:w="1379" w:type="dxa"/>
            <w:shd w:val="clear" w:color="auto" w:fill="auto"/>
          </w:tcPr>
          <w:p w14:paraId="4D7BEAC8" w14:textId="77777777" w:rsidR="000C14DA" w:rsidRPr="00E0783A" w:rsidRDefault="000C14DA" w:rsidP="009019DC">
            <w:pPr>
              <w:spacing w:before="40" w:after="120"/>
              <w:ind w:right="113"/>
              <w:rPr>
                <w:rFonts w:eastAsia="Calibri"/>
              </w:rPr>
            </w:pPr>
            <w:r w:rsidRPr="00E0783A">
              <w:rPr>
                <w:rFonts w:eastAsia="Calibri"/>
              </w:rPr>
              <w:t>Pelvis</w:t>
            </w:r>
          </w:p>
        </w:tc>
        <w:tc>
          <w:tcPr>
            <w:tcW w:w="1537" w:type="dxa"/>
            <w:shd w:val="clear" w:color="auto" w:fill="auto"/>
          </w:tcPr>
          <w:p w14:paraId="25EACA3B" w14:textId="77777777" w:rsidR="000C14DA" w:rsidRPr="00E0783A" w:rsidRDefault="000C14DA" w:rsidP="009019DC">
            <w:pPr>
              <w:spacing w:before="40" w:after="120"/>
              <w:ind w:right="113"/>
              <w:rPr>
                <w:rFonts w:eastAsia="Calibri"/>
              </w:rPr>
            </w:pPr>
            <w:r w:rsidRPr="00E0783A">
              <w:rPr>
                <w:rFonts w:eastAsia="Calibri"/>
              </w:rPr>
              <w:t>Accelerometer</w:t>
            </w:r>
          </w:p>
        </w:tc>
        <w:tc>
          <w:tcPr>
            <w:tcW w:w="1588" w:type="dxa"/>
            <w:shd w:val="clear" w:color="auto" w:fill="auto"/>
          </w:tcPr>
          <w:p w14:paraId="3B5D0F87" w14:textId="77777777" w:rsidR="000C14DA" w:rsidRPr="00E0783A" w:rsidRDefault="000C14DA" w:rsidP="009019DC">
            <w:pPr>
              <w:spacing w:before="40" w:after="120"/>
              <w:ind w:right="113"/>
              <w:rPr>
                <w:rFonts w:eastAsia="Calibri"/>
              </w:rPr>
            </w:pPr>
          </w:p>
        </w:tc>
        <w:tc>
          <w:tcPr>
            <w:tcW w:w="1588" w:type="dxa"/>
            <w:shd w:val="clear" w:color="auto" w:fill="auto"/>
          </w:tcPr>
          <w:p w14:paraId="7C297C91" w14:textId="77777777" w:rsidR="000C14DA" w:rsidRPr="00E0783A" w:rsidRDefault="000C14DA" w:rsidP="009019DC">
            <w:pPr>
              <w:spacing w:before="40" w:after="120"/>
              <w:ind w:right="113"/>
              <w:rPr>
                <w:rFonts w:eastAsia="Calibri"/>
              </w:rPr>
            </w:pPr>
            <w:r w:rsidRPr="00E0783A">
              <w:rPr>
                <w:rFonts w:eastAsia="Calibri"/>
              </w:rPr>
              <w:t>AX, AY, AZ</w:t>
            </w:r>
          </w:p>
        </w:tc>
        <w:tc>
          <w:tcPr>
            <w:tcW w:w="1021" w:type="dxa"/>
            <w:shd w:val="clear" w:color="auto" w:fill="auto"/>
          </w:tcPr>
          <w:p w14:paraId="5E9CAE4D" w14:textId="77777777" w:rsidR="000C14DA" w:rsidRPr="00E0783A" w:rsidRDefault="000C14DA" w:rsidP="009019DC">
            <w:pPr>
              <w:spacing w:before="40" w:after="120"/>
              <w:ind w:right="113"/>
              <w:rPr>
                <w:rFonts w:eastAsia="Calibri"/>
                <w:strike/>
              </w:rPr>
            </w:pPr>
            <w:r w:rsidRPr="00E0783A">
              <w:rPr>
                <w:rFonts w:eastAsia="Calibri"/>
                <w:strike/>
              </w:rPr>
              <w:t>3</w:t>
            </w:r>
          </w:p>
        </w:tc>
      </w:tr>
      <w:tr w:rsidR="000C14DA" w:rsidRPr="00E0783A" w14:paraId="46AB1E3D" w14:textId="77777777" w:rsidTr="009019DC">
        <w:tc>
          <w:tcPr>
            <w:tcW w:w="1379" w:type="dxa"/>
            <w:shd w:val="clear" w:color="auto" w:fill="auto"/>
          </w:tcPr>
          <w:p w14:paraId="5A6B0444" w14:textId="77777777" w:rsidR="000C14DA" w:rsidRPr="00E0783A" w:rsidRDefault="000C14DA" w:rsidP="009019DC">
            <w:pPr>
              <w:spacing w:before="40" w:after="120"/>
              <w:ind w:right="113"/>
              <w:rPr>
                <w:rFonts w:eastAsia="Calibri"/>
              </w:rPr>
            </w:pPr>
            <w:r w:rsidRPr="00E0783A">
              <w:rPr>
                <w:rFonts w:eastAsia="Calibri"/>
              </w:rPr>
              <w:t>Pelvis</w:t>
            </w:r>
          </w:p>
        </w:tc>
        <w:tc>
          <w:tcPr>
            <w:tcW w:w="1537" w:type="dxa"/>
            <w:shd w:val="clear" w:color="auto" w:fill="auto"/>
          </w:tcPr>
          <w:p w14:paraId="568F8D60" w14:textId="77777777" w:rsidR="000C14DA" w:rsidRPr="00E0783A" w:rsidRDefault="000C14DA" w:rsidP="009019DC">
            <w:pPr>
              <w:spacing w:before="40" w:after="120"/>
              <w:ind w:right="113"/>
              <w:rPr>
                <w:rFonts w:eastAsia="Calibri"/>
              </w:rPr>
            </w:pPr>
            <w:r w:rsidRPr="00E0783A">
              <w:rPr>
                <w:rFonts w:eastAsia="Calibri"/>
              </w:rPr>
              <w:t>Tilt Sensor</w:t>
            </w:r>
          </w:p>
        </w:tc>
        <w:tc>
          <w:tcPr>
            <w:tcW w:w="1588" w:type="dxa"/>
            <w:shd w:val="clear" w:color="auto" w:fill="auto"/>
          </w:tcPr>
          <w:p w14:paraId="5C2F928F" w14:textId="77777777" w:rsidR="000C14DA" w:rsidRPr="00E0783A" w:rsidRDefault="000C14DA" w:rsidP="009019DC">
            <w:pPr>
              <w:spacing w:before="40" w:after="120"/>
              <w:ind w:right="113"/>
              <w:rPr>
                <w:rFonts w:eastAsia="Calibri"/>
              </w:rPr>
            </w:pPr>
          </w:p>
        </w:tc>
        <w:tc>
          <w:tcPr>
            <w:tcW w:w="1588" w:type="dxa"/>
            <w:shd w:val="clear" w:color="auto" w:fill="auto"/>
          </w:tcPr>
          <w:p w14:paraId="28166D5D" w14:textId="77777777" w:rsidR="000C14DA" w:rsidRPr="00E0783A" w:rsidRDefault="000C14DA" w:rsidP="009019DC">
            <w:pPr>
              <w:spacing w:before="40" w:after="120"/>
              <w:ind w:right="113"/>
              <w:rPr>
                <w:rFonts w:eastAsia="Calibri"/>
              </w:rPr>
            </w:pPr>
            <w:r w:rsidRPr="00E0783A">
              <w:rPr>
                <w:rFonts w:eastAsia="Calibri"/>
              </w:rPr>
              <w:t>Angle</w:t>
            </w:r>
          </w:p>
        </w:tc>
        <w:tc>
          <w:tcPr>
            <w:tcW w:w="1021" w:type="dxa"/>
            <w:shd w:val="clear" w:color="auto" w:fill="auto"/>
          </w:tcPr>
          <w:p w14:paraId="7F6E5476" w14:textId="77777777" w:rsidR="000C14DA" w:rsidRPr="00E0783A" w:rsidRDefault="000C14DA" w:rsidP="009019DC">
            <w:pPr>
              <w:spacing w:before="40" w:after="120"/>
              <w:ind w:right="113"/>
              <w:rPr>
                <w:rFonts w:eastAsia="Calibri"/>
                <w:strike/>
              </w:rPr>
            </w:pPr>
            <w:r w:rsidRPr="00E0783A">
              <w:rPr>
                <w:rFonts w:eastAsia="Calibri"/>
                <w:strike/>
              </w:rPr>
              <w:t>2</w:t>
            </w:r>
          </w:p>
        </w:tc>
      </w:tr>
      <w:tr w:rsidR="000C14DA" w:rsidRPr="00E0783A" w14:paraId="6119339D" w14:textId="77777777" w:rsidTr="009019DC">
        <w:tc>
          <w:tcPr>
            <w:tcW w:w="1379" w:type="dxa"/>
            <w:tcBorders>
              <w:bottom w:val="single" w:sz="12" w:space="0" w:color="auto"/>
            </w:tcBorders>
            <w:shd w:val="clear" w:color="auto" w:fill="auto"/>
          </w:tcPr>
          <w:p w14:paraId="2DB3EF3D" w14:textId="77777777" w:rsidR="000C14DA" w:rsidRPr="00E0783A" w:rsidRDefault="000C14DA" w:rsidP="009019DC">
            <w:pPr>
              <w:spacing w:before="40" w:after="120"/>
              <w:ind w:right="113"/>
              <w:rPr>
                <w:rFonts w:eastAsia="Calibri"/>
              </w:rPr>
            </w:pPr>
            <w:r w:rsidRPr="00E0783A">
              <w:rPr>
                <w:rFonts w:eastAsia="Calibri"/>
              </w:rPr>
              <w:t>Pelvis</w:t>
            </w:r>
          </w:p>
        </w:tc>
        <w:tc>
          <w:tcPr>
            <w:tcW w:w="1537" w:type="dxa"/>
            <w:tcBorders>
              <w:bottom w:val="single" w:sz="12" w:space="0" w:color="auto"/>
            </w:tcBorders>
            <w:shd w:val="clear" w:color="auto" w:fill="auto"/>
          </w:tcPr>
          <w:p w14:paraId="6AEDD245" w14:textId="77777777" w:rsidR="000C14DA" w:rsidRPr="00E0783A" w:rsidRDefault="000C14DA" w:rsidP="009019DC">
            <w:pPr>
              <w:spacing w:before="40" w:after="120"/>
              <w:ind w:right="113"/>
              <w:rPr>
                <w:rFonts w:eastAsia="Calibri"/>
              </w:rPr>
            </w:pPr>
            <w:r w:rsidRPr="00E0783A">
              <w:rPr>
                <w:rFonts w:eastAsia="Calibri"/>
              </w:rPr>
              <w:t>Angular Rate Sensor (ARS)</w:t>
            </w:r>
          </w:p>
        </w:tc>
        <w:tc>
          <w:tcPr>
            <w:tcW w:w="1588" w:type="dxa"/>
            <w:tcBorders>
              <w:bottom w:val="single" w:sz="12" w:space="0" w:color="auto"/>
            </w:tcBorders>
            <w:shd w:val="clear" w:color="auto" w:fill="auto"/>
          </w:tcPr>
          <w:p w14:paraId="40A89C79" w14:textId="77777777" w:rsidR="000C14DA" w:rsidRPr="00E0783A" w:rsidRDefault="000C14DA" w:rsidP="009019DC">
            <w:pPr>
              <w:spacing w:before="40" w:after="120"/>
              <w:ind w:right="113"/>
              <w:rPr>
                <w:rFonts w:eastAsia="Calibri"/>
              </w:rPr>
            </w:pPr>
          </w:p>
        </w:tc>
        <w:tc>
          <w:tcPr>
            <w:tcW w:w="1588" w:type="dxa"/>
            <w:tcBorders>
              <w:bottom w:val="single" w:sz="12" w:space="0" w:color="auto"/>
            </w:tcBorders>
            <w:shd w:val="clear" w:color="auto" w:fill="auto"/>
          </w:tcPr>
          <w:p w14:paraId="1F87AE18" w14:textId="77777777" w:rsidR="000C14DA" w:rsidRPr="00E0783A" w:rsidRDefault="000C14DA" w:rsidP="009019DC">
            <w:pPr>
              <w:spacing w:before="40" w:after="120"/>
              <w:ind w:right="113"/>
              <w:rPr>
                <w:rFonts w:eastAsia="Calibri"/>
              </w:rPr>
            </w:pPr>
            <w:r w:rsidRPr="00E0783A">
              <w:rPr>
                <w:rFonts w:eastAsia="Calibri"/>
              </w:rPr>
              <w:t>AVX, AVY, AVZ</w:t>
            </w:r>
          </w:p>
          <w:p w14:paraId="332E83EB" w14:textId="77777777" w:rsidR="000C14DA" w:rsidRPr="00E0783A" w:rsidRDefault="000C14DA" w:rsidP="009019DC">
            <w:pPr>
              <w:spacing w:before="40" w:after="120"/>
              <w:ind w:right="113"/>
              <w:rPr>
                <w:rFonts w:eastAsia="Calibri"/>
              </w:rPr>
            </w:pPr>
          </w:p>
        </w:tc>
        <w:tc>
          <w:tcPr>
            <w:tcW w:w="1021" w:type="dxa"/>
            <w:tcBorders>
              <w:bottom w:val="single" w:sz="12" w:space="0" w:color="auto"/>
            </w:tcBorders>
            <w:shd w:val="clear" w:color="auto" w:fill="auto"/>
          </w:tcPr>
          <w:p w14:paraId="1A87A6DD" w14:textId="77777777" w:rsidR="000C14DA" w:rsidRPr="00E0783A" w:rsidRDefault="000C14DA" w:rsidP="009019DC">
            <w:pPr>
              <w:spacing w:before="40" w:after="120"/>
              <w:ind w:right="113"/>
              <w:rPr>
                <w:rFonts w:eastAsia="Calibri"/>
                <w:strike/>
              </w:rPr>
            </w:pPr>
            <w:r w:rsidRPr="00E0783A">
              <w:rPr>
                <w:rFonts w:eastAsia="Calibri"/>
                <w:strike/>
              </w:rPr>
              <w:t>3</w:t>
            </w:r>
          </w:p>
        </w:tc>
      </w:tr>
    </w:tbl>
    <w:p w14:paraId="5D070ECB" w14:textId="1C4D2934" w:rsidR="002062CC" w:rsidRPr="00E0783A" w:rsidRDefault="00A94160" w:rsidP="00DE76A5">
      <w:pPr>
        <w:tabs>
          <w:tab w:val="left" w:pos="2300"/>
          <w:tab w:val="left" w:pos="2800"/>
        </w:tabs>
        <w:spacing w:after="120"/>
        <w:ind w:right="1134" w:firstLine="1134"/>
        <w:jc w:val="both"/>
        <w:rPr>
          <w:iCs/>
          <w:lang w:eastAsia="fr-FR"/>
        </w:rPr>
      </w:pPr>
      <w:bookmarkStart w:id="1" w:name="_Toc358110328"/>
      <w:bookmarkEnd w:id="0"/>
      <w:r w:rsidRPr="00E0783A">
        <w:rPr>
          <w:iCs/>
          <w:lang w:eastAsia="fr-FR"/>
        </w:rPr>
        <w:t>"</w:t>
      </w:r>
    </w:p>
    <w:p w14:paraId="1422E9D1" w14:textId="77777777" w:rsidR="00690010" w:rsidRPr="00E0783A" w:rsidRDefault="00DE76A5" w:rsidP="00A94160">
      <w:pPr>
        <w:tabs>
          <w:tab w:val="left" w:pos="2300"/>
          <w:tab w:val="left" w:pos="2800"/>
        </w:tabs>
        <w:spacing w:after="120"/>
        <w:ind w:right="1134" w:firstLine="1134"/>
        <w:jc w:val="both"/>
        <w:rPr>
          <w:i/>
          <w:lang w:eastAsia="fr-FR"/>
        </w:rPr>
      </w:pPr>
      <w:r w:rsidRPr="00E0783A">
        <w:rPr>
          <w:i/>
          <w:lang w:eastAsia="fr-FR"/>
        </w:rPr>
        <w:t>Annex 1</w:t>
      </w:r>
      <w:r w:rsidR="00A94160" w:rsidRPr="00E0783A">
        <w:rPr>
          <w:i/>
          <w:lang w:eastAsia="fr-FR"/>
        </w:rPr>
        <w:t xml:space="preserve">, </w:t>
      </w:r>
    </w:p>
    <w:p w14:paraId="74EF9442" w14:textId="736AB35E" w:rsidR="00DE76A5" w:rsidRPr="00E0783A" w:rsidRDefault="00690010" w:rsidP="00A94160">
      <w:pPr>
        <w:tabs>
          <w:tab w:val="left" w:pos="2300"/>
          <w:tab w:val="left" w:pos="2800"/>
        </w:tabs>
        <w:spacing w:after="120"/>
        <w:ind w:right="1134" w:firstLine="1134"/>
        <w:jc w:val="both"/>
        <w:rPr>
          <w:i/>
          <w:lang w:eastAsia="fr-FR"/>
        </w:rPr>
      </w:pPr>
      <w:r w:rsidRPr="00E0783A">
        <w:rPr>
          <w:i/>
          <w:lang w:eastAsia="fr-FR"/>
        </w:rPr>
        <w:t>P</w:t>
      </w:r>
      <w:r w:rsidR="00DE76A5" w:rsidRPr="00E0783A">
        <w:rPr>
          <w:i/>
          <w:lang w:eastAsia="fr-FR"/>
        </w:rPr>
        <w:t>aragraph 2.2.1</w:t>
      </w:r>
      <w:r w:rsidR="00DE76A5" w:rsidRPr="00E0783A">
        <w:rPr>
          <w:iCs/>
          <w:lang w:eastAsia="fr-FR"/>
        </w:rPr>
        <w:t>., amend to read:</w:t>
      </w:r>
    </w:p>
    <w:p w14:paraId="26178F28" w14:textId="5ECA5108" w:rsidR="00DE76A5" w:rsidRPr="00E0783A" w:rsidRDefault="00A94160" w:rsidP="00DE76A5">
      <w:pPr>
        <w:tabs>
          <w:tab w:val="left" w:pos="2300"/>
          <w:tab w:val="left" w:pos="2800"/>
        </w:tabs>
        <w:spacing w:after="120"/>
        <w:ind w:right="1134" w:firstLine="1134"/>
        <w:jc w:val="both"/>
        <w:rPr>
          <w:iCs/>
          <w:lang w:eastAsia="fr-FR"/>
        </w:rPr>
      </w:pPr>
      <w:r w:rsidRPr="00E0783A">
        <w:rPr>
          <w:iCs/>
          <w:lang w:eastAsia="fr-FR"/>
        </w:rPr>
        <w:t>"</w:t>
      </w:r>
      <w:r w:rsidR="00DE76A5" w:rsidRPr="00E0783A">
        <w:rPr>
          <w:iCs/>
          <w:lang w:eastAsia="fr-FR"/>
        </w:rPr>
        <w:t>2.2.1.</w:t>
      </w:r>
      <w:r w:rsidR="00DE76A5" w:rsidRPr="00E0783A">
        <w:rPr>
          <w:iCs/>
          <w:lang w:eastAsia="fr-FR"/>
        </w:rPr>
        <w:tab/>
        <w:t>Assembly Components</w:t>
      </w:r>
      <w:bookmarkEnd w:id="1"/>
    </w:p>
    <w:p w14:paraId="70DBA9A6" w14:textId="12939938" w:rsidR="00DE76A5" w:rsidRPr="00E0783A" w:rsidRDefault="00DE76A5" w:rsidP="00DE76A5">
      <w:pPr>
        <w:tabs>
          <w:tab w:val="left" w:pos="2300"/>
          <w:tab w:val="left" w:pos="2800"/>
        </w:tabs>
        <w:spacing w:after="120"/>
        <w:ind w:left="2268" w:right="1134"/>
        <w:jc w:val="both"/>
        <w:rPr>
          <w:iCs/>
          <w:lang w:eastAsia="fr-FR"/>
        </w:rPr>
      </w:pPr>
      <w:r w:rsidRPr="00E0783A">
        <w:rPr>
          <w:lang w:eastAsia="fr-FR"/>
        </w:rPr>
        <w:t xml:space="preserve">The </w:t>
      </w:r>
      <w:proofErr w:type="spellStart"/>
      <w:r w:rsidRPr="00E0783A">
        <w:rPr>
          <w:lang w:eastAsia="fr-FR"/>
        </w:rPr>
        <w:t>BioRID</w:t>
      </w:r>
      <w:proofErr w:type="spellEnd"/>
      <w:r w:rsidRPr="00E0783A">
        <w:rPr>
          <w:lang w:eastAsia="fr-FR"/>
        </w:rPr>
        <w:t xml:space="preserve">-II UN dummy shall be equipped with the following neck instrumentation: an upper neck load cell measuring X, Y and Z forces and </w:t>
      </w:r>
      <w:r w:rsidRPr="00E0783A">
        <w:rPr>
          <w:lang w:eastAsia="fr-FR"/>
        </w:rPr>
        <w:lastRenderedPageBreak/>
        <w:t xml:space="preserve">moments, a lower neck load cell at T1 measuring </w:t>
      </w:r>
      <w:proofErr w:type="spellStart"/>
      <w:r w:rsidRPr="00E0783A">
        <w:rPr>
          <w:lang w:eastAsia="fr-FR"/>
        </w:rPr>
        <w:t>Fx</w:t>
      </w:r>
      <w:proofErr w:type="spellEnd"/>
      <w:r w:rsidRPr="00E0783A">
        <w:rPr>
          <w:lang w:eastAsia="fr-FR"/>
        </w:rPr>
        <w:t xml:space="preserve">, </w:t>
      </w:r>
      <w:proofErr w:type="spellStart"/>
      <w:r w:rsidRPr="00E0783A">
        <w:rPr>
          <w:lang w:eastAsia="fr-FR"/>
        </w:rPr>
        <w:t>Fz</w:t>
      </w:r>
      <w:proofErr w:type="spellEnd"/>
      <w:r w:rsidRPr="00E0783A">
        <w:rPr>
          <w:lang w:eastAsia="fr-FR"/>
        </w:rPr>
        <w:t xml:space="preserve"> and My, and two </w:t>
      </w:r>
      <w:proofErr w:type="spellStart"/>
      <w:r w:rsidRPr="00E0783A">
        <w:rPr>
          <w:lang w:eastAsia="fr-FR"/>
        </w:rPr>
        <w:t>uni</w:t>
      </w:r>
      <w:proofErr w:type="spellEnd"/>
      <w:r w:rsidRPr="00E0783A">
        <w:rPr>
          <w:lang w:eastAsia="fr-FR"/>
        </w:rPr>
        <w:t xml:space="preserve">-axial piezoresistive accelerometers </w:t>
      </w:r>
      <w:r w:rsidRPr="00E0783A">
        <w:rPr>
          <w:strike/>
          <w:lang w:eastAsia="fr-FR"/>
        </w:rPr>
        <w:t>at T1.</w:t>
      </w:r>
      <w:r w:rsidRPr="00E0783A">
        <w:rPr>
          <w:lang w:eastAsia="fr-FR"/>
        </w:rPr>
        <w:t xml:space="preserve"> </w:t>
      </w:r>
      <w:r w:rsidRPr="00E0783A">
        <w:rPr>
          <w:strike/>
          <w:lang w:eastAsia="fr-FR"/>
        </w:rPr>
        <w:t>Accelerometers may be</w:t>
      </w:r>
      <w:r w:rsidRPr="00E0783A">
        <w:rPr>
          <w:lang w:eastAsia="fr-FR"/>
        </w:rPr>
        <w:t xml:space="preserve"> located on the right </w:t>
      </w:r>
      <w:r w:rsidRPr="00E0783A">
        <w:rPr>
          <w:strike/>
          <w:lang w:eastAsia="fr-FR"/>
        </w:rPr>
        <w:t>or</w:t>
      </w:r>
      <w:r w:rsidRPr="00E0783A">
        <w:rPr>
          <w:lang w:eastAsia="fr-FR"/>
        </w:rPr>
        <w:t xml:space="preserve"> </w:t>
      </w:r>
      <w:r w:rsidRPr="00E0783A">
        <w:rPr>
          <w:b/>
          <w:bCs/>
          <w:lang w:eastAsia="fr-FR"/>
        </w:rPr>
        <w:t>and the</w:t>
      </w:r>
      <w:r w:rsidRPr="00E0783A">
        <w:rPr>
          <w:lang w:eastAsia="fr-FR"/>
        </w:rPr>
        <w:t xml:space="preserve"> left side of the </w:t>
      </w:r>
      <w:r w:rsidRPr="00E0783A">
        <w:rPr>
          <w:strike/>
          <w:lang w:eastAsia="fr-FR"/>
        </w:rPr>
        <w:t>cervical</w:t>
      </w:r>
      <w:r w:rsidRPr="00E0783A">
        <w:rPr>
          <w:b/>
          <w:bCs/>
          <w:lang w:eastAsia="fr-FR"/>
        </w:rPr>
        <w:t xml:space="preserve"> T1</w:t>
      </w:r>
      <w:r w:rsidRPr="00E0783A">
        <w:rPr>
          <w:lang w:eastAsia="fr-FR"/>
        </w:rPr>
        <w:t xml:space="preserve"> vertebrae.  If fitted, angular rate sensors may also utilize the accelerometer mounting on the cervical vertebrae.</w:t>
      </w:r>
      <w:r w:rsidR="00A94160" w:rsidRPr="00E0783A">
        <w:rPr>
          <w:lang w:eastAsia="fr-FR"/>
        </w:rPr>
        <w:t>"</w:t>
      </w:r>
    </w:p>
    <w:p w14:paraId="76A73AAA" w14:textId="52DEA236" w:rsidR="00DE76A5" w:rsidRPr="00E0783A" w:rsidRDefault="00DE76A5" w:rsidP="00DE76A5">
      <w:pPr>
        <w:tabs>
          <w:tab w:val="left" w:pos="2300"/>
          <w:tab w:val="left" w:pos="2800"/>
        </w:tabs>
        <w:spacing w:after="120"/>
        <w:ind w:right="1134" w:firstLine="1134"/>
        <w:jc w:val="both"/>
        <w:rPr>
          <w:i/>
          <w:lang w:eastAsia="fr-FR"/>
        </w:rPr>
      </w:pPr>
      <w:r w:rsidRPr="00E0783A">
        <w:rPr>
          <w:i/>
          <w:lang w:eastAsia="fr-FR"/>
        </w:rPr>
        <w:t>Paragraph 2.2.2.</w:t>
      </w:r>
      <w:r w:rsidR="00B84DB1" w:rsidRPr="00E0783A">
        <w:rPr>
          <w:i/>
          <w:lang w:eastAsia="fr-FR"/>
        </w:rPr>
        <w:t>,</w:t>
      </w:r>
      <w:r w:rsidRPr="00E0783A">
        <w:rPr>
          <w:iCs/>
          <w:lang w:eastAsia="fr-FR"/>
        </w:rPr>
        <w:t xml:space="preserve"> amend to read:</w:t>
      </w:r>
    </w:p>
    <w:p w14:paraId="08827137" w14:textId="74782B87" w:rsidR="00DE76A5" w:rsidRPr="00E0783A" w:rsidRDefault="00B84DB1" w:rsidP="00DE76A5">
      <w:pPr>
        <w:tabs>
          <w:tab w:val="left" w:pos="2300"/>
          <w:tab w:val="left" w:pos="2800"/>
        </w:tabs>
        <w:spacing w:after="120"/>
        <w:ind w:right="1134" w:firstLine="1134"/>
        <w:jc w:val="both"/>
        <w:rPr>
          <w:iCs/>
          <w:lang w:eastAsia="fr-FR"/>
        </w:rPr>
      </w:pPr>
      <w:bookmarkStart w:id="2" w:name="_Toc358110329"/>
      <w:bookmarkStart w:id="3" w:name="_Hlk93658488"/>
      <w:r w:rsidRPr="00E0783A">
        <w:rPr>
          <w:iCs/>
          <w:lang w:eastAsia="fr-FR"/>
        </w:rPr>
        <w:t>"</w:t>
      </w:r>
      <w:r w:rsidR="00DE76A5" w:rsidRPr="00E0783A">
        <w:rPr>
          <w:iCs/>
          <w:lang w:eastAsia="fr-FR"/>
        </w:rPr>
        <w:t>2.2.2.</w:t>
      </w:r>
      <w:r w:rsidR="00DE76A5" w:rsidRPr="00E0783A">
        <w:rPr>
          <w:iCs/>
          <w:lang w:eastAsia="fr-FR"/>
        </w:rPr>
        <w:tab/>
        <w:t>Mounting of Accelerometers</w:t>
      </w:r>
      <w:bookmarkEnd w:id="2"/>
    </w:p>
    <w:p w14:paraId="0F3DFC5D" w14:textId="6F4DBDA9" w:rsidR="00DE76A5" w:rsidRPr="00E0783A" w:rsidRDefault="00DE76A5" w:rsidP="00DE76A5">
      <w:pPr>
        <w:tabs>
          <w:tab w:val="left" w:pos="2300"/>
          <w:tab w:val="left" w:pos="2800"/>
        </w:tabs>
        <w:spacing w:after="120"/>
        <w:ind w:left="2268" w:right="1134"/>
        <w:jc w:val="both"/>
        <w:rPr>
          <w:b/>
          <w:bCs/>
          <w:iCs/>
          <w:strike/>
          <w:lang w:eastAsia="fr-FR"/>
        </w:rPr>
      </w:pPr>
      <w:r w:rsidRPr="00E0783A">
        <w:rPr>
          <w:b/>
          <w:bCs/>
          <w:iCs/>
          <w:lang w:eastAsia="fr-FR"/>
        </w:rPr>
        <w:t xml:space="preserve">The T1 </w:t>
      </w:r>
      <w:r w:rsidRPr="00E0783A">
        <w:rPr>
          <w:iCs/>
          <w:strike/>
          <w:lang w:eastAsia="fr-FR"/>
        </w:rPr>
        <w:t>Cervical spine</w:t>
      </w:r>
      <w:r w:rsidRPr="00E0783A">
        <w:rPr>
          <w:iCs/>
          <w:lang w:eastAsia="fr-FR"/>
        </w:rPr>
        <w:t xml:space="preserve"> accelerometers shall be mounted on the sides of the accelerometer block and shall measure </w:t>
      </w:r>
      <w:proofErr w:type="spellStart"/>
      <w:r w:rsidRPr="00E0783A">
        <w:rPr>
          <w:iCs/>
          <w:lang w:eastAsia="fr-FR"/>
        </w:rPr>
        <w:t>Ax</w:t>
      </w:r>
      <w:proofErr w:type="spellEnd"/>
      <w:r w:rsidRPr="00E0783A">
        <w:rPr>
          <w:iCs/>
          <w:lang w:eastAsia="fr-FR"/>
        </w:rPr>
        <w:t xml:space="preserve"> and Az accelerations when the block is mounted on the spine. Two </w:t>
      </w:r>
      <w:proofErr w:type="spellStart"/>
      <w:r w:rsidRPr="00E0783A">
        <w:rPr>
          <w:iCs/>
          <w:lang w:eastAsia="fr-FR"/>
        </w:rPr>
        <w:t>uni</w:t>
      </w:r>
      <w:proofErr w:type="spellEnd"/>
      <w:r w:rsidRPr="00E0783A">
        <w:rPr>
          <w:iCs/>
          <w:lang w:eastAsia="fr-FR"/>
        </w:rPr>
        <w:t>-axial piezoresistive accelerometers shall be mounted onto the tri-axial mount block with two each #0-80 X 1/8" SHCS (UNF) (4 total) such that their seismic masses point to one corner of the block as shown in Figure 71</w:t>
      </w:r>
      <w:bookmarkEnd w:id="3"/>
      <w:r w:rsidRPr="00E0783A">
        <w:rPr>
          <w:b/>
          <w:bCs/>
          <w:iCs/>
          <w:strike/>
          <w:lang w:eastAsia="fr-FR"/>
        </w:rPr>
        <w:t>.</w:t>
      </w:r>
    </w:p>
    <w:p w14:paraId="6B44D635" w14:textId="472529BB" w:rsidR="00DE76A5" w:rsidRPr="00E0783A" w:rsidRDefault="00DE76A5" w:rsidP="005B6EDF">
      <w:pPr>
        <w:tabs>
          <w:tab w:val="left" w:pos="2300"/>
          <w:tab w:val="left" w:pos="2800"/>
        </w:tabs>
        <w:spacing w:after="120"/>
        <w:ind w:left="2268" w:right="1134"/>
        <w:jc w:val="both"/>
        <w:rPr>
          <w:b/>
          <w:bCs/>
          <w:iCs/>
          <w:lang w:eastAsia="fr-FR"/>
        </w:rPr>
      </w:pPr>
      <w:r w:rsidRPr="00E0783A">
        <w:rPr>
          <w:b/>
          <w:bCs/>
          <w:iCs/>
          <w:lang w:eastAsia="fr-FR"/>
        </w:rPr>
        <w:t>Accelerometers shall not be mounted on the cervical spine (C1 – C7).</w:t>
      </w:r>
    </w:p>
    <w:p w14:paraId="4ADA90E3" w14:textId="736D3154" w:rsidR="00DE76A5" w:rsidRPr="00E0783A" w:rsidRDefault="00C55061" w:rsidP="00DE76A5">
      <w:pPr>
        <w:tabs>
          <w:tab w:val="left" w:pos="2300"/>
          <w:tab w:val="left" w:pos="2800"/>
        </w:tabs>
        <w:spacing w:after="120"/>
        <w:ind w:right="1134" w:firstLine="1134"/>
        <w:jc w:val="both"/>
        <w:rPr>
          <w:i/>
          <w:lang w:eastAsia="fr-FR"/>
        </w:rPr>
      </w:pPr>
      <w:r w:rsidRPr="00E0783A">
        <w:rPr>
          <w:i/>
          <w:lang w:eastAsia="fr-FR"/>
        </w:rPr>
        <w:t>Paragraph 2.2.2.,</w:t>
      </w:r>
      <w:r w:rsidRPr="00E0783A">
        <w:rPr>
          <w:iCs/>
          <w:lang w:eastAsia="fr-FR"/>
        </w:rPr>
        <w:t xml:space="preserve"> </w:t>
      </w:r>
      <w:r w:rsidR="00DE76A5" w:rsidRPr="00E0783A">
        <w:rPr>
          <w:i/>
          <w:lang w:eastAsia="fr-FR"/>
        </w:rPr>
        <w:t>Figure 71</w:t>
      </w:r>
      <w:r w:rsidR="00DE76A5" w:rsidRPr="00E0783A">
        <w:rPr>
          <w:iCs/>
          <w:lang w:eastAsia="fr-FR"/>
        </w:rPr>
        <w:t>, amend the title to read:</w:t>
      </w:r>
    </w:p>
    <w:p w14:paraId="3DF52204" w14:textId="77777777" w:rsidR="00DE76A5" w:rsidRPr="00E0783A" w:rsidRDefault="00DE76A5" w:rsidP="00DE76A5">
      <w:pPr>
        <w:tabs>
          <w:tab w:val="left" w:pos="2300"/>
          <w:tab w:val="left" w:pos="2800"/>
        </w:tabs>
        <w:spacing w:after="120"/>
        <w:ind w:left="2268" w:right="1134"/>
        <w:rPr>
          <w:iCs/>
          <w:lang w:eastAsia="fr-FR"/>
        </w:rPr>
      </w:pPr>
      <w:bookmarkStart w:id="4" w:name="_Hlk93658543"/>
      <w:r w:rsidRPr="00E0783A">
        <w:rPr>
          <w:bCs/>
          <w:iCs/>
          <w:lang w:eastAsia="fr-FR"/>
        </w:rPr>
        <w:t>Figure 71</w:t>
      </w:r>
      <w:r w:rsidRPr="00E0783A">
        <w:rPr>
          <w:b/>
          <w:iCs/>
          <w:lang w:eastAsia="fr-FR"/>
        </w:rPr>
        <w:br/>
      </w:r>
      <w:r w:rsidRPr="00E0783A">
        <w:rPr>
          <w:bCs/>
          <w:iCs/>
          <w:strike/>
          <w:lang w:eastAsia="fr-FR"/>
        </w:rPr>
        <w:t>Cervical</w:t>
      </w:r>
      <w:r w:rsidRPr="00E0783A">
        <w:rPr>
          <w:bCs/>
          <w:iCs/>
          <w:lang w:eastAsia="fr-FR"/>
        </w:rPr>
        <w:t xml:space="preserve"> </w:t>
      </w:r>
      <w:r w:rsidRPr="00E0783A">
        <w:rPr>
          <w:b/>
          <w:iCs/>
          <w:lang w:eastAsia="fr-FR"/>
        </w:rPr>
        <w:t>Spine Accelerometer Mounting</w:t>
      </w:r>
    </w:p>
    <w:bookmarkEnd w:id="4"/>
    <w:p w14:paraId="4D8AB1DF" w14:textId="77777777" w:rsidR="00DE76A5" w:rsidRPr="00E0783A" w:rsidRDefault="00DE76A5" w:rsidP="00DE76A5">
      <w:pPr>
        <w:tabs>
          <w:tab w:val="left" w:pos="2300"/>
          <w:tab w:val="left" w:pos="2800"/>
        </w:tabs>
        <w:spacing w:after="120"/>
        <w:ind w:right="1134" w:firstLine="1134"/>
        <w:jc w:val="both"/>
        <w:rPr>
          <w:iCs/>
          <w:lang w:eastAsia="fr-FR"/>
        </w:rPr>
      </w:pPr>
      <w:r w:rsidRPr="00E0783A">
        <w:rPr>
          <w:i/>
          <w:lang w:eastAsia="fr-FR"/>
        </w:rPr>
        <w:t xml:space="preserve">Paragraph 2.3.2., </w:t>
      </w:r>
      <w:r w:rsidRPr="00E0783A">
        <w:rPr>
          <w:iCs/>
          <w:lang w:eastAsia="fr-FR"/>
        </w:rPr>
        <w:t>amend to read:</w:t>
      </w:r>
    </w:p>
    <w:p w14:paraId="5CD6943F" w14:textId="7760542D" w:rsidR="00DE76A5" w:rsidRPr="00E0783A" w:rsidRDefault="00C643E5" w:rsidP="00DE76A5">
      <w:pPr>
        <w:tabs>
          <w:tab w:val="left" w:pos="2300"/>
          <w:tab w:val="left" w:pos="2800"/>
        </w:tabs>
        <w:spacing w:after="120"/>
        <w:ind w:right="1134" w:firstLine="1134"/>
        <w:jc w:val="both"/>
        <w:rPr>
          <w:iCs/>
          <w:lang w:eastAsia="fr-FR"/>
        </w:rPr>
      </w:pPr>
      <w:bookmarkStart w:id="5" w:name="_Toc358110332"/>
      <w:r w:rsidRPr="00E0783A">
        <w:rPr>
          <w:iCs/>
          <w:lang w:eastAsia="fr-FR"/>
        </w:rPr>
        <w:t>"</w:t>
      </w:r>
      <w:r w:rsidR="00DE76A5" w:rsidRPr="00E0783A">
        <w:rPr>
          <w:iCs/>
          <w:lang w:eastAsia="fr-FR"/>
        </w:rPr>
        <w:t>2.3.2.</w:t>
      </w:r>
      <w:r w:rsidR="00DE76A5" w:rsidRPr="00E0783A">
        <w:rPr>
          <w:iCs/>
          <w:lang w:eastAsia="fr-FR"/>
        </w:rPr>
        <w:tab/>
        <w:t>Mounting of Accelerometers</w:t>
      </w:r>
      <w:bookmarkEnd w:id="5"/>
    </w:p>
    <w:p w14:paraId="006E3F8B" w14:textId="17A142AE" w:rsidR="00DE76A5" w:rsidRPr="00E0783A" w:rsidRDefault="00DE76A5" w:rsidP="005C42EE">
      <w:pPr>
        <w:tabs>
          <w:tab w:val="left" w:pos="2300"/>
          <w:tab w:val="left" w:pos="2800"/>
        </w:tabs>
        <w:spacing w:after="120"/>
        <w:ind w:left="2268" w:right="1134"/>
        <w:jc w:val="both"/>
        <w:rPr>
          <w:iCs/>
          <w:lang w:eastAsia="fr-FR"/>
        </w:rPr>
      </w:pPr>
      <w:r w:rsidRPr="00E0783A">
        <w:rPr>
          <w:iCs/>
          <w:lang w:eastAsia="fr-FR"/>
        </w:rPr>
        <w:t xml:space="preserve">Thoracic spine accelerometers, if fitted, shall be mounted only on the sides of the accelerometer block, and when mounted to the spine shall measure </w:t>
      </w:r>
      <w:proofErr w:type="spellStart"/>
      <w:r w:rsidRPr="00E0783A">
        <w:rPr>
          <w:iCs/>
          <w:lang w:eastAsia="fr-FR"/>
        </w:rPr>
        <w:t>Ax</w:t>
      </w:r>
      <w:proofErr w:type="spellEnd"/>
      <w:r w:rsidRPr="00E0783A">
        <w:rPr>
          <w:iCs/>
          <w:lang w:eastAsia="fr-FR"/>
        </w:rPr>
        <w:t xml:space="preserve"> and Az accelerations. Two </w:t>
      </w:r>
      <w:proofErr w:type="spellStart"/>
      <w:r w:rsidRPr="00E0783A">
        <w:rPr>
          <w:iCs/>
          <w:lang w:eastAsia="fr-FR"/>
        </w:rPr>
        <w:t>uni</w:t>
      </w:r>
      <w:proofErr w:type="spellEnd"/>
      <w:r w:rsidRPr="00E0783A">
        <w:rPr>
          <w:iCs/>
          <w:lang w:eastAsia="fr-FR"/>
        </w:rPr>
        <w:t>-axial piezoresistive accelerometers shall be mounted onto the tri-axial mount block with two each #0-80 X 1/8" SHCS (UNF) (4 total) so that their seismic masses all point to one corner of the block as shown for the</w:t>
      </w:r>
      <w:r w:rsidRPr="00E0783A">
        <w:rPr>
          <w:iCs/>
          <w:strike/>
          <w:lang w:eastAsia="fr-FR"/>
        </w:rPr>
        <w:t xml:space="preserve"> cervical</w:t>
      </w:r>
      <w:r w:rsidRPr="00E0783A">
        <w:rPr>
          <w:b/>
          <w:bCs/>
          <w:iCs/>
          <w:strike/>
          <w:lang w:eastAsia="fr-FR"/>
        </w:rPr>
        <w:t xml:space="preserve"> </w:t>
      </w:r>
      <w:r w:rsidRPr="00E0783A">
        <w:rPr>
          <w:iCs/>
          <w:lang w:eastAsia="fr-FR"/>
        </w:rPr>
        <w:t>spine accelerometer mounting in Figure 71. This step is identical for T8 and L1 accelerometer locations.</w:t>
      </w:r>
      <w:r w:rsidR="00C643E5" w:rsidRPr="00E0783A">
        <w:rPr>
          <w:iCs/>
          <w:lang w:eastAsia="fr-FR"/>
        </w:rPr>
        <w:t>"</w:t>
      </w:r>
    </w:p>
    <w:p w14:paraId="20886B59" w14:textId="77777777" w:rsidR="00DE76A5" w:rsidRPr="00E0783A" w:rsidRDefault="00DE76A5" w:rsidP="00DE76A5">
      <w:pPr>
        <w:tabs>
          <w:tab w:val="left" w:pos="2300"/>
          <w:tab w:val="left" w:pos="2800"/>
        </w:tabs>
        <w:spacing w:after="120"/>
        <w:ind w:right="1134" w:firstLine="1134"/>
        <w:jc w:val="both"/>
        <w:rPr>
          <w:i/>
          <w:lang w:eastAsia="fr-FR"/>
        </w:rPr>
      </w:pPr>
      <w:r w:rsidRPr="00E0783A">
        <w:rPr>
          <w:i/>
          <w:lang w:eastAsia="fr-FR"/>
        </w:rPr>
        <w:t xml:space="preserve">Annex 3, </w:t>
      </w:r>
    </w:p>
    <w:p w14:paraId="2C8B037C" w14:textId="6DD3DD7F" w:rsidR="00DE76A5" w:rsidRPr="00E0783A" w:rsidRDefault="00DE76A5" w:rsidP="00DE76A5">
      <w:pPr>
        <w:tabs>
          <w:tab w:val="left" w:pos="2300"/>
          <w:tab w:val="left" w:pos="2800"/>
        </w:tabs>
        <w:spacing w:after="120"/>
        <w:ind w:right="1134" w:firstLine="1134"/>
        <w:jc w:val="both"/>
        <w:rPr>
          <w:i/>
          <w:lang w:eastAsia="fr-FR"/>
        </w:rPr>
      </w:pPr>
      <w:r w:rsidRPr="00E0783A">
        <w:rPr>
          <w:i/>
          <w:lang w:eastAsia="fr-FR"/>
        </w:rPr>
        <w:t xml:space="preserve">Paragraph 4.3.6., </w:t>
      </w:r>
      <w:r w:rsidRPr="00E0783A">
        <w:rPr>
          <w:iCs/>
          <w:lang w:eastAsia="fr-FR"/>
        </w:rPr>
        <w:t>amend to read:</w:t>
      </w:r>
    </w:p>
    <w:p w14:paraId="3BCAFDCB" w14:textId="09756E8F" w:rsidR="00D44139" w:rsidRPr="00E0783A" w:rsidRDefault="00D44139" w:rsidP="00D44139">
      <w:pPr>
        <w:spacing w:after="120"/>
        <w:ind w:left="2268" w:right="1134" w:hanging="1134"/>
        <w:jc w:val="both"/>
        <w:rPr>
          <w:bCs/>
        </w:rPr>
      </w:pPr>
      <w:r w:rsidRPr="00E0783A">
        <w:rPr>
          <w:bCs/>
        </w:rPr>
        <w:t>"4.3.6.</w:t>
      </w:r>
      <w:r w:rsidRPr="00E0783A">
        <w:rPr>
          <w:bCs/>
        </w:rPr>
        <w:tab/>
        <w:t>Using the spine-torso interface pin holes in the jacket with the pin assemblies that came with the torso jacket assembly, install the jacket onto the jacket core (Figure 8a and 8b) and, using an attachment plate, attach the jacket and jacket core assembly to the impact plate of the sled.  The combined mass of the test equipment system and the jacket impact attachment fixture is 55.75 +/- .08 kg</w:t>
      </w:r>
      <w:r w:rsidR="006529E1" w:rsidRPr="00E0783A">
        <w:rPr>
          <w:bCs/>
        </w:rPr>
        <w:t xml:space="preserve"> </w:t>
      </w:r>
      <w:r w:rsidR="006529E1" w:rsidRPr="00E0783A">
        <w:rPr>
          <w:b/>
        </w:rPr>
        <w:t>(not including</w:t>
      </w:r>
      <w:r w:rsidR="00A512EC" w:rsidRPr="00E0783A">
        <w:rPr>
          <w:bCs/>
        </w:rPr>
        <w:t xml:space="preserve"> </w:t>
      </w:r>
      <w:r w:rsidRPr="00E0783A">
        <w:rPr>
          <w:bCs/>
          <w:strike/>
        </w:rPr>
        <w:t>.  [Does not include</w:t>
      </w:r>
      <w:r w:rsidRPr="00E0783A">
        <w:rPr>
          <w:bCs/>
        </w:rPr>
        <w:t xml:space="preserve"> the jacket or the spine-torso interface pins</w:t>
      </w:r>
      <w:r w:rsidRPr="00E0783A">
        <w:rPr>
          <w:bCs/>
          <w:strike/>
        </w:rPr>
        <w:t>]</w:t>
      </w:r>
      <w:r w:rsidR="005E6B66" w:rsidRPr="00E0783A">
        <w:rPr>
          <w:b/>
        </w:rPr>
        <w:t>)</w:t>
      </w:r>
      <w:r w:rsidRPr="00E0783A">
        <w:rPr>
          <w:bCs/>
        </w:rPr>
        <w:t>."</w:t>
      </w:r>
    </w:p>
    <w:p w14:paraId="3CB98F10" w14:textId="77777777" w:rsidR="00DE76A5" w:rsidRPr="00E0783A" w:rsidRDefault="00DE76A5" w:rsidP="00DE76A5">
      <w:pPr>
        <w:tabs>
          <w:tab w:val="left" w:pos="2300"/>
          <w:tab w:val="left" w:pos="2800"/>
        </w:tabs>
        <w:spacing w:after="120"/>
        <w:ind w:right="1134" w:firstLine="1134"/>
        <w:jc w:val="both"/>
        <w:rPr>
          <w:iCs/>
          <w:lang w:eastAsia="fr-FR"/>
        </w:rPr>
      </w:pPr>
      <w:r w:rsidRPr="00E0783A">
        <w:rPr>
          <w:i/>
          <w:lang w:eastAsia="fr-FR"/>
        </w:rPr>
        <w:t xml:space="preserve">Paragraph 5.3.1., </w:t>
      </w:r>
      <w:r w:rsidRPr="00E0783A">
        <w:rPr>
          <w:iCs/>
          <w:lang w:eastAsia="fr-FR"/>
        </w:rPr>
        <w:t>amend to read:</w:t>
      </w:r>
    </w:p>
    <w:p w14:paraId="35B22D2F" w14:textId="537D1E61" w:rsidR="00DE76A5" w:rsidRPr="00E0783A" w:rsidRDefault="005E44E3" w:rsidP="005E44E3">
      <w:pPr>
        <w:pStyle w:val="SingleTxtG"/>
        <w:ind w:left="2250" w:hanging="1116"/>
        <w:rPr>
          <w:b/>
          <w:lang w:eastAsia="fr-FR"/>
        </w:rPr>
      </w:pPr>
      <w:r w:rsidRPr="00E0783A">
        <w:rPr>
          <w:lang w:eastAsia="fr-FR"/>
        </w:rPr>
        <w:t>"</w:t>
      </w:r>
      <w:r w:rsidR="00DE76A5" w:rsidRPr="00E0783A">
        <w:rPr>
          <w:lang w:eastAsia="fr-FR"/>
        </w:rPr>
        <w:t>5.3.1.</w:t>
      </w:r>
      <w:r w:rsidR="00DE76A5" w:rsidRPr="00E0783A">
        <w:rPr>
          <w:lang w:eastAsia="fr-FR"/>
        </w:rPr>
        <w:tab/>
        <w:t xml:space="preserve">Prepare the sled system and lower torso impactor as described for the jacket validation in paragraphs 4.3.1. to 4.3.3. above. </w:t>
      </w:r>
      <w:r w:rsidR="00DE76A5" w:rsidRPr="00E0783A">
        <w:rPr>
          <w:b/>
          <w:lang w:eastAsia="fr-FR"/>
        </w:rPr>
        <w:t>In addition, the dummy equivalent mass package (Annex 3, Appendix.1</w:t>
      </w:r>
      <w:r w:rsidR="00F96210">
        <w:rPr>
          <w:b/>
          <w:lang w:eastAsia="fr-FR"/>
        </w:rPr>
        <w:t>,</w:t>
      </w:r>
      <w:r w:rsidR="00DE76A5" w:rsidRPr="00E0783A">
        <w:rPr>
          <w:b/>
          <w:lang w:eastAsia="fr-FR"/>
        </w:rPr>
        <w:t xml:space="preserve"> Paragraph. 1) shall be installed on the sled.</w:t>
      </w:r>
      <w:r w:rsidRPr="00E0783A">
        <w:rPr>
          <w:bCs/>
          <w:lang w:eastAsia="fr-FR"/>
        </w:rPr>
        <w:t>"</w:t>
      </w:r>
    </w:p>
    <w:p w14:paraId="3D1CD20F" w14:textId="77777777" w:rsidR="00DE76A5" w:rsidRPr="00E0783A" w:rsidRDefault="00DE76A5" w:rsidP="00DE76A5">
      <w:pPr>
        <w:tabs>
          <w:tab w:val="left" w:pos="2300"/>
          <w:tab w:val="left" w:pos="2800"/>
        </w:tabs>
        <w:spacing w:after="120"/>
        <w:ind w:right="1134" w:firstLine="1134"/>
        <w:jc w:val="both"/>
        <w:rPr>
          <w:bCs/>
          <w:i/>
          <w:lang w:eastAsia="fr-FR"/>
        </w:rPr>
      </w:pPr>
      <w:r w:rsidRPr="00E0783A">
        <w:rPr>
          <w:bCs/>
          <w:i/>
          <w:lang w:eastAsia="fr-FR"/>
        </w:rPr>
        <w:t>Paragraph 5.3.4., amend to read:</w:t>
      </w:r>
    </w:p>
    <w:p w14:paraId="15B3701B" w14:textId="3BE2BBE7" w:rsidR="00DE76A5" w:rsidRPr="00E0783A" w:rsidRDefault="00550C86" w:rsidP="00550C86">
      <w:pPr>
        <w:tabs>
          <w:tab w:val="left" w:pos="2300"/>
          <w:tab w:val="left" w:pos="2800"/>
        </w:tabs>
        <w:spacing w:after="120"/>
        <w:ind w:left="2250" w:right="1134" w:hanging="1080"/>
        <w:jc w:val="both"/>
        <w:rPr>
          <w:bCs/>
          <w:iCs/>
          <w:lang w:eastAsia="fr-FR"/>
        </w:rPr>
      </w:pPr>
      <w:r w:rsidRPr="00E0783A">
        <w:rPr>
          <w:bCs/>
          <w:iCs/>
          <w:lang w:eastAsia="fr-FR"/>
        </w:rPr>
        <w:t>"</w:t>
      </w:r>
      <w:r w:rsidR="00DE76A5" w:rsidRPr="00E0783A">
        <w:rPr>
          <w:bCs/>
          <w:iCs/>
          <w:lang w:eastAsia="fr-FR"/>
        </w:rPr>
        <w:t>5.3.4.</w:t>
      </w:r>
      <w:r w:rsidR="00DE76A5" w:rsidRPr="00E0783A">
        <w:rPr>
          <w:bCs/>
          <w:iCs/>
          <w:lang w:eastAsia="fr-FR"/>
        </w:rPr>
        <w:tab/>
        <w:t xml:space="preserve">Using the lower torso test fixture (Figure 10), attach the </w:t>
      </w:r>
      <w:r w:rsidR="00DE76A5" w:rsidRPr="00E0783A">
        <w:rPr>
          <w:b/>
          <w:iCs/>
          <w:lang w:eastAsia="fr-FR"/>
        </w:rPr>
        <w:t>pelvis</w:t>
      </w:r>
      <w:r w:rsidR="00DE76A5" w:rsidRPr="00E0783A">
        <w:rPr>
          <w:bCs/>
          <w:iCs/>
          <w:lang w:eastAsia="fr-FR"/>
        </w:rPr>
        <w:t xml:space="preserve"> assembly to the sled impact plate with the posterior surface uppermost (Figure 11).  The assembly includes all the components shown in Figure 12.</w:t>
      </w:r>
      <w:r w:rsidR="006826CF" w:rsidRPr="00E0783A">
        <w:rPr>
          <w:bCs/>
          <w:iCs/>
          <w:lang w:eastAsia="fr-FR"/>
        </w:rPr>
        <w:t>"</w:t>
      </w:r>
    </w:p>
    <w:p w14:paraId="6A378EB7" w14:textId="56186DC0" w:rsidR="00DE76A5" w:rsidRPr="00E0783A" w:rsidRDefault="00DE76A5" w:rsidP="00DE76A5">
      <w:pPr>
        <w:tabs>
          <w:tab w:val="left" w:pos="2300"/>
          <w:tab w:val="left" w:pos="2800"/>
        </w:tabs>
        <w:spacing w:after="120"/>
        <w:ind w:right="1134" w:firstLine="1134"/>
        <w:jc w:val="both"/>
        <w:rPr>
          <w:bCs/>
          <w:i/>
          <w:lang w:eastAsia="fr-FR"/>
        </w:rPr>
      </w:pPr>
      <w:r w:rsidRPr="00E0783A">
        <w:rPr>
          <w:bCs/>
          <w:i/>
          <w:lang w:eastAsia="fr-FR"/>
        </w:rPr>
        <w:t>Insert new paragraph 5.3.5</w:t>
      </w:r>
      <w:r w:rsidRPr="00E0783A">
        <w:rPr>
          <w:bCs/>
          <w:iCs/>
          <w:lang w:eastAsia="fr-FR"/>
        </w:rPr>
        <w:t>.</w:t>
      </w:r>
      <w:r w:rsidR="006826CF" w:rsidRPr="00E0783A">
        <w:rPr>
          <w:bCs/>
          <w:iCs/>
          <w:lang w:eastAsia="fr-FR"/>
        </w:rPr>
        <w:t>, to read</w:t>
      </w:r>
      <w:r w:rsidRPr="00E0783A">
        <w:rPr>
          <w:bCs/>
          <w:iCs/>
          <w:lang w:eastAsia="fr-FR"/>
        </w:rPr>
        <w:t>:</w:t>
      </w:r>
    </w:p>
    <w:p w14:paraId="1C092522" w14:textId="22A5C802" w:rsidR="00DE76A5" w:rsidRPr="00E0783A" w:rsidRDefault="00CC6F06" w:rsidP="00CC6F06">
      <w:pPr>
        <w:pStyle w:val="SingleTxtG"/>
        <w:ind w:left="2250" w:hanging="1116"/>
        <w:rPr>
          <w:lang w:eastAsia="fr-FR"/>
        </w:rPr>
      </w:pPr>
      <w:r w:rsidRPr="00E0783A">
        <w:rPr>
          <w:lang w:eastAsia="fr-FR"/>
        </w:rPr>
        <w:t>"</w:t>
      </w:r>
      <w:r w:rsidR="00DE76A5" w:rsidRPr="00E0783A">
        <w:rPr>
          <w:b/>
          <w:bCs/>
          <w:lang w:eastAsia="fr-FR"/>
        </w:rPr>
        <w:t>5.3.5.</w:t>
      </w:r>
      <w:r w:rsidR="00DE76A5" w:rsidRPr="00E0783A">
        <w:rPr>
          <w:b/>
          <w:bCs/>
          <w:lang w:eastAsia="fr-FR"/>
        </w:rPr>
        <w:tab/>
        <w:t>The combined mass of the test equipment system, the dummy equivalent mass package, and the impact attachment fixture shall be 75.35 +/- 0.10 kg</w:t>
      </w:r>
      <w:r w:rsidR="00DE76A5" w:rsidRPr="00E0783A">
        <w:rPr>
          <w:lang w:eastAsia="fr-FR"/>
        </w:rPr>
        <w:t>.</w:t>
      </w:r>
      <w:r w:rsidRPr="00E0783A">
        <w:rPr>
          <w:lang w:eastAsia="fr-FR"/>
        </w:rPr>
        <w:t>"</w:t>
      </w:r>
    </w:p>
    <w:p w14:paraId="4CF6B012" w14:textId="40A3C4FA" w:rsidR="00B220EF" w:rsidRPr="00E0783A" w:rsidRDefault="009B4822" w:rsidP="00CC6F06">
      <w:pPr>
        <w:pStyle w:val="SingleTxtG"/>
        <w:ind w:left="2250" w:hanging="1116"/>
        <w:rPr>
          <w:bCs/>
          <w:lang w:eastAsia="fr-FR"/>
        </w:rPr>
      </w:pPr>
      <w:r w:rsidRPr="00E0783A">
        <w:rPr>
          <w:bCs/>
          <w:i/>
          <w:lang w:eastAsia="fr-FR"/>
        </w:rPr>
        <w:t>P</w:t>
      </w:r>
      <w:r w:rsidR="00C13E3B" w:rsidRPr="00E0783A">
        <w:rPr>
          <w:bCs/>
          <w:i/>
          <w:lang w:eastAsia="fr-FR"/>
        </w:rPr>
        <w:t xml:space="preserve">aragraph 5.3.5. (former), </w:t>
      </w:r>
      <w:r w:rsidR="00C13E3B" w:rsidRPr="00E0783A">
        <w:rPr>
          <w:bCs/>
          <w:iCs/>
          <w:lang w:eastAsia="fr-FR"/>
        </w:rPr>
        <w:t>renumber as paragraph 5.3.6.</w:t>
      </w:r>
    </w:p>
    <w:p w14:paraId="25E24F09" w14:textId="77777777" w:rsidR="00DE76A5" w:rsidRPr="00E0783A" w:rsidRDefault="00DE76A5" w:rsidP="00DE76A5">
      <w:pPr>
        <w:keepNext/>
        <w:keepLines/>
        <w:tabs>
          <w:tab w:val="right" w:pos="851"/>
        </w:tabs>
        <w:spacing w:before="240" w:after="240" w:line="300" w:lineRule="exact"/>
        <w:ind w:left="1134" w:right="1134" w:hanging="1134"/>
        <w:rPr>
          <w:b/>
          <w:sz w:val="28"/>
          <w:lang w:eastAsia="fr-FR"/>
        </w:rPr>
      </w:pPr>
      <w:r w:rsidRPr="00E0783A">
        <w:rPr>
          <w:b/>
          <w:sz w:val="28"/>
          <w:lang w:eastAsia="fr-FR"/>
        </w:rPr>
        <w:lastRenderedPageBreak/>
        <w:tab/>
        <w:t>II.</w:t>
      </w:r>
      <w:r w:rsidRPr="00E0783A">
        <w:rPr>
          <w:b/>
          <w:sz w:val="28"/>
          <w:lang w:eastAsia="fr-FR"/>
        </w:rPr>
        <w:tab/>
        <w:t xml:space="preserve"> Justification</w:t>
      </w:r>
    </w:p>
    <w:p w14:paraId="4E6156C2" w14:textId="1399971D" w:rsidR="00DE76A5" w:rsidRPr="00E0783A" w:rsidRDefault="00935D19" w:rsidP="00773468">
      <w:pPr>
        <w:pStyle w:val="SingleTxtG"/>
      </w:pPr>
      <w:r w:rsidRPr="00E0783A">
        <w:t>1.</w:t>
      </w:r>
      <w:r w:rsidRPr="00E0783A">
        <w:tab/>
      </w:r>
      <w:r w:rsidR="00DE76A5" w:rsidRPr="00E0783A">
        <w:t xml:space="preserve">This proposal </w:t>
      </w:r>
      <w:r w:rsidR="00E0783A">
        <w:t xml:space="preserve">aims </w:t>
      </w:r>
      <w:r w:rsidR="00DE76A5" w:rsidRPr="00E0783A">
        <w:t xml:space="preserve">to improve the application of Addendum 1 </w:t>
      </w:r>
      <w:r w:rsidR="00E0783A">
        <w:t>of</w:t>
      </w:r>
      <w:r w:rsidR="00E0783A" w:rsidRPr="00E0783A">
        <w:t xml:space="preserve"> </w:t>
      </w:r>
      <w:r w:rsidR="00DE76A5" w:rsidRPr="00E0783A">
        <w:t xml:space="preserve">Mutual Resolution No.1 when used by laboratories to maintain and certify the </w:t>
      </w:r>
      <w:proofErr w:type="spellStart"/>
      <w:r w:rsidR="00DE76A5" w:rsidRPr="00E0783A">
        <w:t>BioRID</w:t>
      </w:r>
      <w:proofErr w:type="spellEnd"/>
      <w:r w:rsidR="00DE76A5" w:rsidRPr="00E0783A">
        <w:t xml:space="preserve">-II UN dummy.  </w:t>
      </w:r>
      <w:r w:rsidR="00F96210">
        <w:t>Q</w:t>
      </w:r>
      <w:r w:rsidR="00DE76A5" w:rsidRPr="00E0783A">
        <w:t xml:space="preserve">uestions </w:t>
      </w:r>
      <w:r w:rsidR="00F96210">
        <w:t xml:space="preserve">are addressed </w:t>
      </w:r>
      <w:r w:rsidR="00DE76A5" w:rsidRPr="00E0783A">
        <w:t xml:space="preserve">that have been raised since the Addendum </w:t>
      </w:r>
      <w:r w:rsidR="00F96210">
        <w:t xml:space="preserve">was issued </w:t>
      </w:r>
      <w:r w:rsidR="00DE76A5" w:rsidRPr="00E0783A">
        <w:t>and seeks to remove interpretation differences that could affect the outcome of dummy calibration.</w:t>
      </w:r>
    </w:p>
    <w:p w14:paraId="074A2D04" w14:textId="5677E2AD" w:rsidR="00DE76A5" w:rsidRPr="00E0783A" w:rsidRDefault="003B4060" w:rsidP="00DE76A5">
      <w:pPr>
        <w:spacing w:after="120"/>
        <w:ind w:left="1134" w:right="1134" w:hanging="21"/>
        <w:jc w:val="both"/>
        <w:rPr>
          <w:bCs/>
          <w:iCs/>
          <w:lang w:eastAsia="fr-FR"/>
        </w:rPr>
      </w:pPr>
      <w:r w:rsidRPr="00E0783A">
        <w:rPr>
          <w:bCs/>
          <w:iCs/>
          <w:lang w:eastAsia="fr-FR"/>
        </w:rPr>
        <w:t>2.</w:t>
      </w:r>
      <w:r w:rsidRPr="00E0783A">
        <w:rPr>
          <w:bCs/>
          <w:iCs/>
          <w:lang w:eastAsia="fr-FR"/>
        </w:rPr>
        <w:tab/>
      </w:r>
      <w:r w:rsidR="00DE76A5" w:rsidRPr="00E0783A">
        <w:rPr>
          <w:bCs/>
          <w:iCs/>
          <w:lang w:eastAsia="fr-FR"/>
        </w:rPr>
        <w:t>Paragraph 1.2.1., Table 1</w:t>
      </w:r>
      <w:r w:rsidR="001A5EAC" w:rsidRPr="00E0783A">
        <w:rPr>
          <w:bCs/>
          <w:iCs/>
          <w:lang w:eastAsia="fr-FR"/>
        </w:rPr>
        <w:t>:</w:t>
      </w:r>
    </w:p>
    <w:p w14:paraId="79A37788" w14:textId="6AC692AC" w:rsidR="00DE76A5" w:rsidRPr="00E0783A" w:rsidRDefault="00DE76A5" w:rsidP="00935D19">
      <w:pPr>
        <w:spacing w:after="120"/>
        <w:ind w:left="1134" w:right="1134" w:hanging="21"/>
        <w:jc w:val="both"/>
        <w:rPr>
          <w:bCs/>
          <w:iCs/>
          <w:lang w:eastAsia="fr-FR"/>
        </w:rPr>
      </w:pPr>
      <w:r w:rsidRPr="00E0783A">
        <w:rPr>
          <w:bCs/>
          <w:iCs/>
          <w:lang w:eastAsia="fr-FR"/>
        </w:rPr>
        <w:t xml:space="preserve">The number of data channels required is related directly to the instrumentation that is installed.  Table 1 includes the required instrumentation and the instrumentation that may be used on an optional basis.  Listing the data channels in Column 5 does not provide any additional information and could cause confusion. </w:t>
      </w:r>
    </w:p>
    <w:p w14:paraId="6425BB1C" w14:textId="59275F17" w:rsidR="00DE76A5" w:rsidRPr="00E0783A" w:rsidRDefault="00EA7061" w:rsidP="00EA7061">
      <w:pPr>
        <w:pStyle w:val="SingleTxtG"/>
        <w:rPr>
          <w:lang w:eastAsia="fr-FR"/>
        </w:rPr>
      </w:pPr>
      <w:r w:rsidRPr="00E0783A">
        <w:rPr>
          <w:lang w:eastAsia="fr-FR"/>
        </w:rPr>
        <w:t>3.</w:t>
      </w:r>
      <w:r w:rsidRPr="00E0783A">
        <w:rPr>
          <w:lang w:eastAsia="fr-FR"/>
        </w:rPr>
        <w:tab/>
      </w:r>
      <w:r w:rsidR="00DE76A5" w:rsidRPr="00E0783A">
        <w:rPr>
          <w:lang w:eastAsia="fr-FR"/>
        </w:rPr>
        <w:t>Annex 1</w:t>
      </w:r>
      <w:bookmarkStart w:id="6" w:name="_Hlk94274534"/>
      <w:r w:rsidRPr="00E0783A">
        <w:rPr>
          <w:lang w:eastAsia="fr-FR"/>
        </w:rPr>
        <w:t xml:space="preserve">, </w:t>
      </w:r>
      <w:r w:rsidR="001A5EAC" w:rsidRPr="00E0783A">
        <w:rPr>
          <w:lang w:eastAsia="fr-FR"/>
        </w:rPr>
        <w:t>p</w:t>
      </w:r>
      <w:r w:rsidR="00DE76A5" w:rsidRPr="00E0783A">
        <w:rPr>
          <w:lang w:eastAsia="fr-FR"/>
        </w:rPr>
        <w:t>aragraph</w:t>
      </w:r>
      <w:r w:rsidR="001A5EAC" w:rsidRPr="00E0783A">
        <w:rPr>
          <w:lang w:eastAsia="fr-FR"/>
        </w:rPr>
        <w:t>s</w:t>
      </w:r>
      <w:r w:rsidR="00DE76A5" w:rsidRPr="00E0783A">
        <w:rPr>
          <w:lang w:eastAsia="fr-FR"/>
        </w:rPr>
        <w:t xml:space="preserve"> 2.2.1.</w:t>
      </w:r>
      <w:r w:rsidR="001A5EAC" w:rsidRPr="00E0783A">
        <w:rPr>
          <w:lang w:eastAsia="fr-FR"/>
        </w:rPr>
        <w:t xml:space="preserve"> and</w:t>
      </w:r>
      <w:r w:rsidR="00DE76A5" w:rsidRPr="00E0783A">
        <w:rPr>
          <w:lang w:eastAsia="fr-FR"/>
        </w:rPr>
        <w:t xml:space="preserve"> 2.2.2., Figure 71, and </w:t>
      </w:r>
      <w:r w:rsidR="001A5EAC" w:rsidRPr="00E0783A">
        <w:rPr>
          <w:lang w:eastAsia="fr-FR"/>
        </w:rPr>
        <w:t>p</w:t>
      </w:r>
      <w:r w:rsidR="00DE76A5" w:rsidRPr="00E0783A">
        <w:rPr>
          <w:lang w:eastAsia="fr-FR"/>
        </w:rPr>
        <w:t>aragraph 2.3.2.</w:t>
      </w:r>
      <w:bookmarkEnd w:id="6"/>
      <w:r w:rsidR="00DE76A5" w:rsidRPr="00E0783A">
        <w:rPr>
          <w:lang w:eastAsia="fr-FR"/>
        </w:rPr>
        <w:t>:</w:t>
      </w:r>
    </w:p>
    <w:p w14:paraId="7B72FFB6" w14:textId="0BACB312" w:rsidR="00DE76A5" w:rsidRPr="00E0783A" w:rsidRDefault="00DE76A5" w:rsidP="00935D19">
      <w:pPr>
        <w:spacing w:after="120"/>
        <w:ind w:left="1134" w:right="1134" w:hanging="21"/>
        <w:jc w:val="both"/>
        <w:rPr>
          <w:iCs/>
          <w:lang w:eastAsia="fr-FR"/>
        </w:rPr>
      </w:pPr>
      <w:r w:rsidRPr="00E0783A">
        <w:rPr>
          <w:iCs/>
          <w:lang w:eastAsia="fr-FR"/>
        </w:rPr>
        <w:t xml:space="preserve">The work of the GTR7 Informal Working Group and the GTR7 TEG, established that the accuracy, repeatability, and reproducibility of the </w:t>
      </w:r>
      <w:proofErr w:type="spellStart"/>
      <w:r w:rsidRPr="00E0783A">
        <w:rPr>
          <w:iCs/>
          <w:lang w:eastAsia="fr-FR"/>
        </w:rPr>
        <w:t>BioRID</w:t>
      </w:r>
      <w:proofErr w:type="spellEnd"/>
      <w:r w:rsidRPr="00E0783A">
        <w:rPr>
          <w:iCs/>
          <w:lang w:eastAsia="fr-FR"/>
        </w:rPr>
        <w:t xml:space="preserve">-II UN dummy could be affected negatively if accelerometers were fitted to the cervical spine (C1 to C7).  However, the acceleration of the lower neck could be assessed by the installation of accelerometers on the T1 vertebrae.  These amendments remove the opportunity for misunderstanding of the accelerometer installation requirements. </w:t>
      </w:r>
    </w:p>
    <w:p w14:paraId="099D0A17" w14:textId="3A3EE273" w:rsidR="00DE76A5" w:rsidRPr="00E0783A" w:rsidRDefault="001A5EAC" w:rsidP="001A5EAC">
      <w:pPr>
        <w:spacing w:after="120"/>
        <w:ind w:right="1134" w:firstLine="1134"/>
        <w:jc w:val="both"/>
        <w:rPr>
          <w:iCs/>
          <w:lang w:eastAsia="fr-FR"/>
        </w:rPr>
      </w:pPr>
      <w:r w:rsidRPr="00E0783A">
        <w:rPr>
          <w:iCs/>
          <w:lang w:eastAsia="fr-FR"/>
        </w:rPr>
        <w:t>4.</w:t>
      </w:r>
      <w:r w:rsidRPr="00E0783A">
        <w:rPr>
          <w:iCs/>
          <w:lang w:eastAsia="fr-FR"/>
        </w:rPr>
        <w:tab/>
      </w:r>
      <w:r w:rsidR="00DE76A5" w:rsidRPr="00E0783A">
        <w:rPr>
          <w:iCs/>
          <w:lang w:eastAsia="fr-FR"/>
        </w:rPr>
        <w:t xml:space="preserve">Annex 3, </w:t>
      </w:r>
      <w:r w:rsidRPr="00E0783A">
        <w:rPr>
          <w:iCs/>
        </w:rPr>
        <w:t>p</w:t>
      </w:r>
      <w:r w:rsidR="00DE76A5" w:rsidRPr="00E0783A">
        <w:rPr>
          <w:iCs/>
        </w:rPr>
        <w:t>aragraph 4.3.6.</w:t>
      </w:r>
      <w:r w:rsidR="00773468" w:rsidRPr="00E0783A">
        <w:rPr>
          <w:iCs/>
        </w:rPr>
        <w:t>:</w:t>
      </w:r>
    </w:p>
    <w:p w14:paraId="4A8A0D48" w14:textId="5F94200A" w:rsidR="00DE76A5" w:rsidRPr="00E0783A" w:rsidRDefault="00DE76A5" w:rsidP="00773468">
      <w:pPr>
        <w:pStyle w:val="SingleTxtG"/>
      </w:pPr>
      <w:r w:rsidRPr="00E0783A">
        <w:t xml:space="preserve">In error, square brackets remained at the end of this paragraph in the text submitted to GRSP and WP.29.  This amendment removes the square brackets and refines the text.  </w:t>
      </w:r>
    </w:p>
    <w:p w14:paraId="2D2C537B" w14:textId="6164E479" w:rsidR="00DE76A5" w:rsidRPr="00E0783A" w:rsidRDefault="00773468" w:rsidP="00DE76A5">
      <w:pPr>
        <w:spacing w:after="160" w:line="259" w:lineRule="auto"/>
        <w:ind w:left="1134"/>
        <w:rPr>
          <w:iCs/>
          <w:lang w:eastAsia="fr-FR"/>
        </w:rPr>
      </w:pPr>
      <w:r w:rsidRPr="00E0783A">
        <w:rPr>
          <w:iCs/>
          <w:lang w:eastAsia="fr-FR"/>
        </w:rPr>
        <w:t>5.</w:t>
      </w:r>
      <w:r w:rsidRPr="00E0783A">
        <w:rPr>
          <w:iCs/>
          <w:lang w:eastAsia="fr-FR"/>
        </w:rPr>
        <w:tab/>
      </w:r>
      <w:r w:rsidR="00DE76A5" w:rsidRPr="00E0783A">
        <w:rPr>
          <w:iCs/>
          <w:lang w:eastAsia="fr-FR"/>
        </w:rPr>
        <w:t>Paragraph 5.3.1. and new paragraph 5.3.5</w:t>
      </w:r>
      <w:r w:rsidRPr="00E0783A">
        <w:rPr>
          <w:iCs/>
          <w:lang w:eastAsia="fr-FR"/>
        </w:rPr>
        <w:t>.:</w:t>
      </w:r>
    </w:p>
    <w:p w14:paraId="36A44BFA" w14:textId="4152C1E1" w:rsidR="00DE76A5" w:rsidRPr="00E0783A" w:rsidRDefault="00DE76A5" w:rsidP="00773468">
      <w:pPr>
        <w:pStyle w:val="SingleTxtG"/>
        <w:rPr>
          <w:lang w:eastAsia="fr-FR"/>
        </w:rPr>
      </w:pPr>
      <w:r w:rsidRPr="00E0783A">
        <w:rPr>
          <w:lang w:eastAsia="fr-FR"/>
        </w:rPr>
        <w:t xml:space="preserve">The absence of the upper torso during the certification of the lower torso impacts on the inertia of the sled system.  To compensate it is necessary to install the dummy equivalent mass package used during the validation test of the sled system.  The amendment to paragraph 5.3.1. makes this clear while the provision of a mass value for the combination of the test equipment, the dummy equivalent mass package, and the impact fixture in new paragraph 5.3.5. improves the uniformity of test conditions.  </w:t>
      </w:r>
    </w:p>
    <w:p w14:paraId="58037AD4" w14:textId="26D7BFB6" w:rsidR="00DE76A5" w:rsidRPr="00E0783A" w:rsidRDefault="00773468" w:rsidP="00773468">
      <w:pPr>
        <w:pStyle w:val="SingleTxtG"/>
      </w:pPr>
      <w:r w:rsidRPr="00E0783A">
        <w:t>6.</w:t>
      </w:r>
      <w:r w:rsidRPr="00E0783A">
        <w:tab/>
      </w:r>
      <w:r w:rsidR="00DE76A5" w:rsidRPr="00E0783A">
        <w:t>Paragraph 5.3.4</w:t>
      </w:r>
      <w:r w:rsidRPr="00E0783A">
        <w:t>.:</w:t>
      </w:r>
    </w:p>
    <w:p w14:paraId="188BFC06" w14:textId="6BB42364" w:rsidR="00DE76A5" w:rsidRPr="00E0783A" w:rsidRDefault="00DE76A5" w:rsidP="00773468">
      <w:pPr>
        <w:pStyle w:val="SingleTxtG"/>
      </w:pPr>
      <w:r w:rsidRPr="00E0783A">
        <w:t xml:space="preserve">This clarifies the text to ensure that it is understood that the assembly </w:t>
      </w:r>
      <w:r w:rsidR="00F96210" w:rsidRPr="00E0783A">
        <w:t>refer</w:t>
      </w:r>
      <w:r w:rsidR="00F96210">
        <w:t xml:space="preserve">s </w:t>
      </w:r>
      <w:r w:rsidRPr="00E0783A">
        <w:t>to the pelvis assembly.</w:t>
      </w:r>
    </w:p>
    <w:p w14:paraId="4D501FF6" w14:textId="77777777" w:rsidR="00DE76A5" w:rsidRPr="00E0783A" w:rsidRDefault="00DE76A5" w:rsidP="00DE76A5">
      <w:pPr>
        <w:spacing w:before="240"/>
        <w:jc w:val="center"/>
      </w:pPr>
      <w:r w:rsidRPr="00E0783A">
        <w:rPr>
          <w:u w:val="single"/>
          <w:lang w:eastAsia="fr-FR"/>
        </w:rPr>
        <w:tab/>
      </w:r>
      <w:r w:rsidRPr="00E0783A">
        <w:rPr>
          <w:u w:val="single"/>
          <w:lang w:eastAsia="fr-FR"/>
        </w:rPr>
        <w:tab/>
      </w:r>
      <w:r w:rsidRPr="00E0783A">
        <w:rPr>
          <w:u w:val="single"/>
          <w:lang w:eastAsia="fr-FR"/>
        </w:rPr>
        <w:tab/>
      </w:r>
    </w:p>
    <w:p w14:paraId="49991FD7" w14:textId="62D66866" w:rsidR="008844A4" w:rsidRPr="00E0783A" w:rsidRDefault="008844A4" w:rsidP="00DE76A5">
      <w:pPr>
        <w:spacing w:after="120"/>
        <w:ind w:left="1134" w:right="1134"/>
        <w:jc w:val="both"/>
        <w:rPr>
          <w:u w:val="single"/>
        </w:rPr>
      </w:pPr>
    </w:p>
    <w:sectPr w:rsidR="008844A4" w:rsidRPr="00E0783A" w:rsidSect="005D5FCC">
      <w:headerReference w:type="even" r:id="rId12"/>
      <w:headerReference w:type="default" r:id="rId13"/>
      <w:footerReference w:type="even" r:id="rId14"/>
      <w:footerReference w:type="defaul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8169" w14:textId="77777777" w:rsidR="008F3A2D" w:rsidRDefault="008F3A2D" w:rsidP="00203C11">
      <w:pPr>
        <w:spacing w:line="240" w:lineRule="auto"/>
      </w:pPr>
      <w:r>
        <w:separator/>
      </w:r>
    </w:p>
  </w:endnote>
  <w:endnote w:type="continuationSeparator" w:id="0">
    <w:p w14:paraId="40881415" w14:textId="77777777" w:rsidR="008F3A2D" w:rsidRDefault="008F3A2D" w:rsidP="00203C11">
      <w:pPr>
        <w:spacing w:line="240" w:lineRule="auto"/>
      </w:pPr>
      <w:r>
        <w:continuationSeparator/>
      </w:r>
    </w:p>
  </w:endnote>
  <w:endnote w:type="continuationNotice" w:id="1">
    <w:p w14:paraId="5AF46054" w14:textId="77777777" w:rsidR="008F3A2D" w:rsidRDefault="008F3A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D38F" w14:textId="3A306CAC" w:rsidR="0015307E" w:rsidRPr="005D5FCC" w:rsidRDefault="005D5FCC" w:rsidP="005D5FC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54F5" w14:textId="410098CD" w:rsidR="0015307E" w:rsidRPr="005D5FCC" w:rsidRDefault="005D5FCC" w:rsidP="005D5FCC">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FD8B" w14:textId="73FDD138" w:rsidR="00CF7284" w:rsidRDefault="00CF7284" w:rsidP="00CF7284">
    <w:pPr>
      <w:pStyle w:val="Footer"/>
    </w:pPr>
    <w:r w:rsidRPr="0027112F">
      <w:rPr>
        <w:noProof/>
        <w:lang w:val="en-US"/>
      </w:rPr>
      <w:drawing>
        <wp:anchor distT="0" distB="0" distL="114300" distR="114300" simplePos="0" relativeHeight="251659264" behindDoc="0" locked="1" layoutInCell="1" allowOverlap="1" wp14:anchorId="1F291AAE" wp14:editId="06F1595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505763" w14:textId="5216C314" w:rsidR="00CF7284" w:rsidRPr="00CF7284" w:rsidRDefault="00CF7284" w:rsidP="00CF7284">
    <w:pPr>
      <w:pStyle w:val="Footer"/>
      <w:ind w:right="1134"/>
      <w:rPr>
        <w:sz w:val="20"/>
      </w:rPr>
    </w:pPr>
    <w:r>
      <w:rPr>
        <w:sz w:val="20"/>
      </w:rPr>
      <w:t>GE.22-02299(E)</w:t>
    </w:r>
    <w:r>
      <w:rPr>
        <w:noProof/>
        <w:sz w:val="20"/>
      </w:rPr>
      <w:drawing>
        <wp:anchor distT="0" distB="0" distL="114300" distR="114300" simplePos="0" relativeHeight="251660288" behindDoc="0" locked="0" layoutInCell="1" allowOverlap="1" wp14:anchorId="6B2A25D6" wp14:editId="11421D3D">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A6A37" w14:textId="77777777" w:rsidR="008F3A2D" w:rsidRPr="00E378AC" w:rsidRDefault="008F3A2D" w:rsidP="00E378AC">
      <w:pPr>
        <w:tabs>
          <w:tab w:val="right" w:pos="2155"/>
        </w:tabs>
        <w:spacing w:after="80"/>
        <w:ind w:left="680"/>
        <w:rPr>
          <w:u w:val="single"/>
        </w:rPr>
      </w:pPr>
      <w:r>
        <w:rPr>
          <w:u w:val="single"/>
        </w:rPr>
        <w:tab/>
      </w:r>
    </w:p>
  </w:footnote>
  <w:footnote w:type="continuationSeparator" w:id="0">
    <w:p w14:paraId="225C414F" w14:textId="77777777" w:rsidR="008F3A2D" w:rsidRDefault="008F3A2D">
      <w:r>
        <w:continuationSeparator/>
      </w:r>
    </w:p>
  </w:footnote>
  <w:footnote w:type="continuationNotice" w:id="1">
    <w:p w14:paraId="2D7294AF" w14:textId="77777777" w:rsidR="008F3A2D" w:rsidRDefault="008F3A2D">
      <w:pPr>
        <w:spacing w:line="240" w:lineRule="auto"/>
      </w:pPr>
    </w:p>
  </w:footnote>
  <w:footnote w:id="2">
    <w:p w14:paraId="21EB5ECD" w14:textId="451BB860" w:rsidR="002E5C78" w:rsidRPr="002232AF" w:rsidRDefault="002E5C78" w:rsidP="0015307E">
      <w:pPr>
        <w:pStyle w:val="FootnoteText"/>
        <w:tabs>
          <w:tab w:val="right" w:pos="1021"/>
        </w:tabs>
        <w:spacing w:line="220" w:lineRule="exact"/>
        <w:ind w:left="1134" w:right="1134" w:hanging="1134"/>
        <w:rPr>
          <w:lang w:val="en-US"/>
        </w:rPr>
      </w:pPr>
      <w:r>
        <w:tab/>
      </w:r>
      <w:r w:rsidRPr="002232AF">
        <w:rPr>
          <w:rStyle w:val="FootnoteReference"/>
          <w:lang w:val="en-US"/>
        </w:rPr>
        <w:t>*</w:t>
      </w:r>
      <w:r w:rsidR="0015307E">
        <w:rPr>
          <w:rStyle w:val="FootnoteReference"/>
          <w:lang w:val="en-US"/>
        </w:rPr>
        <w:tab/>
      </w:r>
      <w:r w:rsidR="00A75FE0" w:rsidRPr="00A75FE0">
        <w:rPr>
          <w:rStyle w:val="FootnoteReference"/>
          <w:szCs w:val="18"/>
          <w:vertAlign w:val="baseline"/>
          <w:lang w:eastAsia="fr-FR"/>
        </w:rPr>
        <w:t>In accordance with the programme of work of the Inland Transport Committee for 2022 as outlined in proposed programme budget for 2022 (A/76/6 (part V</w:t>
      </w:r>
      <w:r w:rsidR="00160612">
        <w:rPr>
          <w:szCs w:val="18"/>
          <w:lang w:eastAsia="fr-FR"/>
        </w:rPr>
        <w:t>,</w:t>
      </w:r>
      <w:r w:rsidR="00A75FE0" w:rsidRPr="00A75FE0">
        <w:rPr>
          <w:rStyle w:val="FootnoteReference"/>
          <w:szCs w:val="18"/>
          <w:vertAlign w:val="baseline"/>
          <w:lang w:eastAsia="fr-FR"/>
        </w:rPr>
        <w:t xml:space="preserve"> sect. 20)</w:t>
      </w:r>
      <w:r w:rsidR="00F96210">
        <w:rPr>
          <w:szCs w:val="18"/>
          <w:lang w:eastAsia="fr-FR"/>
        </w:rPr>
        <w:t>,</w:t>
      </w:r>
      <w:r w:rsidR="00A75FE0" w:rsidRPr="00A75FE0">
        <w:rPr>
          <w:rStyle w:val="FootnoteReference"/>
          <w:szCs w:val="18"/>
          <w:vertAlign w:val="baseline"/>
          <w:lang w:eastAsia="fr-FR"/>
        </w:rPr>
        <w:t xml:space="preserve"> para</w:t>
      </w:r>
      <w:r w:rsidR="00160612">
        <w:rPr>
          <w:szCs w:val="18"/>
          <w:lang w:eastAsia="fr-FR"/>
        </w:rPr>
        <w:t>.</w:t>
      </w:r>
      <w:r w:rsidR="00A75FE0" w:rsidRPr="00A75FE0">
        <w:rPr>
          <w:rStyle w:val="FootnoteReference"/>
          <w:szCs w:val="18"/>
          <w:vertAlign w:val="baseline"/>
          <w:lang w:eastAsia="fr-FR"/>
        </w:rPr>
        <w:t xml:space="preserve">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D26F" w14:textId="61D690CD" w:rsidR="00C97203" w:rsidRDefault="00C97203" w:rsidP="0040340A">
    <w:pPr>
      <w:pStyle w:val="Header"/>
    </w:pPr>
    <w:r>
      <w:t>ECE/TRANS/WP.29/GRS</w:t>
    </w:r>
    <w:r w:rsidR="00DE76A5">
      <w:t>P</w:t>
    </w:r>
    <w:r>
      <w:t>/</w:t>
    </w:r>
    <w:r w:rsidRPr="00DF418A">
      <w:t>20</w:t>
    </w:r>
    <w:r>
      <w:t>2</w:t>
    </w:r>
    <w:r w:rsidR="00961963">
      <w:t>2</w:t>
    </w:r>
    <w:r w:rsidRPr="00340A6E">
      <w:t>/</w:t>
    </w:r>
    <w:r w:rsidR="00DE76A5">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23959007" w:rsidR="00606343" w:rsidRDefault="00606343" w:rsidP="009523F1">
    <w:pPr>
      <w:pStyle w:val="Header"/>
      <w:jc w:val="right"/>
    </w:pPr>
    <w:r>
      <w:t>ECE/TRANS/WP.29/GRS</w:t>
    </w:r>
    <w:r w:rsidR="00DE76A5">
      <w:t>P</w:t>
    </w:r>
    <w:r>
      <w:t>/</w:t>
    </w:r>
    <w:r w:rsidRPr="00DF418A">
      <w:t>20</w:t>
    </w:r>
    <w:r>
      <w:t>2</w:t>
    </w:r>
    <w:r w:rsidR="00B67438">
      <w:t>2/</w:t>
    </w:r>
    <w:r w:rsidR="00DE76A5">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0D0541E"/>
    <w:multiLevelType w:val="hybridMultilevel"/>
    <w:tmpl w:val="87CC4768"/>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2" w15:restartNumberingAfterBreak="0">
    <w:nsid w:val="03DA0437"/>
    <w:multiLevelType w:val="hybridMultilevel"/>
    <w:tmpl w:val="69E87E60"/>
    <w:lvl w:ilvl="0" w:tplc="20A6EF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4"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F6E2E70"/>
    <w:multiLevelType w:val="hybridMultilevel"/>
    <w:tmpl w:val="9F3C4A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21"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2"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5"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7"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7225811"/>
    <w:multiLevelType w:val="hybridMultilevel"/>
    <w:tmpl w:val="09685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30"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5"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6"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7" w15:restartNumberingAfterBreak="0">
    <w:nsid w:val="7FCF6A9F"/>
    <w:multiLevelType w:val="hybridMultilevel"/>
    <w:tmpl w:val="AC7453FA"/>
    <w:lvl w:ilvl="0" w:tplc="22BE32EE">
      <w:start w:val="1"/>
      <w:numFmt w:val="decimal"/>
      <w:lvlText w:val="%1."/>
      <w:lvlJc w:val="left"/>
      <w:pPr>
        <w:ind w:left="1494" w:hanging="360"/>
      </w:pPr>
      <w:rPr>
        <w:rFonts w:hint="default"/>
        <w:b w:val="0"/>
        <w:bCs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35"/>
  </w:num>
  <w:num w:numId="23">
    <w:abstractNumId w:val="22"/>
  </w:num>
  <w:num w:numId="24">
    <w:abstractNumId w:val="33"/>
  </w:num>
  <w:num w:numId="25">
    <w:abstractNumId w:val="32"/>
  </w:num>
  <w:num w:numId="26">
    <w:abstractNumId w:val="18"/>
  </w:num>
  <w:num w:numId="27">
    <w:abstractNumId w:val="27"/>
  </w:num>
  <w:num w:numId="28">
    <w:abstractNumId w:val="21"/>
  </w:num>
  <w:num w:numId="29">
    <w:abstractNumId w:val="24"/>
  </w:num>
  <w:num w:numId="30">
    <w:abstractNumId w:val="20"/>
  </w:num>
  <w:num w:numId="31">
    <w:abstractNumId w:val="25"/>
  </w:num>
  <w:num w:numId="32">
    <w:abstractNumId w:val="13"/>
  </w:num>
  <w:num w:numId="33">
    <w:abstractNumId w:val="17"/>
  </w:num>
  <w:num w:numId="34">
    <w:abstractNumId w:val="26"/>
  </w:num>
  <w:num w:numId="35">
    <w:abstractNumId w:val="29"/>
  </w:num>
  <w:num w:numId="36">
    <w:abstractNumId w:val="16"/>
  </w:num>
  <w:num w:numId="37">
    <w:abstractNumId w:val="34"/>
  </w:num>
  <w:num w:numId="38">
    <w:abstractNumId w:val="31"/>
  </w:num>
  <w:num w:numId="39">
    <w:abstractNumId w:val="36"/>
  </w:num>
  <w:num w:numId="40">
    <w:abstractNumId w:val="30"/>
  </w:num>
  <w:num w:numId="41">
    <w:abstractNumId w:val="10"/>
  </w:num>
  <w:num w:numId="42">
    <w:abstractNumId w:val="23"/>
  </w:num>
  <w:num w:numId="43">
    <w:abstractNumId w:val="14"/>
  </w:num>
  <w:num w:numId="44">
    <w:abstractNumId w:val="19"/>
  </w:num>
  <w:num w:numId="45">
    <w:abstractNumId w:val="11"/>
  </w:num>
  <w:num w:numId="46">
    <w:abstractNumId w:val="12"/>
  </w:num>
  <w:num w:numId="47">
    <w:abstractNumId w:val="2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567"/>
  <w:hyphenationZone w:val="425"/>
  <w:evenAndOddHeaders/>
  <w:characterSpacingControl w:val="doNotCompress"/>
  <w:hdrShapeDefaults>
    <o:shapedefaults v:ext="edit" spidmax="4098"/>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6885"/>
    <w:rsid w:val="000107D8"/>
    <w:rsid w:val="00013969"/>
    <w:rsid w:val="000147BA"/>
    <w:rsid w:val="00025824"/>
    <w:rsid w:val="00025CF8"/>
    <w:rsid w:val="000275C3"/>
    <w:rsid w:val="00027C73"/>
    <w:rsid w:val="00030BDF"/>
    <w:rsid w:val="0004534F"/>
    <w:rsid w:val="00047B49"/>
    <w:rsid w:val="00055423"/>
    <w:rsid w:val="00055BB3"/>
    <w:rsid w:val="00056C1D"/>
    <w:rsid w:val="00056FD9"/>
    <w:rsid w:val="0005715A"/>
    <w:rsid w:val="00061BB4"/>
    <w:rsid w:val="00065893"/>
    <w:rsid w:val="00066516"/>
    <w:rsid w:val="00066E26"/>
    <w:rsid w:val="0006705C"/>
    <w:rsid w:val="00071B9F"/>
    <w:rsid w:val="00081E82"/>
    <w:rsid w:val="000909E6"/>
    <w:rsid w:val="000A219B"/>
    <w:rsid w:val="000A4AB0"/>
    <w:rsid w:val="000A5A19"/>
    <w:rsid w:val="000C14DA"/>
    <w:rsid w:val="000C296F"/>
    <w:rsid w:val="000C356D"/>
    <w:rsid w:val="000C378C"/>
    <w:rsid w:val="000C5542"/>
    <w:rsid w:val="000C55C9"/>
    <w:rsid w:val="000C75E6"/>
    <w:rsid w:val="000D367D"/>
    <w:rsid w:val="000D3B90"/>
    <w:rsid w:val="000D770F"/>
    <w:rsid w:val="000E252E"/>
    <w:rsid w:val="000F23A7"/>
    <w:rsid w:val="000F3410"/>
    <w:rsid w:val="000F5B80"/>
    <w:rsid w:val="00101BEF"/>
    <w:rsid w:val="0011327F"/>
    <w:rsid w:val="00113BA0"/>
    <w:rsid w:val="00114035"/>
    <w:rsid w:val="001276F6"/>
    <w:rsid w:val="001309F4"/>
    <w:rsid w:val="00131CD7"/>
    <w:rsid w:val="00136B61"/>
    <w:rsid w:val="00151208"/>
    <w:rsid w:val="0015307E"/>
    <w:rsid w:val="00156754"/>
    <w:rsid w:val="00160612"/>
    <w:rsid w:val="001641E8"/>
    <w:rsid w:val="0017097E"/>
    <w:rsid w:val="00170E8B"/>
    <w:rsid w:val="00171B7D"/>
    <w:rsid w:val="00174CAC"/>
    <w:rsid w:val="00175C7A"/>
    <w:rsid w:val="0018003B"/>
    <w:rsid w:val="00180A87"/>
    <w:rsid w:val="00183F4A"/>
    <w:rsid w:val="00185078"/>
    <w:rsid w:val="00185EF1"/>
    <w:rsid w:val="001939AF"/>
    <w:rsid w:val="00195EB5"/>
    <w:rsid w:val="00197A14"/>
    <w:rsid w:val="00197AED"/>
    <w:rsid w:val="001A5BC6"/>
    <w:rsid w:val="001A5EAC"/>
    <w:rsid w:val="001B5B00"/>
    <w:rsid w:val="001C03BD"/>
    <w:rsid w:val="001C078B"/>
    <w:rsid w:val="001C6D04"/>
    <w:rsid w:val="001C7DCD"/>
    <w:rsid w:val="001D0DAC"/>
    <w:rsid w:val="001D6C5C"/>
    <w:rsid w:val="001E46F5"/>
    <w:rsid w:val="001E50C1"/>
    <w:rsid w:val="001F1DCE"/>
    <w:rsid w:val="001F27DC"/>
    <w:rsid w:val="001F3190"/>
    <w:rsid w:val="001F686C"/>
    <w:rsid w:val="00203BAB"/>
    <w:rsid w:val="00203C11"/>
    <w:rsid w:val="002062CC"/>
    <w:rsid w:val="00207ABC"/>
    <w:rsid w:val="00214421"/>
    <w:rsid w:val="0021468D"/>
    <w:rsid w:val="002162C4"/>
    <w:rsid w:val="00216BF2"/>
    <w:rsid w:val="00222D9F"/>
    <w:rsid w:val="00223E27"/>
    <w:rsid w:val="002275AC"/>
    <w:rsid w:val="00233338"/>
    <w:rsid w:val="00240BF2"/>
    <w:rsid w:val="00242021"/>
    <w:rsid w:val="00243717"/>
    <w:rsid w:val="00244EF5"/>
    <w:rsid w:val="002474FC"/>
    <w:rsid w:val="00254D5C"/>
    <w:rsid w:val="00255851"/>
    <w:rsid w:val="00255A96"/>
    <w:rsid w:val="00257A4D"/>
    <w:rsid w:val="0026089A"/>
    <w:rsid w:val="00265779"/>
    <w:rsid w:val="002678A1"/>
    <w:rsid w:val="0027182B"/>
    <w:rsid w:val="00272D1C"/>
    <w:rsid w:val="00274F04"/>
    <w:rsid w:val="0027542D"/>
    <w:rsid w:val="00275876"/>
    <w:rsid w:val="00287325"/>
    <w:rsid w:val="002879CA"/>
    <w:rsid w:val="00294BD9"/>
    <w:rsid w:val="002A1F08"/>
    <w:rsid w:val="002A3D81"/>
    <w:rsid w:val="002B3BEA"/>
    <w:rsid w:val="002B4811"/>
    <w:rsid w:val="002C25DD"/>
    <w:rsid w:val="002C4039"/>
    <w:rsid w:val="002D24E5"/>
    <w:rsid w:val="002E1A58"/>
    <w:rsid w:val="002E2178"/>
    <w:rsid w:val="002E3A07"/>
    <w:rsid w:val="002E5A67"/>
    <w:rsid w:val="002E5C78"/>
    <w:rsid w:val="002E6B62"/>
    <w:rsid w:val="002E7E05"/>
    <w:rsid w:val="002F2746"/>
    <w:rsid w:val="002F3331"/>
    <w:rsid w:val="00304786"/>
    <w:rsid w:val="00314FE6"/>
    <w:rsid w:val="00326716"/>
    <w:rsid w:val="00326F61"/>
    <w:rsid w:val="003312EA"/>
    <w:rsid w:val="003328F3"/>
    <w:rsid w:val="00340A6E"/>
    <w:rsid w:val="00343F08"/>
    <w:rsid w:val="00345DAB"/>
    <w:rsid w:val="00351879"/>
    <w:rsid w:val="00356CD9"/>
    <w:rsid w:val="003608D3"/>
    <w:rsid w:val="00363633"/>
    <w:rsid w:val="00363C7A"/>
    <w:rsid w:val="00371368"/>
    <w:rsid w:val="00373B86"/>
    <w:rsid w:val="00374D87"/>
    <w:rsid w:val="003773EE"/>
    <w:rsid w:val="00384A7B"/>
    <w:rsid w:val="00386259"/>
    <w:rsid w:val="00393BA6"/>
    <w:rsid w:val="0039598B"/>
    <w:rsid w:val="00395AF4"/>
    <w:rsid w:val="00397754"/>
    <w:rsid w:val="003A0316"/>
    <w:rsid w:val="003A1CE8"/>
    <w:rsid w:val="003A4A40"/>
    <w:rsid w:val="003A7642"/>
    <w:rsid w:val="003B4060"/>
    <w:rsid w:val="003C353E"/>
    <w:rsid w:val="003C57CC"/>
    <w:rsid w:val="003C7D56"/>
    <w:rsid w:val="003D1828"/>
    <w:rsid w:val="003D255A"/>
    <w:rsid w:val="003D6B37"/>
    <w:rsid w:val="003E3C27"/>
    <w:rsid w:val="003E46C0"/>
    <w:rsid w:val="003F1C1D"/>
    <w:rsid w:val="003F4FF0"/>
    <w:rsid w:val="003F73BE"/>
    <w:rsid w:val="0040340A"/>
    <w:rsid w:val="00406B7F"/>
    <w:rsid w:val="00411471"/>
    <w:rsid w:val="00411DA6"/>
    <w:rsid w:val="004120B4"/>
    <w:rsid w:val="00416C08"/>
    <w:rsid w:val="0042091C"/>
    <w:rsid w:val="00422D2C"/>
    <w:rsid w:val="0043310C"/>
    <w:rsid w:val="0043667A"/>
    <w:rsid w:val="00436A7E"/>
    <w:rsid w:val="00443DCE"/>
    <w:rsid w:val="00444F7B"/>
    <w:rsid w:val="00454729"/>
    <w:rsid w:val="00455C29"/>
    <w:rsid w:val="00461D8F"/>
    <w:rsid w:val="00465AA8"/>
    <w:rsid w:val="00466E57"/>
    <w:rsid w:val="00480734"/>
    <w:rsid w:val="00481CF9"/>
    <w:rsid w:val="00483CA9"/>
    <w:rsid w:val="004903E4"/>
    <w:rsid w:val="00491801"/>
    <w:rsid w:val="00494903"/>
    <w:rsid w:val="0049506D"/>
    <w:rsid w:val="004A24A0"/>
    <w:rsid w:val="004A29E9"/>
    <w:rsid w:val="004A408F"/>
    <w:rsid w:val="004B6088"/>
    <w:rsid w:val="004C01D3"/>
    <w:rsid w:val="004C5A80"/>
    <w:rsid w:val="004C6E03"/>
    <w:rsid w:val="004C7EC4"/>
    <w:rsid w:val="004D0240"/>
    <w:rsid w:val="004D4317"/>
    <w:rsid w:val="004D5A4F"/>
    <w:rsid w:val="004E1C7E"/>
    <w:rsid w:val="004E39C6"/>
    <w:rsid w:val="004E652D"/>
    <w:rsid w:val="004E6FBC"/>
    <w:rsid w:val="004F22CA"/>
    <w:rsid w:val="004F3F2B"/>
    <w:rsid w:val="00502847"/>
    <w:rsid w:val="0052164E"/>
    <w:rsid w:val="00541748"/>
    <w:rsid w:val="00544A41"/>
    <w:rsid w:val="005454A9"/>
    <w:rsid w:val="00547077"/>
    <w:rsid w:val="00550C86"/>
    <w:rsid w:val="00573993"/>
    <w:rsid w:val="005762BC"/>
    <w:rsid w:val="0058447D"/>
    <w:rsid w:val="00591BCB"/>
    <w:rsid w:val="00592DED"/>
    <w:rsid w:val="00594739"/>
    <w:rsid w:val="00597290"/>
    <w:rsid w:val="005A393A"/>
    <w:rsid w:val="005A39FD"/>
    <w:rsid w:val="005A6C69"/>
    <w:rsid w:val="005B3E3F"/>
    <w:rsid w:val="005B6EDF"/>
    <w:rsid w:val="005C42EE"/>
    <w:rsid w:val="005C7785"/>
    <w:rsid w:val="005D37CC"/>
    <w:rsid w:val="005D5BEA"/>
    <w:rsid w:val="005D5FCC"/>
    <w:rsid w:val="005D61F3"/>
    <w:rsid w:val="005D7424"/>
    <w:rsid w:val="005E44E3"/>
    <w:rsid w:val="005E67DA"/>
    <w:rsid w:val="005E6B66"/>
    <w:rsid w:val="005F033E"/>
    <w:rsid w:val="005F3478"/>
    <w:rsid w:val="006007D4"/>
    <w:rsid w:val="00602464"/>
    <w:rsid w:val="006029C0"/>
    <w:rsid w:val="006031B3"/>
    <w:rsid w:val="00603C4F"/>
    <w:rsid w:val="00605F2E"/>
    <w:rsid w:val="00606343"/>
    <w:rsid w:val="0062076E"/>
    <w:rsid w:val="0062437F"/>
    <w:rsid w:val="00627026"/>
    <w:rsid w:val="006321A9"/>
    <w:rsid w:val="00636798"/>
    <w:rsid w:val="00640077"/>
    <w:rsid w:val="006515E1"/>
    <w:rsid w:val="006529E1"/>
    <w:rsid w:val="00671520"/>
    <w:rsid w:val="0067219D"/>
    <w:rsid w:val="00674FD8"/>
    <w:rsid w:val="006826CF"/>
    <w:rsid w:val="00682D92"/>
    <w:rsid w:val="00686461"/>
    <w:rsid w:val="00690010"/>
    <w:rsid w:val="00690B75"/>
    <w:rsid w:val="00692477"/>
    <w:rsid w:val="006A2B1F"/>
    <w:rsid w:val="006A32EF"/>
    <w:rsid w:val="006A4BE0"/>
    <w:rsid w:val="006A5887"/>
    <w:rsid w:val="006A6E19"/>
    <w:rsid w:val="006B40F3"/>
    <w:rsid w:val="006C2F16"/>
    <w:rsid w:val="006C3F6D"/>
    <w:rsid w:val="006D2F82"/>
    <w:rsid w:val="006D5034"/>
    <w:rsid w:val="006D61D7"/>
    <w:rsid w:val="006E2687"/>
    <w:rsid w:val="006E7A14"/>
    <w:rsid w:val="006F13D9"/>
    <w:rsid w:val="006F2B2E"/>
    <w:rsid w:val="006F4C48"/>
    <w:rsid w:val="006F6664"/>
    <w:rsid w:val="00715B05"/>
    <w:rsid w:val="00717515"/>
    <w:rsid w:val="00717F9C"/>
    <w:rsid w:val="00722DFF"/>
    <w:rsid w:val="00731911"/>
    <w:rsid w:val="00734F7A"/>
    <w:rsid w:val="0073781F"/>
    <w:rsid w:val="00741F61"/>
    <w:rsid w:val="007513F6"/>
    <w:rsid w:val="00755587"/>
    <w:rsid w:val="007632CC"/>
    <w:rsid w:val="00766FA3"/>
    <w:rsid w:val="00770ECF"/>
    <w:rsid w:val="00771D39"/>
    <w:rsid w:val="00773468"/>
    <w:rsid w:val="0078308E"/>
    <w:rsid w:val="00785AC2"/>
    <w:rsid w:val="007A5D89"/>
    <w:rsid w:val="007A610B"/>
    <w:rsid w:val="007B4AD8"/>
    <w:rsid w:val="007C31F0"/>
    <w:rsid w:val="007C5525"/>
    <w:rsid w:val="007C5EE4"/>
    <w:rsid w:val="007D1613"/>
    <w:rsid w:val="007D1EE3"/>
    <w:rsid w:val="007D3A93"/>
    <w:rsid w:val="007D4306"/>
    <w:rsid w:val="007D4B49"/>
    <w:rsid w:val="007D70F0"/>
    <w:rsid w:val="007D7400"/>
    <w:rsid w:val="007E2782"/>
    <w:rsid w:val="007E39DE"/>
    <w:rsid w:val="007E6B7A"/>
    <w:rsid w:val="007F3E9D"/>
    <w:rsid w:val="007F68D2"/>
    <w:rsid w:val="008058D9"/>
    <w:rsid w:val="00810A73"/>
    <w:rsid w:val="00811A90"/>
    <w:rsid w:val="00813236"/>
    <w:rsid w:val="00816303"/>
    <w:rsid w:val="0082103C"/>
    <w:rsid w:val="00826166"/>
    <w:rsid w:val="00831DAA"/>
    <w:rsid w:val="00840DF3"/>
    <w:rsid w:val="008463D7"/>
    <w:rsid w:val="0084718D"/>
    <w:rsid w:val="00851340"/>
    <w:rsid w:val="00851578"/>
    <w:rsid w:val="00851613"/>
    <w:rsid w:val="00852CAE"/>
    <w:rsid w:val="00857BB6"/>
    <w:rsid w:val="00861992"/>
    <w:rsid w:val="00862EF9"/>
    <w:rsid w:val="00864117"/>
    <w:rsid w:val="008647A4"/>
    <w:rsid w:val="00873069"/>
    <w:rsid w:val="00873DD3"/>
    <w:rsid w:val="00875329"/>
    <w:rsid w:val="008844A4"/>
    <w:rsid w:val="00885987"/>
    <w:rsid w:val="0088693A"/>
    <w:rsid w:val="00891C12"/>
    <w:rsid w:val="008B5987"/>
    <w:rsid w:val="008C28B3"/>
    <w:rsid w:val="008C7D3C"/>
    <w:rsid w:val="008D28DC"/>
    <w:rsid w:val="008D5A13"/>
    <w:rsid w:val="008D5FC0"/>
    <w:rsid w:val="008D622F"/>
    <w:rsid w:val="008E3675"/>
    <w:rsid w:val="008F3A2D"/>
    <w:rsid w:val="008F3F56"/>
    <w:rsid w:val="008F7F19"/>
    <w:rsid w:val="009003C6"/>
    <w:rsid w:val="00901228"/>
    <w:rsid w:val="00905BA9"/>
    <w:rsid w:val="00905C0D"/>
    <w:rsid w:val="00905D05"/>
    <w:rsid w:val="009131B9"/>
    <w:rsid w:val="00917215"/>
    <w:rsid w:val="009219C9"/>
    <w:rsid w:val="0092617C"/>
    <w:rsid w:val="00926B71"/>
    <w:rsid w:val="0093001D"/>
    <w:rsid w:val="00930475"/>
    <w:rsid w:val="00933439"/>
    <w:rsid w:val="00935D19"/>
    <w:rsid w:val="00937F85"/>
    <w:rsid w:val="00941811"/>
    <w:rsid w:val="00942A06"/>
    <w:rsid w:val="009523F1"/>
    <w:rsid w:val="009551FA"/>
    <w:rsid w:val="00955848"/>
    <w:rsid w:val="00961963"/>
    <w:rsid w:val="0097132E"/>
    <w:rsid w:val="00972E9A"/>
    <w:rsid w:val="00973A7E"/>
    <w:rsid w:val="009825CD"/>
    <w:rsid w:val="009902F3"/>
    <w:rsid w:val="00992DA5"/>
    <w:rsid w:val="009A185F"/>
    <w:rsid w:val="009A2543"/>
    <w:rsid w:val="009A5B05"/>
    <w:rsid w:val="009B1D25"/>
    <w:rsid w:val="009B279C"/>
    <w:rsid w:val="009B4427"/>
    <w:rsid w:val="009B4822"/>
    <w:rsid w:val="009C0A73"/>
    <w:rsid w:val="009C2EAF"/>
    <w:rsid w:val="009C403A"/>
    <w:rsid w:val="009C5365"/>
    <w:rsid w:val="009D0DA6"/>
    <w:rsid w:val="009D1227"/>
    <w:rsid w:val="009D4828"/>
    <w:rsid w:val="009E1190"/>
    <w:rsid w:val="009E646F"/>
    <w:rsid w:val="009E6A52"/>
    <w:rsid w:val="009F574B"/>
    <w:rsid w:val="009F64EA"/>
    <w:rsid w:val="00A032BE"/>
    <w:rsid w:val="00A04921"/>
    <w:rsid w:val="00A05575"/>
    <w:rsid w:val="00A05EDE"/>
    <w:rsid w:val="00A06F32"/>
    <w:rsid w:val="00A21BD6"/>
    <w:rsid w:val="00A30A47"/>
    <w:rsid w:val="00A333A6"/>
    <w:rsid w:val="00A35240"/>
    <w:rsid w:val="00A408FE"/>
    <w:rsid w:val="00A4656F"/>
    <w:rsid w:val="00A512EC"/>
    <w:rsid w:val="00A514AD"/>
    <w:rsid w:val="00A62289"/>
    <w:rsid w:val="00A63EC0"/>
    <w:rsid w:val="00A675AA"/>
    <w:rsid w:val="00A739DF"/>
    <w:rsid w:val="00A740BD"/>
    <w:rsid w:val="00A75FE0"/>
    <w:rsid w:val="00A83E8D"/>
    <w:rsid w:val="00A92A57"/>
    <w:rsid w:val="00A94160"/>
    <w:rsid w:val="00A968BD"/>
    <w:rsid w:val="00AA2560"/>
    <w:rsid w:val="00AA3F13"/>
    <w:rsid w:val="00AA7959"/>
    <w:rsid w:val="00AB6B8A"/>
    <w:rsid w:val="00AC21B6"/>
    <w:rsid w:val="00AC4428"/>
    <w:rsid w:val="00AD2A98"/>
    <w:rsid w:val="00AD58C9"/>
    <w:rsid w:val="00AE23A3"/>
    <w:rsid w:val="00AE439A"/>
    <w:rsid w:val="00AE6268"/>
    <w:rsid w:val="00AE634D"/>
    <w:rsid w:val="00AE6E78"/>
    <w:rsid w:val="00AF23D2"/>
    <w:rsid w:val="00AF702D"/>
    <w:rsid w:val="00B00785"/>
    <w:rsid w:val="00B01684"/>
    <w:rsid w:val="00B0733A"/>
    <w:rsid w:val="00B108BB"/>
    <w:rsid w:val="00B10910"/>
    <w:rsid w:val="00B1170F"/>
    <w:rsid w:val="00B13B43"/>
    <w:rsid w:val="00B220EF"/>
    <w:rsid w:val="00B24B3D"/>
    <w:rsid w:val="00B356D9"/>
    <w:rsid w:val="00B360FD"/>
    <w:rsid w:val="00B40840"/>
    <w:rsid w:val="00B44571"/>
    <w:rsid w:val="00B477C3"/>
    <w:rsid w:val="00B47A63"/>
    <w:rsid w:val="00B50238"/>
    <w:rsid w:val="00B51D73"/>
    <w:rsid w:val="00B60655"/>
    <w:rsid w:val="00B6337F"/>
    <w:rsid w:val="00B641B7"/>
    <w:rsid w:val="00B67438"/>
    <w:rsid w:val="00B71060"/>
    <w:rsid w:val="00B7398D"/>
    <w:rsid w:val="00B74B09"/>
    <w:rsid w:val="00B75220"/>
    <w:rsid w:val="00B77D82"/>
    <w:rsid w:val="00B84DB1"/>
    <w:rsid w:val="00B92287"/>
    <w:rsid w:val="00B9350C"/>
    <w:rsid w:val="00B9585F"/>
    <w:rsid w:val="00BA2AF9"/>
    <w:rsid w:val="00BA51DC"/>
    <w:rsid w:val="00BA5A6C"/>
    <w:rsid w:val="00BA7188"/>
    <w:rsid w:val="00BB5FD4"/>
    <w:rsid w:val="00BB6742"/>
    <w:rsid w:val="00BC534B"/>
    <w:rsid w:val="00BD305C"/>
    <w:rsid w:val="00BD705F"/>
    <w:rsid w:val="00BE257A"/>
    <w:rsid w:val="00BE320A"/>
    <w:rsid w:val="00BE3283"/>
    <w:rsid w:val="00BE4683"/>
    <w:rsid w:val="00BE7A0C"/>
    <w:rsid w:val="00C13870"/>
    <w:rsid w:val="00C13E3B"/>
    <w:rsid w:val="00C14EDD"/>
    <w:rsid w:val="00C174CE"/>
    <w:rsid w:val="00C22AC5"/>
    <w:rsid w:val="00C255B2"/>
    <w:rsid w:val="00C341C6"/>
    <w:rsid w:val="00C35B61"/>
    <w:rsid w:val="00C41001"/>
    <w:rsid w:val="00C410A2"/>
    <w:rsid w:val="00C4466A"/>
    <w:rsid w:val="00C45436"/>
    <w:rsid w:val="00C50D43"/>
    <w:rsid w:val="00C539CE"/>
    <w:rsid w:val="00C54789"/>
    <w:rsid w:val="00C55061"/>
    <w:rsid w:val="00C611F5"/>
    <w:rsid w:val="00C6127C"/>
    <w:rsid w:val="00C612AC"/>
    <w:rsid w:val="00C643E5"/>
    <w:rsid w:val="00C7130F"/>
    <w:rsid w:val="00C7398C"/>
    <w:rsid w:val="00C74127"/>
    <w:rsid w:val="00C87589"/>
    <w:rsid w:val="00C9108C"/>
    <w:rsid w:val="00C97203"/>
    <w:rsid w:val="00CA2168"/>
    <w:rsid w:val="00CA3E19"/>
    <w:rsid w:val="00CA754F"/>
    <w:rsid w:val="00CB5830"/>
    <w:rsid w:val="00CC10E2"/>
    <w:rsid w:val="00CC6F06"/>
    <w:rsid w:val="00CD1564"/>
    <w:rsid w:val="00CD29FA"/>
    <w:rsid w:val="00CD4B25"/>
    <w:rsid w:val="00CD7F75"/>
    <w:rsid w:val="00CE4042"/>
    <w:rsid w:val="00CE5361"/>
    <w:rsid w:val="00CE54F8"/>
    <w:rsid w:val="00CE5515"/>
    <w:rsid w:val="00CF4E24"/>
    <w:rsid w:val="00CF5AE2"/>
    <w:rsid w:val="00CF5DCF"/>
    <w:rsid w:val="00CF7284"/>
    <w:rsid w:val="00D00137"/>
    <w:rsid w:val="00D013FA"/>
    <w:rsid w:val="00D06F91"/>
    <w:rsid w:val="00D128C0"/>
    <w:rsid w:val="00D17862"/>
    <w:rsid w:val="00D21706"/>
    <w:rsid w:val="00D44139"/>
    <w:rsid w:val="00D4546F"/>
    <w:rsid w:val="00D55DBE"/>
    <w:rsid w:val="00D66EC9"/>
    <w:rsid w:val="00D7196E"/>
    <w:rsid w:val="00D73791"/>
    <w:rsid w:val="00D7493A"/>
    <w:rsid w:val="00D76D10"/>
    <w:rsid w:val="00D84BF6"/>
    <w:rsid w:val="00D84DB0"/>
    <w:rsid w:val="00D87149"/>
    <w:rsid w:val="00D87F6B"/>
    <w:rsid w:val="00D9262A"/>
    <w:rsid w:val="00D92E62"/>
    <w:rsid w:val="00D93D8E"/>
    <w:rsid w:val="00DA42EC"/>
    <w:rsid w:val="00DB2FB7"/>
    <w:rsid w:val="00DB5704"/>
    <w:rsid w:val="00DC0D2A"/>
    <w:rsid w:val="00DC2FD4"/>
    <w:rsid w:val="00DC7B67"/>
    <w:rsid w:val="00DD005E"/>
    <w:rsid w:val="00DD2260"/>
    <w:rsid w:val="00DD6437"/>
    <w:rsid w:val="00DE336C"/>
    <w:rsid w:val="00DE5079"/>
    <w:rsid w:val="00DE76A5"/>
    <w:rsid w:val="00DF0E34"/>
    <w:rsid w:val="00DF1D55"/>
    <w:rsid w:val="00DF3008"/>
    <w:rsid w:val="00DF5B41"/>
    <w:rsid w:val="00E00D92"/>
    <w:rsid w:val="00E01D68"/>
    <w:rsid w:val="00E0783A"/>
    <w:rsid w:val="00E177AC"/>
    <w:rsid w:val="00E23039"/>
    <w:rsid w:val="00E24AB9"/>
    <w:rsid w:val="00E3089E"/>
    <w:rsid w:val="00E34765"/>
    <w:rsid w:val="00E378AC"/>
    <w:rsid w:val="00E43A91"/>
    <w:rsid w:val="00E5311C"/>
    <w:rsid w:val="00E660AB"/>
    <w:rsid w:val="00E73FB1"/>
    <w:rsid w:val="00E75120"/>
    <w:rsid w:val="00E807AB"/>
    <w:rsid w:val="00E8137B"/>
    <w:rsid w:val="00E866A5"/>
    <w:rsid w:val="00E87C93"/>
    <w:rsid w:val="00E91AD5"/>
    <w:rsid w:val="00E967C3"/>
    <w:rsid w:val="00EA3675"/>
    <w:rsid w:val="00EA523B"/>
    <w:rsid w:val="00EA7061"/>
    <w:rsid w:val="00EB0479"/>
    <w:rsid w:val="00EB1396"/>
    <w:rsid w:val="00EB213A"/>
    <w:rsid w:val="00EB2713"/>
    <w:rsid w:val="00EB5F83"/>
    <w:rsid w:val="00EC1328"/>
    <w:rsid w:val="00EC2BF1"/>
    <w:rsid w:val="00EC4070"/>
    <w:rsid w:val="00EC6C24"/>
    <w:rsid w:val="00ED260D"/>
    <w:rsid w:val="00ED2A2A"/>
    <w:rsid w:val="00EE1470"/>
    <w:rsid w:val="00EE1A70"/>
    <w:rsid w:val="00EE1CA3"/>
    <w:rsid w:val="00EE415B"/>
    <w:rsid w:val="00F00C55"/>
    <w:rsid w:val="00F04B4A"/>
    <w:rsid w:val="00F102C5"/>
    <w:rsid w:val="00F13DB8"/>
    <w:rsid w:val="00F15B64"/>
    <w:rsid w:val="00F15C8E"/>
    <w:rsid w:val="00F25052"/>
    <w:rsid w:val="00F2515E"/>
    <w:rsid w:val="00F377AC"/>
    <w:rsid w:val="00F40D0B"/>
    <w:rsid w:val="00F44D0B"/>
    <w:rsid w:val="00F45C35"/>
    <w:rsid w:val="00F46647"/>
    <w:rsid w:val="00F607C0"/>
    <w:rsid w:val="00F61C9A"/>
    <w:rsid w:val="00F740FA"/>
    <w:rsid w:val="00F7502A"/>
    <w:rsid w:val="00F75616"/>
    <w:rsid w:val="00F77AD7"/>
    <w:rsid w:val="00F852B9"/>
    <w:rsid w:val="00F8597C"/>
    <w:rsid w:val="00F85B5C"/>
    <w:rsid w:val="00F947FB"/>
    <w:rsid w:val="00F94AA2"/>
    <w:rsid w:val="00F96210"/>
    <w:rsid w:val="00FA07FE"/>
    <w:rsid w:val="00FA4871"/>
    <w:rsid w:val="00FB6628"/>
    <w:rsid w:val="00FB6924"/>
    <w:rsid w:val="00FB7AEC"/>
    <w:rsid w:val="00FC01C3"/>
    <w:rsid w:val="00FC3254"/>
    <w:rsid w:val="00FC5037"/>
    <w:rsid w:val="00FC5A7E"/>
    <w:rsid w:val="00FC653E"/>
    <w:rsid w:val="00FD3156"/>
    <w:rsid w:val="00FD6A62"/>
    <w:rsid w:val="00FE1FA4"/>
    <w:rsid w:val="00FF0D9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Fußnotentext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Fußnotentext"/>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paragraph" w:styleId="Revision">
    <w:name w:val="Revision"/>
    <w:hidden/>
    <w:uiPriority w:val="99"/>
    <w:semiHidden/>
    <w:rsid w:val="008869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2.xml><?xml version="1.0" encoding="utf-8"?>
<ds:datastoreItem xmlns:ds="http://schemas.openxmlformats.org/officeDocument/2006/customXml" ds:itemID="{C09EC1ED-FFD2-4934-8134-EB0C76B67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6094</Characters>
  <Application>Microsoft Office Word</Application>
  <DocSecurity>0</DocSecurity>
  <Lines>236</Lines>
  <Paragraphs>137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ECE/TRANS/WP.29/GRSG/2022/2</vt:lpstr>
      <vt:lpstr>ECE/TRANS/WP.29/GRSG/2019/34</vt:lpstr>
      <vt:lpstr>ECE/TRANS/WP.29/GRSG/2019/34</vt:lpstr>
    </vt:vector>
  </TitlesOfParts>
  <Company>MIT</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ECE/TRANS/WP.29/GRSP/2022/10</dc:title>
  <dc:subject>2202299</dc:subject>
  <dc:creator>MIT</dc:creator>
  <cp:keywords/>
  <dc:description/>
  <cp:lastModifiedBy>Edna Kay</cp:lastModifiedBy>
  <cp:revision>2</cp:revision>
  <cp:lastPrinted>2022-01-12T16:12:00Z</cp:lastPrinted>
  <dcterms:created xsi:type="dcterms:W3CDTF">2022-02-18T13:39:00Z</dcterms:created>
  <dcterms:modified xsi:type="dcterms:W3CDTF">2022-02-18T13:39:00Z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