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5329" w14:textId="77777777" w:rsidR="00BB04E7" w:rsidRDefault="00BB04E7" w:rsidP="00BB04E7">
      <w:pPr>
        <w:keepNext/>
        <w:keepLines/>
        <w:tabs>
          <w:tab w:val="right" w:pos="851"/>
        </w:tabs>
        <w:suppressAutoHyphens/>
        <w:spacing w:before="360" w:after="240" w:line="300" w:lineRule="exact"/>
        <w:ind w:right="1134"/>
        <w:jc w:val="left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09DA5FB2" w14:textId="52B7A323" w:rsidR="006966B8" w:rsidRPr="00B60F3E" w:rsidRDefault="006966B8" w:rsidP="00797D52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/>
        <w:jc w:val="left"/>
        <w:rPr>
          <w:rFonts w:ascii="Times New Roman" w:eastAsia="Calibri" w:hAnsi="Times New Roman" w:cs="Times New Roman"/>
          <w:lang w:val="en-GB"/>
        </w:rPr>
      </w:pPr>
      <w:r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Terms of Reference of the </w:t>
      </w:r>
      <w:r w:rsidR="00243171"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>Task force</w:t>
      </w:r>
      <w:r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on Tyres</w:t>
      </w:r>
      <w:r w:rsidR="00BA2520"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>’ abrasion</w:t>
      </w:r>
      <w:r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(</w:t>
      </w:r>
      <w:r w:rsidR="00573AAA"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TF </w:t>
      </w:r>
      <w:r w:rsidR="00BA2520"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>TA</w:t>
      </w:r>
      <w:r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t>)</w:t>
      </w:r>
      <w:r w:rsidRPr="00B60F3E">
        <w:rPr>
          <w:rFonts w:ascii="Times New Roman" w:eastAsia="Calibri" w:hAnsi="Times New Roman" w:cs="Times New Roman"/>
          <w:b/>
          <w:sz w:val="28"/>
          <w:szCs w:val="28"/>
          <w:lang w:val="en-GB"/>
        </w:rPr>
        <w:br/>
      </w:r>
    </w:p>
    <w:p w14:paraId="1995D402" w14:textId="77777777" w:rsidR="006966B8" w:rsidRPr="00B60F3E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Calibri" w:hAnsi="Times New Roman" w:cs="Times New Roman"/>
          <w:b/>
          <w:sz w:val="24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 xml:space="preserve">A. </w:t>
      </w: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>Introduction</w:t>
      </w:r>
    </w:p>
    <w:p w14:paraId="23F307E0" w14:textId="2CD7B9DA" w:rsidR="00573AAA" w:rsidRPr="00B60F3E" w:rsidRDefault="006966B8" w:rsidP="0077450D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Arial" w:hAnsi="Times New Roman" w:cs="Times New Roman"/>
          <w:sz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1.</w:t>
      </w: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C35F8A" w:rsidRPr="00B60F3E">
        <w:rPr>
          <w:rFonts w:ascii="Times New Roman" w:hAnsi="Times New Roman" w:cs="Times New Roman"/>
          <w:sz w:val="20"/>
          <w:lang w:val="en-GB"/>
        </w:rPr>
        <w:t xml:space="preserve">Microplastics are synthetic polymers released from a wide range of sources. They can be introduced in the environment intentionally or unintentionally, and they affect all environmental compartments, </w:t>
      </w:r>
      <w:r w:rsidR="00C35F8A" w:rsidRPr="00B60F3E">
        <w:rPr>
          <w:rFonts w:ascii="Times New Roman" w:eastAsia="Arial" w:hAnsi="Times New Roman" w:cs="Times New Roman"/>
          <w:sz w:val="20"/>
          <w:lang w:val="en-GB"/>
        </w:rPr>
        <w:t xml:space="preserve">including air, water, soils / sediments and biota. </w:t>
      </w:r>
      <w:r w:rsidR="003272C6" w:rsidRPr="00B60F3E">
        <w:rPr>
          <w:rFonts w:ascii="Times New Roman" w:eastAsia="Arial" w:hAnsi="Times New Roman" w:cs="Times New Roman"/>
          <w:sz w:val="20"/>
          <w:lang w:val="en-GB"/>
        </w:rPr>
        <w:t>A</w:t>
      </w:r>
      <w:r w:rsidR="00C35F8A" w:rsidRPr="00B60F3E">
        <w:rPr>
          <w:rFonts w:ascii="Times New Roman" w:eastAsia="Arial" w:hAnsi="Times New Roman" w:cs="Times New Roman"/>
          <w:sz w:val="20"/>
          <w:lang w:val="en-GB"/>
        </w:rPr>
        <w:t xml:space="preserve"> </w:t>
      </w:r>
      <w:r w:rsidR="003272C6" w:rsidRPr="00B60F3E">
        <w:rPr>
          <w:rFonts w:ascii="Times New Roman" w:eastAsia="Arial" w:hAnsi="Times New Roman" w:cs="Times New Roman"/>
          <w:sz w:val="20"/>
          <w:lang w:val="en-GB"/>
        </w:rPr>
        <w:t xml:space="preserve">European Commission </w:t>
      </w:r>
      <w:r w:rsidR="00C35F8A" w:rsidRPr="00B60F3E">
        <w:rPr>
          <w:rFonts w:ascii="Times New Roman" w:eastAsia="Arial" w:hAnsi="Times New Roman" w:cs="Times New Roman"/>
          <w:sz w:val="20"/>
          <w:lang w:val="en-GB"/>
        </w:rPr>
        <w:t>study</w:t>
      </w:r>
      <w:r w:rsidR="00C35F8A" w:rsidRPr="00B60F3E">
        <w:rPr>
          <w:rStyle w:val="Appelnotedebasdep"/>
          <w:rFonts w:ascii="Times New Roman" w:eastAsia="Arial" w:hAnsi="Times New Roman" w:cs="Times New Roman"/>
          <w:sz w:val="20"/>
          <w:lang w:val="en-GB"/>
        </w:rPr>
        <w:footnoteReference w:id="1"/>
      </w:r>
      <w:r w:rsidR="00C35F8A" w:rsidRPr="00B60F3E">
        <w:rPr>
          <w:rFonts w:ascii="Times New Roman" w:eastAsia="Arial" w:hAnsi="Times New Roman" w:cs="Times New Roman"/>
          <w:sz w:val="20"/>
          <w:lang w:val="en-GB"/>
        </w:rPr>
        <w:t>,</w:t>
      </w:r>
      <w:r w:rsidR="003272C6" w:rsidRPr="00B60F3E">
        <w:rPr>
          <w:rFonts w:ascii="Times New Roman" w:eastAsia="Arial" w:hAnsi="Times New Roman" w:cs="Times New Roman"/>
          <w:sz w:val="20"/>
          <w:lang w:val="en-GB"/>
        </w:rPr>
        <w:t xml:space="preserve"> reported that</w:t>
      </w:r>
      <w:r w:rsidR="00C35F8A" w:rsidRPr="00B60F3E">
        <w:rPr>
          <w:rFonts w:ascii="Times New Roman" w:eastAsia="Arial" w:hAnsi="Times New Roman" w:cs="Times New Roman"/>
          <w:sz w:val="20"/>
          <w:lang w:val="en-GB"/>
        </w:rPr>
        <w:t xml:space="preserve"> automotive tyres are the highest contributor of unintentionally released microplastics in the environment. </w:t>
      </w:r>
    </w:p>
    <w:p w14:paraId="3D81EA3A" w14:textId="2110011B" w:rsidR="00C35F8A" w:rsidRPr="00B60F3E" w:rsidRDefault="00C35F8A" w:rsidP="0077450D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sz w:val="20"/>
          <w:lang w:val="en-GB"/>
        </w:rPr>
      </w:pPr>
      <w:r w:rsidRPr="00B60F3E">
        <w:rPr>
          <w:rFonts w:ascii="Times New Roman" w:hAnsi="Times New Roman" w:cs="Times New Roman"/>
          <w:sz w:val="20"/>
          <w:lang w:val="en-GB"/>
        </w:rPr>
        <w:t xml:space="preserve">Tyre wear is caused by the friction process between tyres and the road surface; therefore, tyre wear is emitted wherever vehicles travel. Tyre abrasion (i.e. the amount of tyre material released per km travelled) is </w:t>
      </w:r>
      <w:r w:rsidR="00573AAA" w:rsidRPr="00B60F3E">
        <w:rPr>
          <w:rFonts w:ascii="Times New Roman" w:hAnsi="Times New Roman" w:cs="Times New Roman"/>
          <w:sz w:val="20"/>
          <w:lang w:val="en-GB"/>
        </w:rPr>
        <w:t>a</w:t>
      </w:r>
      <w:r w:rsidRPr="00B60F3E">
        <w:rPr>
          <w:rFonts w:ascii="Times New Roman" w:hAnsi="Times New Roman" w:cs="Times New Roman"/>
          <w:sz w:val="20"/>
          <w:lang w:val="en-GB"/>
        </w:rPr>
        <w:t xml:space="preserve"> metric </w:t>
      </w:r>
      <w:r w:rsidR="00573AAA" w:rsidRPr="00B60F3E">
        <w:rPr>
          <w:rFonts w:ascii="Times New Roman" w:hAnsi="Times New Roman" w:cs="Times New Roman"/>
          <w:sz w:val="20"/>
          <w:lang w:val="en-GB"/>
        </w:rPr>
        <w:t xml:space="preserve">that could be </w:t>
      </w:r>
      <w:r w:rsidRPr="00B60F3E">
        <w:rPr>
          <w:rFonts w:ascii="Times New Roman" w:hAnsi="Times New Roman" w:cs="Times New Roman"/>
          <w:sz w:val="20"/>
          <w:lang w:val="en-GB"/>
        </w:rPr>
        <w:t>applied to define tyre wear, allow</w:t>
      </w:r>
      <w:r w:rsidR="00573AAA" w:rsidRPr="00B60F3E">
        <w:rPr>
          <w:rFonts w:ascii="Times New Roman" w:hAnsi="Times New Roman" w:cs="Times New Roman"/>
          <w:sz w:val="20"/>
          <w:lang w:val="en-GB"/>
        </w:rPr>
        <w:t>ing</w:t>
      </w:r>
      <w:r w:rsidRPr="00B60F3E">
        <w:rPr>
          <w:rFonts w:ascii="Times New Roman" w:hAnsi="Times New Roman" w:cs="Times New Roman"/>
          <w:sz w:val="20"/>
          <w:lang w:val="en-GB"/>
        </w:rPr>
        <w:t xml:space="preserve"> for the classification </w:t>
      </w:r>
      <w:r w:rsidR="00573AAA" w:rsidRPr="00B60F3E">
        <w:rPr>
          <w:rFonts w:ascii="Times New Roman" w:hAnsi="Times New Roman" w:cs="Times New Roman"/>
          <w:sz w:val="20"/>
          <w:lang w:val="en-GB"/>
        </w:rPr>
        <w:t xml:space="preserve">and type approval </w:t>
      </w:r>
      <w:r w:rsidRPr="00B60F3E">
        <w:rPr>
          <w:rFonts w:ascii="Times New Roman" w:hAnsi="Times New Roman" w:cs="Times New Roman"/>
          <w:sz w:val="20"/>
          <w:lang w:val="en-GB"/>
        </w:rPr>
        <w:t>of tyres based on their environmental impact.</w:t>
      </w:r>
      <w:r w:rsidRPr="00B60F3E">
        <w:rPr>
          <w:sz w:val="20"/>
          <w:lang w:val="en-GB"/>
        </w:rPr>
        <w:t xml:space="preserve"> </w:t>
      </w:r>
    </w:p>
    <w:p w14:paraId="3C038258" w14:textId="45242CC6" w:rsidR="00E52093" w:rsidRPr="00B60F3E" w:rsidRDefault="00C35F8A" w:rsidP="0077450D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sz w:val="20"/>
          <w:lang w:val="en-GB"/>
        </w:rPr>
        <w:t xml:space="preserve">2.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During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</w:t>
      </w:r>
      <w:r w:rsidR="00E5209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185</w:t>
      </w:r>
      <w:r w:rsidR="00E52093" w:rsidRPr="00B60F3E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th</w:t>
      </w:r>
      <w:r w:rsidR="00E5209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WP29, </w:t>
      </w:r>
      <w:r w:rsidR="00E46F7F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the European </w:t>
      </w:r>
      <w:r w:rsidR="00B4048B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Commission</w:t>
      </w:r>
      <w:r w:rsidR="00E46F7F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emphasised </w:t>
      </w:r>
      <w:r w:rsidR="00E46F7F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the need to work on tyres</w:t>
      </w:r>
      <w:r w:rsidR="006F2DFC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’ microplastic emission</w:t>
      </w:r>
      <w:r w:rsidR="00B4048B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4C273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following the priorities set out </w:t>
      </w:r>
      <w:r w:rsidR="004C273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 the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EU Work Programme – UNECE Activities 2022-2023 Proposals under the responsibility of DG-GROW</w:t>
      </w:r>
      <w:r w:rsidR="004C273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(Informal Document </w:t>
      </w:r>
      <w:r w:rsidR="004C273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WP.29</w:t>
      </w:r>
      <w:r w:rsidR="00F724CD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-</w:t>
      </w:r>
      <w:r w:rsidR="004C273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185-17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)</w:t>
      </w:r>
      <w:r w:rsidR="00B27B6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 In parallel</w:t>
      </w:r>
      <w:r w:rsidR="00754A4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, the GRPB and GRPE working parties </w:t>
      </w:r>
      <w:r w:rsidR="001E62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in their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Work Programmes identified the need</w:t>
      </w:r>
      <w:r w:rsidR="001E62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A411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consider </w:t>
      </w:r>
      <w:r w:rsidR="00E009A2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the </w:t>
      </w:r>
      <w:r w:rsidR="003A411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development of a tyre abrasion test method</w:t>
      </w:r>
      <w:r w:rsidR="0077450D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with the aim of</w:t>
      </w:r>
      <w:r w:rsidR="0077450D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controlling and mitigating tyre wear particles – and thus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release of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microplastic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 the environment</w:t>
      </w:r>
      <w:r w:rsidR="0077450D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6DAC4A8D" w14:textId="76F117DA" w:rsidR="00E93790" w:rsidRPr="00B60F3E" w:rsidRDefault="00C35F8A" w:rsidP="00E93790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3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77450D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It </w:t>
      </w:r>
      <w:r w:rsidR="00E52A7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was agreed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3E1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to create </w:t>
      </w:r>
      <w:r w:rsidR="00243171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a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Task Force (TF) </w:t>
      </w:r>
      <w:r w:rsidR="00F05FC0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to work on the</w:t>
      </w:r>
      <w:r w:rsidR="003272C6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development of a standardized methodology for measuring</w:t>
      </w:r>
      <w:r w:rsidR="00976D7B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limiting</w:t>
      </w:r>
      <w:r w:rsidR="00F05FC0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1C677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tyre abrasion.</w:t>
      </w:r>
    </w:p>
    <w:p w14:paraId="05B4E23C" w14:textId="134FC192" w:rsidR="006966B8" w:rsidRPr="00B60F3E" w:rsidRDefault="00C35F8A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4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This proposal establishes the</w:t>
      </w:r>
      <w:r w:rsidR="00936914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Terms of Reference</w:t>
      </w:r>
      <w:r w:rsidR="002C18FD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for the </w:t>
      </w:r>
      <w:r w:rsidR="002C18FD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TF</w:t>
      </w:r>
      <w:r w:rsidR="005D2DC1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Tyre Abrasion (TF TA)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0757D791" w14:textId="66E10BF8" w:rsidR="006966B8" w:rsidRPr="00B60F3E" w:rsidRDefault="00C35F8A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5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The aim of the </w:t>
      </w:r>
      <w:r w:rsidR="006966B8" w:rsidRPr="00122D80">
        <w:rPr>
          <w:rFonts w:ascii="Times New Roman" w:eastAsia="Calibri" w:hAnsi="Times New Roman" w:cs="Times New Roman"/>
          <w:strike/>
          <w:color w:val="0070C0"/>
          <w:sz w:val="20"/>
          <w:szCs w:val="20"/>
          <w:lang w:val="en-GB"/>
        </w:rPr>
        <w:t>group</w:t>
      </w:r>
      <w:r w:rsidR="006966B8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AB1F97" w:rsidRPr="00122D80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val="en-GB"/>
        </w:rPr>
        <w:t>TF TA</w:t>
      </w:r>
      <w:r w:rsidR="00AB1F97" w:rsidRPr="00122D8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is to </w:t>
      </w:r>
      <w:r w:rsidR="00FF2DCE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prepare and to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propose</w:t>
      </w:r>
      <w:r w:rsidR="00FF2DCE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420EB1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a new UN Regulation</w:t>
      </w:r>
      <w:r w:rsidR="00904F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or a new requirement to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UN Regulation No. 117 under the 1958 Agreement</w:t>
      </w:r>
      <w:r w:rsidR="007B7694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for the type approval of tyres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</w:t>
      </w:r>
      <w:r w:rsidR="00122D80" w:rsidRPr="00122D80">
        <w:rPr>
          <w:rFonts w:ascii="Times New Roman" w:eastAsia="Calibri" w:hAnsi="Times New Roman" w:cs="Times New Roman"/>
          <w:strike/>
          <w:color w:val="0070C0"/>
          <w:sz w:val="20"/>
          <w:szCs w:val="20"/>
          <w:lang w:val="en-GB"/>
        </w:rPr>
        <w:t>group</w:t>
      </w:r>
      <w:r w:rsidR="00122D80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122D80" w:rsidRPr="00122D80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val="en-GB"/>
        </w:rPr>
        <w:t>TF TA</w:t>
      </w:r>
      <w:r w:rsidR="00122D80" w:rsidRPr="00122D8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will report and consult with </w:t>
      </w:r>
      <w:r w:rsidR="005D2DC1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both 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GRPE </w:t>
      </w:r>
      <w:r w:rsidR="005D2DC1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and GRBP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FF578E4" w14:textId="77777777" w:rsidR="006966B8" w:rsidRPr="00B60F3E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Times New Roman" w:hAnsi="Times New Roman" w:cs="Times New Roman"/>
          <w:b/>
          <w:sz w:val="24"/>
          <w:lang w:val="en-GB"/>
        </w:rPr>
      </w:pP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 xml:space="preserve">B. </w:t>
      </w: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</w: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>Objectives</w:t>
      </w:r>
    </w:p>
    <w:p w14:paraId="172BAAE8" w14:textId="7B71DEA6" w:rsidR="006966B8" w:rsidRPr="00B60F3E" w:rsidRDefault="007B78F5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470417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The UN Regulation will </w:t>
      </w:r>
      <w:r w:rsidR="00CA56A5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address the </w:t>
      </w:r>
      <w:r w:rsidR="00E45D50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tyres abrasion performance by </w:t>
      </w:r>
      <w:r w:rsidR="00650BD1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determining a</w:t>
      </w:r>
      <w:r w:rsidR="000A32B4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standardized</w:t>
      </w:r>
      <w:r w:rsidR="00650BD1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measurement method</w:t>
      </w:r>
      <w:r w:rsidR="000A32B4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which will allow for the quantification of </w:t>
      </w:r>
      <w:r w:rsidR="00935D90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the microplastic emissions</w:t>
      </w:r>
      <w:r w:rsidR="000A32B4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in the environment. At the same time, the </w:t>
      </w:r>
      <w:r w:rsidR="005D2DC1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TF TA</w:t>
      </w:r>
      <w:r w:rsidR="000A32B4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will investigate </w:t>
      </w:r>
      <w:r w:rsidR="00727F6C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the correlation </w:t>
      </w:r>
      <w:r w:rsidR="000A32B4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between abrasion rate and </w:t>
      </w:r>
      <w:r w:rsidR="00727F6C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durability</w:t>
      </w:r>
      <w:r w:rsidR="000A32B4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and consider the inclusion of 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both abrasion rate and</w:t>
      </w:r>
      <w:r w:rsidR="009A1569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 xml:space="preserve"> </w:t>
      </w:r>
      <w:r w:rsidR="000A32B4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durability in the proposed UN Regulation</w:t>
      </w:r>
      <w:r w:rsidR="00727F6C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</w:p>
    <w:p w14:paraId="0148453A" w14:textId="51CF2A7F" w:rsidR="006966B8" w:rsidRPr="00B60F3E" w:rsidRDefault="007B78F5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The future UN Regulation will apply to new pneumatic tyres</w:t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C94655C" w14:textId="3866367F" w:rsidR="006966B8" w:rsidRPr="00B60F3E" w:rsidRDefault="007B78F5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3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573AA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shall:</w:t>
      </w:r>
    </w:p>
    <w:p w14:paraId="7537E6E0" w14:textId="25CCE291" w:rsidR="007D02DE" w:rsidRPr="00B60F3E" w:rsidRDefault="002C0DAE" w:rsidP="00C71A46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lastRenderedPageBreak/>
        <w:t>D</w:t>
      </w:r>
      <w:r w:rsidR="00DD45E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evelop a procedure for </w:t>
      </w:r>
      <w:r w:rsidR="000A32B4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measuring </w:t>
      </w: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the </w:t>
      </w:r>
      <w:r w:rsidR="00550357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abrasion of</w:t>
      </w:r>
      <w:r w:rsidR="000A32B4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tyres</w:t>
      </w:r>
      <w:r w:rsidR="007D02DE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: </w:t>
      </w:r>
      <w:r w:rsidR="000A32B4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Test </w:t>
      </w:r>
      <w:r w:rsidR="007D02DE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conditions</w:t>
      </w:r>
      <w:r w:rsidR="00C71A46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and </w:t>
      </w:r>
      <w:r w:rsidR="007D02DE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methods</w:t>
      </w:r>
      <w:r w:rsidR="00C71A46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;</w:t>
      </w:r>
    </w:p>
    <w:p w14:paraId="7CA107E6" w14:textId="7A709D2B" w:rsidR="00DD45E8" w:rsidRPr="00B60F3E" w:rsidRDefault="002C0DAE" w:rsidP="00C71A46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Rate the abrasion performance </w:t>
      </w:r>
      <w:r w:rsidR="000A32B4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of a wide range of </w:t>
      </w:r>
      <w:r w:rsidR="007D02DE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tyres</w:t>
      </w:r>
      <w:r w:rsidR="000A32B4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available in the market</w:t>
      </w:r>
      <w:r w:rsidR="004C283B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</w:p>
    <w:p w14:paraId="48B8EB61" w14:textId="77777777" w:rsidR="00550357" w:rsidRPr="00B60F3E" w:rsidRDefault="00550357" w:rsidP="00C71A46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Define abrasion limits for tyres in order to limit the emission of microplastics to the environment</w:t>
      </w:r>
    </w:p>
    <w:p w14:paraId="792AC692" w14:textId="77777777" w:rsidR="00C71A46" w:rsidRPr="00B60F3E" w:rsidRDefault="00EA4910" w:rsidP="00530531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Assess potential correlation between abrasion performance and </w:t>
      </w:r>
      <w:r w:rsidR="00530531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durability of tyres</w:t>
      </w:r>
      <w:r w:rsidR="000A32B4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</w:p>
    <w:p w14:paraId="7910C32D" w14:textId="77777777" w:rsidR="00550357" w:rsidRPr="00B60F3E" w:rsidRDefault="00550357" w:rsidP="00530531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napToGrid w:val="0"/>
        <w:spacing w:after="120" w:line="240" w:lineRule="atLeast"/>
        <w:ind w:right="1042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Develop a UN Regulation (or addition to </w:t>
      </w:r>
      <w:r w:rsidR="00976D7B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UN Regulation No 117) for the type approval of tyres in respect to their abrasion</w:t>
      </w:r>
    </w:p>
    <w:p w14:paraId="131C842B" w14:textId="3EDDB0D0" w:rsidR="00550357" w:rsidRPr="00B60F3E" w:rsidRDefault="007B78F5" w:rsidP="006966B8">
      <w:pPr>
        <w:suppressAutoHyphens/>
        <w:autoSpaceDE w:val="0"/>
        <w:autoSpaceDN w:val="0"/>
        <w:adjustRightInd w:val="0"/>
        <w:snapToGrid w:val="0"/>
        <w:spacing w:after="120" w:line="240" w:lineRule="atLeast"/>
        <w:ind w:left="1134" w:right="1042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4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530531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shall work in the framework of the 1958 Agreement and shall report to </w:t>
      </w:r>
      <w:r w:rsidR="008A530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both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GRBP</w:t>
      </w:r>
      <w:r w:rsidR="008A530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GRPE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80731F9" w14:textId="77777777" w:rsidR="006966B8" w:rsidRPr="00B60F3E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Calibri" w:hAnsi="Times New Roman" w:cs="Times New Roman"/>
          <w:b/>
          <w:sz w:val="24"/>
          <w:lang w:val="en-GB"/>
        </w:rPr>
      </w:pP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 xml:space="preserve">C. </w:t>
      </w: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>Rules of Procedure</w:t>
      </w:r>
    </w:p>
    <w:p w14:paraId="5714FAD1" w14:textId="59D4E48B" w:rsidR="006966B8" w:rsidRPr="00B60F3E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1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FF135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TA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shall be open to all participants of GRBP</w:t>
      </w:r>
      <w:r w:rsidR="00FA426E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GRP</w:t>
      </w:r>
      <w:r w:rsidR="009C5707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E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FF135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</w:p>
    <w:p w14:paraId="5AE70A34" w14:textId="57507F30" w:rsidR="002F069F" w:rsidRPr="00B60F3E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2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FF135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TF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shall be co-chaired by the European Commission</w:t>
      </w:r>
      <w:r w:rsidR="00FF135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France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. </w:t>
      </w:r>
    </w:p>
    <w:p w14:paraId="6C7F4468" w14:textId="77777777" w:rsidR="006966B8" w:rsidRPr="00B60F3E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3</w:t>
      </w:r>
      <w:r w:rsidR="002F069F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2F069F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The Technical Secretary is taken by the representative of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ETRTO.</w:t>
      </w:r>
    </w:p>
    <w:p w14:paraId="6970299D" w14:textId="77777777" w:rsidR="006966B8" w:rsidRPr="00B60F3E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4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 w:eastAsia="en-GB"/>
        </w:rPr>
        <w:tab/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The working language will be English.</w:t>
      </w:r>
    </w:p>
    <w:p w14:paraId="0EF9522A" w14:textId="79998D62" w:rsidR="00B12395" w:rsidRPr="00B60F3E" w:rsidRDefault="007B78F5" w:rsidP="00B12395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5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The process will pursue consensus. When consensus cannot be reached, the </w:t>
      </w:r>
      <w:r w:rsidR="007F63B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co-chair</w:t>
      </w:r>
      <w:r w:rsidR="007B7694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of the </w:t>
      </w:r>
      <w:r w:rsidR="00AB1F97" w:rsidRPr="00122D80">
        <w:rPr>
          <w:rFonts w:ascii="Times New Roman" w:eastAsia="Calibri" w:hAnsi="Times New Roman" w:cs="Times New Roman"/>
          <w:strike/>
          <w:color w:val="0070C0"/>
          <w:sz w:val="20"/>
          <w:szCs w:val="20"/>
          <w:lang w:val="en-GB"/>
        </w:rPr>
        <w:t>group</w:t>
      </w:r>
      <w:r w:rsidR="00AB1F97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AB1F97" w:rsidRPr="00122D80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val="en-GB"/>
        </w:rPr>
        <w:t>TF TA</w:t>
      </w:r>
      <w:r w:rsidR="00AB1F97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shall present the different points of view to GR</w:t>
      </w:r>
      <w:r w:rsidR="007F63B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B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P.</w:t>
      </w:r>
    </w:p>
    <w:p w14:paraId="0DD1DED7" w14:textId="50B6ACCB" w:rsidR="00B12395" w:rsidRPr="00B60F3E" w:rsidRDefault="007B78F5" w:rsidP="00B12395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6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ab/>
        <w:t xml:space="preserve">The progress of the </w:t>
      </w:r>
      <w:r w:rsidR="00B12395" w:rsidRPr="00122D80">
        <w:rPr>
          <w:rFonts w:ascii="Times New Roman" w:eastAsia="Calibri" w:hAnsi="Times New Roman" w:cs="Times New Roman"/>
          <w:strike/>
          <w:color w:val="0070C0"/>
          <w:sz w:val="20"/>
          <w:szCs w:val="20"/>
          <w:lang w:val="en-GB"/>
        </w:rPr>
        <w:t xml:space="preserve">informal </w:t>
      </w:r>
      <w:r w:rsidR="00AB1F97" w:rsidRPr="00122D80">
        <w:rPr>
          <w:rFonts w:ascii="Times New Roman" w:eastAsia="Calibri" w:hAnsi="Times New Roman" w:cs="Times New Roman"/>
          <w:strike/>
          <w:color w:val="0070C0"/>
          <w:sz w:val="20"/>
          <w:szCs w:val="20"/>
          <w:lang w:val="en-GB"/>
        </w:rPr>
        <w:t>group</w:t>
      </w:r>
      <w:r w:rsidR="00AB1F97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AB1F97" w:rsidRPr="00122D80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val="en-GB"/>
        </w:rPr>
        <w:t>TF TA</w:t>
      </w:r>
      <w:r w:rsidR="00AB1F97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will be reported to GR</w:t>
      </w:r>
      <w:r w:rsidR="007F63B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B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P</w:t>
      </w:r>
      <w:r w:rsidR="001C70E9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and GRPE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as an informal document by</w:t>
      </w:r>
      <w:r w:rsidR="007F63B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one of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the </w:t>
      </w:r>
      <w:r w:rsidR="007F63B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co-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chair</w:t>
      </w:r>
      <w:r w:rsidR="007F63B3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s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.</w:t>
      </w:r>
    </w:p>
    <w:p w14:paraId="475E9FD1" w14:textId="3CDBFB69" w:rsidR="006966B8" w:rsidRPr="00B60F3E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7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All documents and/or proposals must be submitted to the 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co-chairs and the s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ecretary of </w:t>
      </w:r>
      <w:r w:rsidR="00B12395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TF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in a suitable electronic format at least one week before a scheduled meeting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1425FA3B" w14:textId="004D9901" w:rsidR="006966B8" w:rsidRPr="00B60F3E" w:rsidRDefault="007B78F5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8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An agenda and the latest draft document will be circulated to all members of </w:t>
      </w:r>
      <w:r w:rsidR="007B7694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TF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in advance of all scheduled meetings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0FFD7317" w14:textId="5028F89A" w:rsidR="006966B8" w:rsidRPr="00B60F3E" w:rsidRDefault="00D77B48" w:rsidP="006966B8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9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.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ab/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All </w:t>
      </w:r>
      <w:r w:rsidR="006966B8" w:rsidRPr="00122D80">
        <w:rPr>
          <w:rFonts w:ascii="Times New Roman" w:eastAsia="Calibri" w:hAnsi="Times New Roman" w:cs="Times New Roman"/>
          <w:strike/>
          <w:color w:val="0070C0"/>
          <w:sz w:val="20"/>
          <w:szCs w:val="20"/>
          <w:lang w:val="en-GB"/>
        </w:rPr>
        <w:t>IWG</w:t>
      </w:r>
      <w:r w:rsidR="006966B8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AB1F97" w:rsidRPr="00122D80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val="en-GB"/>
        </w:rPr>
        <w:t>TF TA</w:t>
      </w:r>
      <w:r w:rsidR="00AB1F97" w:rsidRPr="00122D80">
        <w:rPr>
          <w:rFonts w:ascii="Times New Roman" w:eastAsia="Calibri" w:hAnsi="Times New Roman" w:cs="Times New Roman"/>
          <w:b/>
          <w:bCs/>
          <w:color w:val="0070C0"/>
          <w:sz w:val="20"/>
          <w:szCs w:val="20"/>
          <w:lang w:val="en-GB"/>
        </w:rPr>
        <w:t>’s</w:t>
      </w:r>
      <w:r w:rsidR="00AB1F97" w:rsidRPr="00122D80">
        <w:rPr>
          <w:rFonts w:ascii="Times New Roman" w:eastAsia="Calibri" w:hAnsi="Times New Roman" w:cs="Times New Roman"/>
          <w:color w:val="0070C0"/>
          <w:sz w:val="20"/>
          <w:szCs w:val="20"/>
          <w:lang w:val="en-GB"/>
        </w:rPr>
        <w:t xml:space="preserve"> </w:t>
      </w:r>
      <w:r w:rsidR="006966B8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documentation will be made available on the dedicated ECE website</w:t>
      </w:r>
      <w:r w:rsidR="006966B8" w:rsidRPr="00B60F3E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0935020A" w14:textId="77777777" w:rsidR="006966B8" w:rsidRPr="00B60F3E" w:rsidRDefault="006966B8" w:rsidP="006966B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jc w:val="left"/>
        <w:rPr>
          <w:rFonts w:ascii="Times New Roman" w:eastAsia="Calibri" w:hAnsi="Times New Roman" w:cs="Times New Roman"/>
          <w:b/>
          <w:sz w:val="24"/>
          <w:lang w:val="en-GB"/>
        </w:rPr>
      </w:pP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 xml:space="preserve">D. </w:t>
      </w:r>
      <w:r w:rsidRPr="00B60F3E">
        <w:rPr>
          <w:rFonts w:ascii="Times New Roman" w:eastAsia="Calibri" w:hAnsi="Times New Roman" w:cs="Times New Roman"/>
          <w:b/>
          <w:sz w:val="24"/>
          <w:lang w:val="en-GB"/>
        </w:rPr>
        <w:tab/>
        <w:t>Timeline</w:t>
      </w:r>
    </w:p>
    <w:p w14:paraId="519BF473" w14:textId="7A84DBAD" w:rsidR="007B78F5" w:rsidRPr="00B60F3E" w:rsidRDefault="00D77B48" w:rsidP="00EC2F0A">
      <w:pPr>
        <w:suppressAutoHyphens/>
        <w:autoSpaceDE w:val="0"/>
        <w:autoSpaceDN w:val="0"/>
        <w:adjustRightInd w:val="0"/>
        <w:spacing w:after="120" w:line="240" w:lineRule="atLeast"/>
        <w:ind w:left="1134" w:right="1043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1. 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The aim of TF</w:t>
      </w:r>
      <w:r w:rsidR="00122D80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122D80" w:rsidRPr="00122D8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val="en-GB" w:eastAsia="en-GB"/>
        </w:rPr>
        <w:t>TA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is to </w:t>
      </w:r>
      <w:r w:rsidR="00EC2F0A" w:rsidRPr="00B60F3E">
        <w:rPr>
          <w:rFonts w:ascii="Times New Roman" w:eastAsia="Calibri" w:hAnsi="Times New Roman" w:cs="Times New Roman"/>
          <w:sz w:val="20"/>
          <w:szCs w:val="20"/>
          <w:lang w:val="en-GB"/>
        </w:rPr>
        <w:t>present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an informal document for consideration during the 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78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en-GB"/>
        </w:rPr>
        <w:t>th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GRB</w:t>
      </w:r>
      <w:r w:rsidR="00160F21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in 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September 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20</w:t>
      </w:r>
      <w:r w:rsidR="00160F21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23</w:t>
      </w:r>
      <w:r w:rsidR="000C1BB3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(submitted for information to </w:t>
      </w:r>
      <w:r w:rsidR="004B1524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the</w:t>
      </w:r>
      <w:r w:rsidR="00F77AE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A93656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88</w:t>
      </w:r>
      <w:r w:rsidR="00A93656" w:rsidRPr="00B60F3E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en-GB"/>
        </w:rPr>
        <w:t>th</w:t>
      </w:r>
      <w:r w:rsidR="00A93656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F77AE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GRPE in </w:t>
      </w:r>
      <w:r w:rsidR="00A93656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June </w:t>
      </w:r>
      <w:r w:rsidR="00F77AE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2023)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. The final objective of </w:t>
      </w:r>
      <w:r w:rsidR="00F77AE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TF </w:t>
      </w:r>
      <w:r w:rsidR="00122D80" w:rsidRPr="00122D80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val="en-GB" w:eastAsia="en-GB"/>
        </w:rPr>
        <w:t>TA</w:t>
      </w:r>
      <w:r w:rsidR="00122D80" w:rsidRPr="00122D80">
        <w:rPr>
          <w:rFonts w:ascii="Times New Roman" w:eastAsia="Times New Roman" w:hAnsi="Times New Roman" w:cs="Times New Roman"/>
          <w:color w:val="0070C0"/>
          <w:sz w:val="20"/>
          <w:szCs w:val="20"/>
          <w:lang w:val="en-GB" w:eastAsia="en-GB"/>
        </w:rPr>
        <w:t xml:space="preserve"> 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is to present a working document for consideration during 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79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en-GB"/>
        </w:rPr>
        <w:t>th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GRB</w:t>
      </w:r>
      <w:r w:rsidR="00AE53D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P</w:t>
      </w:r>
      <w:r w:rsidR="00EC2F0A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in </w:t>
      </w:r>
      <w:r w:rsidR="00237E49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January 2024</w:t>
      </w:r>
      <w:r w:rsid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AE53D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(submitted for </w:t>
      </w:r>
      <w:r w:rsidR="00165E1C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feedback</w:t>
      </w:r>
      <w:r w:rsidR="00165E1C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</w:t>
      </w:r>
      <w:r w:rsidR="00AE53D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to the 8</w:t>
      </w:r>
      <w:r w:rsidR="00DF45D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9</w:t>
      </w:r>
      <w:r w:rsidR="00AE53D2" w:rsidRPr="00B60F3E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 w:eastAsia="en-GB"/>
        </w:rPr>
        <w:t>th</w:t>
      </w:r>
      <w:r w:rsidR="00AE53D2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GRPE in </w:t>
      </w:r>
      <w:r w:rsidR="00DF45D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January </w:t>
      </w:r>
      <w:r w:rsidR="00C344D6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202</w:t>
      </w:r>
      <w:r w:rsidR="00DF45D9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4</w:t>
      </w:r>
      <w:r w:rsidR="00C344D6" w:rsidRPr="00B60F3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).</w:t>
      </w:r>
    </w:p>
    <w:p w14:paraId="66FDD02B" w14:textId="77777777" w:rsidR="00711C5B" w:rsidRPr="00B60F3E" w:rsidRDefault="00711C5B">
      <w:pPr>
        <w:rPr>
          <w:rFonts w:ascii="Times New Roman" w:hAnsi="Times New Roman" w:cs="Times New Roman"/>
          <w:lang w:val="en-GB"/>
        </w:rPr>
      </w:pPr>
    </w:p>
    <w:p w14:paraId="3227ED25" w14:textId="77777777" w:rsidR="00711C5B" w:rsidRPr="00B60F3E" w:rsidRDefault="00711C5B">
      <w:pPr>
        <w:rPr>
          <w:rFonts w:ascii="Times New Roman" w:hAnsi="Times New Roman" w:cs="Times New Roman"/>
          <w:lang w:val="en-GB"/>
        </w:rPr>
      </w:pPr>
    </w:p>
    <w:p w14:paraId="40C17105" w14:textId="77777777" w:rsidR="00711C5B" w:rsidRPr="00B60F3E" w:rsidRDefault="00711C5B">
      <w:pPr>
        <w:rPr>
          <w:rFonts w:ascii="Times New Roman" w:hAnsi="Times New Roman" w:cs="Times New Roman"/>
          <w:lang w:val="en-GB"/>
        </w:rPr>
      </w:pPr>
    </w:p>
    <w:p w14:paraId="581998B8" w14:textId="77777777" w:rsidR="00711C5B" w:rsidRPr="00B60F3E" w:rsidRDefault="00711C5B">
      <w:pPr>
        <w:rPr>
          <w:rFonts w:ascii="Times New Roman" w:hAnsi="Times New Roman" w:cs="Times New Roman"/>
          <w:lang w:val="en-GB"/>
        </w:rPr>
      </w:pPr>
    </w:p>
    <w:sectPr w:rsidR="00711C5B" w:rsidRPr="00B60F3E" w:rsidSect="00C50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DA14" w14:textId="77777777" w:rsidR="00CD0DE4" w:rsidRDefault="00CD0DE4" w:rsidP="00C35F8A">
      <w:pPr>
        <w:spacing w:line="240" w:lineRule="auto"/>
      </w:pPr>
      <w:r>
        <w:separator/>
      </w:r>
    </w:p>
  </w:endnote>
  <w:endnote w:type="continuationSeparator" w:id="0">
    <w:p w14:paraId="4C27DB72" w14:textId="77777777" w:rsidR="00CD0DE4" w:rsidRDefault="00CD0DE4" w:rsidP="00C35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84D2" w14:textId="77777777" w:rsidR="00797D52" w:rsidRDefault="00797D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B43E" w14:textId="77777777" w:rsidR="00797D52" w:rsidRDefault="00797D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4D52" w14:textId="77777777" w:rsidR="00797D52" w:rsidRDefault="00797D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81EAC" w14:textId="77777777" w:rsidR="00CD0DE4" w:rsidRDefault="00CD0DE4" w:rsidP="00C35F8A">
      <w:pPr>
        <w:spacing w:line="240" w:lineRule="auto"/>
      </w:pPr>
      <w:r>
        <w:separator/>
      </w:r>
    </w:p>
  </w:footnote>
  <w:footnote w:type="continuationSeparator" w:id="0">
    <w:p w14:paraId="1A427FDD" w14:textId="77777777" w:rsidR="00CD0DE4" w:rsidRDefault="00CD0DE4" w:rsidP="00C35F8A">
      <w:pPr>
        <w:spacing w:line="240" w:lineRule="auto"/>
      </w:pPr>
      <w:r>
        <w:continuationSeparator/>
      </w:r>
    </w:p>
  </w:footnote>
  <w:footnote w:id="1">
    <w:p w14:paraId="6ED2E09A" w14:textId="77777777" w:rsidR="00C35F8A" w:rsidRPr="00DE22CA" w:rsidRDefault="00C35F8A" w:rsidP="00C35F8A">
      <w:pPr>
        <w:pStyle w:val="Titre1"/>
        <w:ind w:left="1134" w:right="992"/>
        <w:jc w:val="both"/>
        <w:rPr>
          <w:b w:val="0"/>
          <w:sz w:val="20"/>
          <w:szCs w:val="20"/>
          <w:lang w:val="en-GB"/>
        </w:rPr>
      </w:pPr>
      <w:r w:rsidRPr="00DE22CA">
        <w:rPr>
          <w:rStyle w:val="Appelnotedebasdep"/>
          <w:b w:val="0"/>
          <w:sz w:val="20"/>
          <w:szCs w:val="20"/>
        </w:rPr>
        <w:footnoteRef/>
      </w:r>
      <w:r w:rsidRPr="00DE22CA">
        <w:rPr>
          <w:b w:val="0"/>
          <w:sz w:val="20"/>
          <w:szCs w:val="20"/>
          <w:lang w:val="en-GB"/>
        </w:rPr>
        <w:t xml:space="preserve"> Investigating Options for Reducing Releases in the Aquatic Environment of Microplastics Emitted by</w:t>
      </w:r>
      <w:r>
        <w:rPr>
          <w:b w:val="0"/>
          <w:sz w:val="20"/>
          <w:szCs w:val="20"/>
          <w:lang w:val="en-GB"/>
        </w:rPr>
        <w:t xml:space="preserve"> (but not intentionally added in)</w:t>
      </w:r>
      <w:r w:rsidRPr="00DE22CA">
        <w:rPr>
          <w:b w:val="0"/>
          <w:sz w:val="20"/>
          <w:szCs w:val="20"/>
          <w:lang w:val="en-GB"/>
        </w:rPr>
        <w:t xml:space="preserve"> Products</w:t>
      </w:r>
      <w:r>
        <w:rPr>
          <w:b w:val="0"/>
          <w:sz w:val="20"/>
          <w:szCs w:val="20"/>
          <w:lang w:val="en-GB"/>
        </w:rPr>
        <w:t xml:space="preserve"> – Report for DG-ENV of the European Commission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E2BB" w14:textId="77777777" w:rsidR="00797D52" w:rsidRDefault="00797D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88"/>
      <w:gridCol w:w="4584"/>
    </w:tblGrid>
    <w:tr w:rsidR="00797D52" w:rsidRPr="00BF610B" w14:paraId="46F2CBE6" w14:textId="77777777" w:rsidTr="00F114CD">
      <w:tc>
        <w:tcPr>
          <w:tcW w:w="4488" w:type="dxa"/>
          <w:shd w:val="clear" w:color="auto" w:fill="auto"/>
        </w:tcPr>
        <w:p w14:paraId="3D3C13B5" w14:textId="12D08131" w:rsidR="00797D52" w:rsidRPr="00BF610B" w:rsidRDefault="00797D52" w:rsidP="00797D52">
          <w:pPr>
            <w:tabs>
              <w:tab w:val="center" w:pos="4513"/>
              <w:tab w:val="right" w:pos="9026"/>
            </w:tabs>
            <w:spacing w:line="240" w:lineRule="auto"/>
            <w:rPr>
              <w:rFonts w:ascii="Times New Roman" w:hAnsi="Times New Roman" w:cs="Times New Roman"/>
              <w:bCs/>
              <w:lang w:val="en-GB"/>
            </w:rPr>
          </w:pPr>
          <w:r w:rsidRPr="00BF610B">
            <w:rPr>
              <w:rFonts w:ascii="Times New Roman" w:hAnsi="Times New Roman" w:cs="Times New Roman"/>
              <w:sz w:val="18"/>
              <w:szCs w:val="12"/>
              <w:lang w:val="en-GB"/>
            </w:rPr>
            <w:t xml:space="preserve">Submitted by the expert from </w:t>
          </w:r>
          <w:r>
            <w:rPr>
              <w:rFonts w:ascii="Times New Roman" w:hAnsi="Times New Roman" w:cs="Times New Roman"/>
              <w:sz w:val="18"/>
              <w:szCs w:val="12"/>
              <w:lang w:val="en-GB"/>
            </w:rPr>
            <w:t>European Commission and France</w:t>
          </w:r>
        </w:p>
      </w:tc>
      <w:tc>
        <w:tcPr>
          <w:tcW w:w="4584" w:type="dxa"/>
          <w:shd w:val="clear" w:color="auto" w:fill="auto"/>
          <w:hideMark/>
        </w:tcPr>
        <w:p w14:paraId="44CCD3C8" w14:textId="1015217B" w:rsidR="00797D52" w:rsidRPr="00BF610B" w:rsidRDefault="00797D52" w:rsidP="00797D52">
          <w:pPr>
            <w:tabs>
              <w:tab w:val="left" w:pos="3443"/>
              <w:tab w:val="center" w:pos="4513"/>
              <w:tab w:val="right" w:pos="9026"/>
            </w:tabs>
            <w:spacing w:line="240" w:lineRule="auto"/>
            <w:ind w:left="1503"/>
            <w:rPr>
              <w:rFonts w:ascii="Times New Roman" w:hAnsi="Times New Roman" w:cs="Times New Roman"/>
              <w:sz w:val="18"/>
              <w:szCs w:val="18"/>
              <w:lang w:val="en-GB"/>
            </w:rPr>
          </w:pPr>
          <w:r w:rsidRPr="00BF610B">
            <w:rPr>
              <w:rFonts w:ascii="Times New Roman" w:hAnsi="Times New Roman" w:cs="Times New Roman"/>
              <w:bCs/>
              <w:sz w:val="18"/>
              <w:szCs w:val="18"/>
              <w:u w:val="single"/>
              <w:lang w:val="en-GB"/>
            </w:rPr>
            <w:t>Informal document</w:t>
          </w: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 </w:t>
          </w:r>
          <w:r w:rsidRPr="00BF610B">
            <w:rPr>
              <w:rFonts w:ascii="Times New Roman" w:hAnsi="Times New Roman" w:cs="Times New Roman"/>
              <w:sz w:val="18"/>
              <w:szCs w:val="18"/>
              <w:lang w:val="en-GB"/>
            </w:rPr>
            <w:t>GRBP-7</w:t>
          </w:r>
          <w:r>
            <w:rPr>
              <w:rFonts w:ascii="Times New Roman" w:hAnsi="Times New Roman" w:cs="Times New Roman"/>
              <w:sz w:val="18"/>
              <w:szCs w:val="18"/>
              <w:lang w:val="en-GB"/>
            </w:rPr>
            <w:t>5</w:t>
          </w:r>
          <w:r w:rsidRPr="00BF610B">
            <w:rPr>
              <w:rFonts w:ascii="Times New Roman" w:hAnsi="Times New Roman" w:cs="Times New Roman"/>
              <w:sz w:val="18"/>
              <w:szCs w:val="18"/>
              <w:lang w:val="en-GB"/>
            </w:rPr>
            <w:t>-</w:t>
          </w:r>
          <w:r w:rsidR="00877307">
            <w:rPr>
              <w:rFonts w:ascii="Times New Roman" w:hAnsi="Times New Roman" w:cs="Times New Roman"/>
              <w:sz w:val="18"/>
              <w:szCs w:val="18"/>
              <w:lang w:val="en-GB"/>
            </w:rPr>
            <w:t>39</w:t>
          </w:r>
          <w:r w:rsidR="00AB1F97" w:rsidRPr="00AB1F97">
            <w:rPr>
              <w:rFonts w:ascii="Times New Roman" w:hAnsi="Times New Roman" w:cs="Times New Roman"/>
              <w:color w:val="FF0000"/>
              <w:sz w:val="18"/>
              <w:szCs w:val="18"/>
              <w:lang w:val="en-GB"/>
            </w:rPr>
            <w:t>-rev1</w:t>
          </w:r>
        </w:p>
        <w:p w14:paraId="00E56F02" w14:textId="65424024" w:rsidR="00797D52" w:rsidRPr="00BF610B" w:rsidRDefault="00797D52" w:rsidP="00797D52">
          <w:pPr>
            <w:tabs>
              <w:tab w:val="left" w:pos="3443"/>
              <w:tab w:val="center" w:pos="4513"/>
              <w:tab w:val="right" w:pos="9026"/>
            </w:tabs>
            <w:spacing w:line="240" w:lineRule="auto"/>
            <w:ind w:left="1496"/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</w:pP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>(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>75</w:t>
          </w:r>
          <w:r w:rsidRPr="000D01ED">
            <w:rPr>
              <w:rFonts w:ascii="Times New Roman" w:hAnsi="Times New Roman" w:cs="Times New Roman"/>
              <w:bCs/>
              <w:sz w:val="18"/>
              <w:szCs w:val="18"/>
              <w:vertAlign w:val="superscript"/>
              <w:lang w:val="en-GB"/>
            </w:rPr>
            <w:t>th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 </w:t>
          </w: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GRBP, </w:t>
          </w:r>
          <w:r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>8-11 February</w:t>
          </w: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 2021,</w:t>
          </w:r>
        </w:p>
        <w:p w14:paraId="7CE060E9" w14:textId="5061236A" w:rsidR="00797D52" w:rsidRPr="00BF610B" w:rsidRDefault="00797D52" w:rsidP="00797D52">
          <w:pPr>
            <w:tabs>
              <w:tab w:val="left" w:pos="3443"/>
              <w:tab w:val="center" w:pos="4513"/>
              <w:tab w:val="right" w:pos="9026"/>
            </w:tabs>
            <w:spacing w:line="240" w:lineRule="auto"/>
            <w:ind w:left="1496"/>
            <w:rPr>
              <w:rFonts w:ascii="Times New Roman" w:hAnsi="Times New Roman" w:cs="Times New Roman"/>
              <w:bCs/>
              <w:lang w:val="en-GB"/>
            </w:rPr>
          </w:pP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>agenda item</w:t>
          </w:r>
          <w:r w:rsidR="00877307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 11</w:t>
          </w:r>
          <w:r w:rsidRPr="00BF610B">
            <w:rPr>
              <w:rFonts w:ascii="Times New Roman" w:hAnsi="Times New Roman" w:cs="Times New Roman"/>
              <w:bCs/>
              <w:sz w:val="18"/>
              <w:szCs w:val="18"/>
              <w:lang w:val="en-GB"/>
            </w:rPr>
            <w:t xml:space="preserve">) </w:t>
          </w:r>
        </w:p>
      </w:tc>
    </w:tr>
  </w:tbl>
  <w:p w14:paraId="71323C5A" w14:textId="77777777" w:rsidR="00797D52" w:rsidRPr="00797D52" w:rsidRDefault="00797D52">
    <w:pPr>
      <w:pStyle w:val="En-tt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1E43" w14:textId="77777777" w:rsidR="00797D52" w:rsidRDefault="00797D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81D94"/>
    <w:multiLevelType w:val="hybridMultilevel"/>
    <w:tmpl w:val="5F72072E"/>
    <w:lvl w:ilvl="0" w:tplc="461ADBE4">
      <w:numFmt w:val="bullet"/>
      <w:lvlText w:val="·"/>
      <w:lvlJc w:val="left"/>
      <w:pPr>
        <w:ind w:left="2271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9CE6F24"/>
    <w:multiLevelType w:val="hybridMultilevel"/>
    <w:tmpl w:val="FE662110"/>
    <w:lvl w:ilvl="0" w:tplc="040C0015">
      <w:start w:val="1"/>
      <w:numFmt w:val="upperLetter"/>
      <w:lvlText w:val="%1."/>
      <w:lvlJc w:val="left"/>
      <w:pPr>
        <w:ind w:left="2421" w:hanging="360"/>
      </w:pPr>
    </w:lvl>
    <w:lvl w:ilvl="1" w:tplc="040C0019" w:tentative="1">
      <w:start w:val="1"/>
      <w:numFmt w:val="lowerLetter"/>
      <w:lvlText w:val="%2."/>
      <w:lvlJc w:val="left"/>
      <w:pPr>
        <w:ind w:left="3141" w:hanging="360"/>
      </w:pPr>
    </w:lvl>
    <w:lvl w:ilvl="2" w:tplc="040C001B" w:tentative="1">
      <w:start w:val="1"/>
      <w:numFmt w:val="lowerRoman"/>
      <w:lvlText w:val="%3."/>
      <w:lvlJc w:val="right"/>
      <w:pPr>
        <w:ind w:left="3861" w:hanging="180"/>
      </w:pPr>
    </w:lvl>
    <w:lvl w:ilvl="3" w:tplc="040C000F" w:tentative="1">
      <w:start w:val="1"/>
      <w:numFmt w:val="decimal"/>
      <w:lvlText w:val="%4."/>
      <w:lvlJc w:val="left"/>
      <w:pPr>
        <w:ind w:left="4581" w:hanging="360"/>
      </w:pPr>
    </w:lvl>
    <w:lvl w:ilvl="4" w:tplc="040C0019" w:tentative="1">
      <w:start w:val="1"/>
      <w:numFmt w:val="lowerLetter"/>
      <w:lvlText w:val="%5."/>
      <w:lvlJc w:val="left"/>
      <w:pPr>
        <w:ind w:left="5301" w:hanging="360"/>
      </w:pPr>
    </w:lvl>
    <w:lvl w:ilvl="5" w:tplc="040C001B" w:tentative="1">
      <w:start w:val="1"/>
      <w:numFmt w:val="lowerRoman"/>
      <w:lvlText w:val="%6."/>
      <w:lvlJc w:val="right"/>
      <w:pPr>
        <w:ind w:left="6021" w:hanging="180"/>
      </w:pPr>
    </w:lvl>
    <w:lvl w:ilvl="6" w:tplc="040C000F" w:tentative="1">
      <w:start w:val="1"/>
      <w:numFmt w:val="decimal"/>
      <w:lvlText w:val="%7."/>
      <w:lvlJc w:val="left"/>
      <w:pPr>
        <w:ind w:left="6741" w:hanging="360"/>
      </w:pPr>
    </w:lvl>
    <w:lvl w:ilvl="7" w:tplc="040C0019" w:tentative="1">
      <w:start w:val="1"/>
      <w:numFmt w:val="lowerLetter"/>
      <w:lvlText w:val="%8."/>
      <w:lvlJc w:val="left"/>
      <w:pPr>
        <w:ind w:left="7461" w:hanging="360"/>
      </w:pPr>
    </w:lvl>
    <w:lvl w:ilvl="8" w:tplc="040C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65326A9C"/>
    <w:multiLevelType w:val="hybridMultilevel"/>
    <w:tmpl w:val="FA88E69A"/>
    <w:lvl w:ilvl="0" w:tplc="63726B46">
      <w:numFmt w:val="bullet"/>
      <w:lvlText w:val="·"/>
      <w:lvlJc w:val="left"/>
      <w:pPr>
        <w:ind w:left="2271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yMzeztLA0NrYwMrRQ0lEKTi0uzszPAykwrAUArNa+yCwAAAA="/>
    <w:docVar w:name="LW_DocType" w:val="NORMAL"/>
  </w:docVars>
  <w:rsids>
    <w:rsidRoot w:val="006966B8"/>
    <w:rsid w:val="00031141"/>
    <w:rsid w:val="00033A40"/>
    <w:rsid w:val="000A32B4"/>
    <w:rsid w:val="000B039B"/>
    <w:rsid w:val="000C1BB3"/>
    <w:rsid w:val="00122D80"/>
    <w:rsid w:val="001571F2"/>
    <w:rsid w:val="00160F21"/>
    <w:rsid w:val="00165E1C"/>
    <w:rsid w:val="0018325D"/>
    <w:rsid w:val="001C6773"/>
    <w:rsid w:val="001C70E9"/>
    <w:rsid w:val="001E62AA"/>
    <w:rsid w:val="00237E49"/>
    <w:rsid w:val="00243171"/>
    <w:rsid w:val="00277C83"/>
    <w:rsid w:val="002C0DAE"/>
    <w:rsid w:val="002C18FD"/>
    <w:rsid w:val="002F069F"/>
    <w:rsid w:val="003272C6"/>
    <w:rsid w:val="003A4115"/>
    <w:rsid w:val="00420EB1"/>
    <w:rsid w:val="00450CB1"/>
    <w:rsid w:val="00470417"/>
    <w:rsid w:val="004B1524"/>
    <w:rsid w:val="004C2735"/>
    <w:rsid w:val="004C283B"/>
    <w:rsid w:val="004C5CD1"/>
    <w:rsid w:val="004E407A"/>
    <w:rsid w:val="00530531"/>
    <w:rsid w:val="005318FE"/>
    <w:rsid w:val="00550357"/>
    <w:rsid w:val="00573AAA"/>
    <w:rsid w:val="00584DEE"/>
    <w:rsid w:val="005A529A"/>
    <w:rsid w:val="005D2DC1"/>
    <w:rsid w:val="00614D73"/>
    <w:rsid w:val="00650BD1"/>
    <w:rsid w:val="00693E1A"/>
    <w:rsid w:val="006966B8"/>
    <w:rsid w:val="006F2DFC"/>
    <w:rsid w:val="007117D2"/>
    <w:rsid w:val="00711C5B"/>
    <w:rsid w:val="00727F6C"/>
    <w:rsid w:val="00754A46"/>
    <w:rsid w:val="0077450D"/>
    <w:rsid w:val="00797D52"/>
    <w:rsid w:val="007B7694"/>
    <w:rsid w:val="007B78F5"/>
    <w:rsid w:val="007D02DE"/>
    <w:rsid w:val="007F63B3"/>
    <w:rsid w:val="008132D3"/>
    <w:rsid w:val="00871859"/>
    <w:rsid w:val="00877307"/>
    <w:rsid w:val="00883947"/>
    <w:rsid w:val="008A5308"/>
    <w:rsid w:val="00904F95"/>
    <w:rsid w:val="00914F69"/>
    <w:rsid w:val="00935D90"/>
    <w:rsid w:val="00936914"/>
    <w:rsid w:val="00976D7B"/>
    <w:rsid w:val="009A1569"/>
    <w:rsid w:val="009C5707"/>
    <w:rsid w:val="00A93656"/>
    <w:rsid w:val="00AB1F97"/>
    <w:rsid w:val="00AE4C4B"/>
    <w:rsid w:val="00AE53D2"/>
    <w:rsid w:val="00B12395"/>
    <w:rsid w:val="00B27B65"/>
    <w:rsid w:val="00B4048B"/>
    <w:rsid w:val="00B60F3E"/>
    <w:rsid w:val="00B74813"/>
    <w:rsid w:val="00BA2520"/>
    <w:rsid w:val="00BB04E7"/>
    <w:rsid w:val="00BC1D9B"/>
    <w:rsid w:val="00C344D6"/>
    <w:rsid w:val="00C35F8A"/>
    <w:rsid w:val="00C502C7"/>
    <w:rsid w:val="00C54856"/>
    <w:rsid w:val="00C71A46"/>
    <w:rsid w:val="00C964C0"/>
    <w:rsid w:val="00CA56A5"/>
    <w:rsid w:val="00CD0DE4"/>
    <w:rsid w:val="00CD10AD"/>
    <w:rsid w:val="00D30BF3"/>
    <w:rsid w:val="00D45969"/>
    <w:rsid w:val="00D654D2"/>
    <w:rsid w:val="00D71B37"/>
    <w:rsid w:val="00D77B48"/>
    <w:rsid w:val="00D91F21"/>
    <w:rsid w:val="00DA52BF"/>
    <w:rsid w:val="00DB67FA"/>
    <w:rsid w:val="00DD45E8"/>
    <w:rsid w:val="00DE5166"/>
    <w:rsid w:val="00DF45D9"/>
    <w:rsid w:val="00E009A2"/>
    <w:rsid w:val="00E13619"/>
    <w:rsid w:val="00E45D50"/>
    <w:rsid w:val="00E46F7F"/>
    <w:rsid w:val="00E52093"/>
    <w:rsid w:val="00E52A7A"/>
    <w:rsid w:val="00E83AC7"/>
    <w:rsid w:val="00E93790"/>
    <w:rsid w:val="00EA4910"/>
    <w:rsid w:val="00EA5408"/>
    <w:rsid w:val="00EC2E01"/>
    <w:rsid w:val="00EC2F0A"/>
    <w:rsid w:val="00ED464A"/>
    <w:rsid w:val="00F05FC0"/>
    <w:rsid w:val="00F724CD"/>
    <w:rsid w:val="00F77AE2"/>
    <w:rsid w:val="00FA426E"/>
    <w:rsid w:val="00FB0C34"/>
    <w:rsid w:val="00FC1E0F"/>
    <w:rsid w:val="00FF1353"/>
    <w:rsid w:val="00FF2D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96EBA"/>
  <w15:docId w15:val="{6FAD7B3B-75AC-4815-A188-C8A86707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C5B"/>
    <w:pPr>
      <w:spacing w:after="0"/>
      <w:jc w:val="both"/>
    </w:pPr>
  </w:style>
  <w:style w:type="paragraph" w:styleId="Titre1">
    <w:name w:val="heading 1"/>
    <w:basedOn w:val="Normal"/>
    <w:link w:val="Titre1Car"/>
    <w:uiPriority w:val="9"/>
    <w:qFormat/>
    <w:rsid w:val="00C35F8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7C83"/>
    <w:pPr>
      <w:spacing w:after="0" w:line="240" w:lineRule="auto"/>
      <w:jc w:val="both"/>
    </w:pPr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7117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17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17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17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17D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7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7D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1A4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35F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Appelnotedebasdep">
    <w:name w:val="footnote reference"/>
    <w:basedOn w:val="Policepardfaut"/>
    <w:uiPriority w:val="99"/>
    <w:semiHidden/>
    <w:unhideWhenUsed/>
    <w:rsid w:val="00C35F8A"/>
    <w:rPr>
      <w:vertAlign w:val="superscript"/>
    </w:rPr>
  </w:style>
  <w:style w:type="paragraph" w:styleId="Rvision">
    <w:name w:val="Revision"/>
    <w:hidden/>
    <w:uiPriority w:val="99"/>
    <w:semiHidden/>
    <w:rsid w:val="00DF45D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97D5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D52"/>
  </w:style>
  <w:style w:type="paragraph" w:styleId="Pieddepage">
    <w:name w:val="footer"/>
    <w:basedOn w:val="Normal"/>
    <w:link w:val="PieddepageCar"/>
    <w:uiPriority w:val="99"/>
    <w:unhideWhenUsed/>
    <w:rsid w:val="00797D5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BBC29C-CD9B-43B6-A9D4-D4E207358B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7C59F4-AE44-4FAE-89F8-0F43A0FE80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99B168-2DF3-4074-8C5F-6519748F3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30ADC5-0E67-4390-912E-A060D0AAA9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ECollot</dc:creator>
  <cp:keywords/>
  <dc:description/>
  <cp:lastModifiedBy>ECollot</cp:lastModifiedBy>
  <cp:revision>5</cp:revision>
  <dcterms:created xsi:type="dcterms:W3CDTF">2022-02-08T12:22:00Z</dcterms:created>
  <dcterms:modified xsi:type="dcterms:W3CDTF">2022-02-10T19:00:00Z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