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4790" w14:textId="3AAE1AF4" w:rsidR="00A935A1" w:rsidRPr="00A4674D" w:rsidRDefault="009E156F" w:rsidP="009E156F">
      <w:pPr>
        <w:pStyle w:val="HChG"/>
        <w:tabs>
          <w:tab w:val="clear" w:pos="851"/>
        </w:tabs>
        <w:spacing w:line="240" w:lineRule="auto"/>
        <w:ind w:left="567" w:right="708" w:firstLine="0"/>
        <w:rPr>
          <w:lang w:val="en-GB"/>
        </w:rPr>
      </w:pPr>
      <w:r w:rsidRPr="009E156F">
        <w:rPr>
          <w:lang w:val="en-GB"/>
        </w:rPr>
        <w:t xml:space="preserve">Proposal for </w:t>
      </w:r>
      <w:r w:rsidR="00C95247">
        <w:rPr>
          <w:lang w:val="en-GB"/>
        </w:rPr>
        <w:t xml:space="preserve">a new </w:t>
      </w:r>
      <w:r w:rsidRPr="009E156F">
        <w:rPr>
          <w:lang w:val="en-GB"/>
        </w:rPr>
        <w:t>Supplement to</w:t>
      </w:r>
      <w:r w:rsidR="00C95247">
        <w:rPr>
          <w:lang w:val="en-GB"/>
        </w:rPr>
        <w:t xml:space="preserve"> the</w:t>
      </w:r>
      <w:r w:rsidRPr="009E156F">
        <w:rPr>
          <w:lang w:val="en-GB"/>
        </w:rPr>
        <w:t xml:space="preserve"> 01 series of amendments to UN Regulation No. 141</w:t>
      </w:r>
    </w:p>
    <w:p w14:paraId="4F196F16" w14:textId="5540E0AF" w:rsidR="00A4674D" w:rsidRDefault="00A4674D" w:rsidP="3070EEC0">
      <w:pPr>
        <w:jc w:val="both"/>
        <w:rPr>
          <w:rFonts w:ascii="Times New Roman" w:hAnsi="Times New Roman"/>
          <w:lang w:val="en-US"/>
        </w:rPr>
      </w:pPr>
      <w:r w:rsidRPr="000515B9">
        <w:rPr>
          <w:rFonts w:ascii="Times New Roman" w:hAnsi="Times New Roman"/>
          <w:lang w:val="en-US"/>
        </w:rPr>
        <w:t>The text reproduced below was prepared by the expert from the European Association of Automotive Suppliers (CLEPA) to</w:t>
      </w:r>
      <w:r w:rsidR="00834DA2" w:rsidRPr="000515B9">
        <w:rPr>
          <w:rFonts w:ascii="Times New Roman" w:hAnsi="Times New Roman"/>
          <w:lang w:val="en-US"/>
        </w:rPr>
        <w:t xml:space="preserve"> </w:t>
      </w:r>
      <w:r w:rsidR="009E156F">
        <w:rPr>
          <w:rFonts w:ascii="Times New Roman" w:hAnsi="Times New Roman"/>
          <w:lang w:val="en-US"/>
        </w:rPr>
        <w:t>clarify some prescriptions and correct some text inconsistencies</w:t>
      </w:r>
      <w:r w:rsidR="00AF4A43" w:rsidRPr="000515B9">
        <w:rPr>
          <w:rFonts w:ascii="Times New Roman" w:hAnsi="Times New Roman"/>
          <w:lang w:val="en-US"/>
        </w:rPr>
        <w:t>.</w:t>
      </w:r>
      <w:r w:rsidR="4ED067DF" w:rsidRPr="000515B9">
        <w:rPr>
          <w:rFonts w:ascii="Times New Roman" w:hAnsi="Times New Roman"/>
          <w:lang w:val="en-US"/>
        </w:rPr>
        <w:t xml:space="preserve"> </w:t>
      </w:r>
      <w:r w:rsidRPr="000515B9">
        <w:rPr>
          <w:rFonts w:ascii="Times New Roman" w:hAnsi="Times New Roman"/>
          <w:lang w:val="en-US"/>
        </w:rPr>
        <w:t xml:space="preserve">The modifications to the existing text of the Regulation are marked in </w:t>
      </w:r>
      <w:r w:rsidRPr="000515B9">
        <w:rPr>
          <w:rFonts w:ascii="Times New Roman" w:hAnsi="Times New Roman"/>
          <w:b/>
          <w:bCs/>
          <w:lang w:val="en-US"/>
        </w:rPr>
        <w:t>bold</w:t>
      </w:r>
      <w:r w:rsidRPr="000515B9">
        <w:rPr>
          <w:rFonts w:ascii="Times New Roman" w:hAnsi="Times New Roman"/>
          <w:lang w:val="en-US"/>
        </w:rPr>
        <w:t xml:space="preserve"> for new and </w:t>
      </w:r>
      <w:r w:rsidRPr="000515B9">
        <w:rPr>
          <w:rFonts w:ascii="Times New Roman" w:hAnsi="Times New Roman"/>
          <w:strike/>
          <w:lang w:val="en-US"/>
        </w:rPr>
        <w:t>strikethroug</w:t>
      </w:r>
      <w:r w:rsidRPr="000515B9">
        <w:rPr>
          <w:rFonts w:ascii="Times New Roman" w:hAnsi="Times New Roman"/>
          <w:lang w:val="en-US"/>
        </w:rPr>
        <w:t>h for deleted characters</w:t>
      </w:r>
      <w:r w:rsidR="000515B9" w:rsidRPr="000515B9">
        <w:rPr>
          <w:rFonts w:ascii="Times New Roman" w:hAnsi="Times New Roman"/>
          <w:lang w:val="en-US"/>
        </w:rPr>
        <w:t>.</w:t>
      </w:r>
    </w:p>
    <w:p w14:paraId="2603BB15" w14:textId="685CDC4F" w:rsidR="009E156F" w:rsidRDefault="009E156F" w:rsidP="3070EEC0">
      <w:pPr>
        <w:jc w:val="both"/>
        <w:rPr>
          <w:rFonts w:ascii="Times New Roman" w:hAnsi="Times New Roman"/>
          <w:lang w:val="en-US"/>
        </w:rPr>
      </w:pPr>
    </w:p>
    <w:p w14:paraId="4400A41A" w14:textId="77777777" w:rsidR="009E156F" w:rsidRPr="00A4674D" w:rsidRDefault="009E156F" w:rsidP="009E156F">
      <w:pPr>
        <w:pStyle w:val="SingleTxtG"/>
        <w:numPr>
          <w:ilvl w:val="0"/>
          <w:numId w:val="1"/>
        </w:numPr>
        <w:tabs>
          <w:tab w:val="left" w:pos="2268"/>
        </w:tabs>
        <w:rPr>
          <w:b/>
          <w:sz w:val="32"/>
          <w:szCs w:val="32"/>
          <w:lang w:val="en-GB"/>
        </w:rPr>
      </w:pPr>
      <w:r w:rsidRPr="00A4674D">
        <w:rPr>
          <w:b/>
          <w:sz w:val="32"/>
          <w:szCs w:val="32"/>
          <w:lang w:val="en-GB"/>
        </w:rPr>
        <w:t>Proposal:</w:t>
      </w:r>
    </w:p>
    <w:p w14:paraId="4D7CB38A" w14:textId="77777777" w:rsidR="009E156F" w:rsidRDefault="009E156F" w:rsidP="3070EEC0">
      <w:pPr>
        <w:jc w:val="both"/>
        <w:rPr>
          <w:rFonts w:ascii="Times New Roman" w:hAnsi="Times New Roman"/>
          <w:lang w:val="en-US"/>
        </w:rPr>
      </w:pPr>
    </w:p>
    <w:p w14:paraId="0F00ACCE" w14:textId="2273B9CA" w:rsidR="009E156F" w:rsidRPr="00C639AE" w:rsidRDefault="009E156F" w:rsidP="009E156F">
      <w:pPr>
        <w:pStyle w:val="SingleTxtG"/>
        <w:numPr>
          <w:ilvl w:val="0"/>
          <w:numId w:val="2"/>
        </w:numPr>
        <w:autoSpaceDN/>
        <w:textAlignment w:val="auto"/>
        <w:rPr>
          <w:lang w:val="en-US"/>
        </w:rPr>
      </w:pPr>
      <w:r w:rsidRPr="00C639AE">
        <w:rPr>
          <w:lang w:val="en-US"/>
        </w:rPr>
        <w:t>Annex 3, paragraph 1.5.1</w:t>
      </w:r>
      <w:r>
        <w:rPr>
          <w:lang w:val="en-US"/>
        </w:rPr>
        <w:t>, amend to read:</w:t>
      </w:r>
    </w:p>
    <w:p w14:paraId="27F20D7D" w14:textId="63CDCE76" w:rsidR="009E156F" w:rsidRPr="00C639AE" w:rsidRDefault="00A71675" w:rsidP="009E156F">
      <w:pPr>
        <w:pStyle w:val="SingleTxtG"/>
        <w:snapToGrid w:val="0"/>
        <w:ind w:left="2268" w:hanging="567"/>
        <w:rPr>
          <w:szCs w:val="24"/>
          <w:lang w:val="en-US"/>
        </w:rPr>
      </w:pPr>
      <w:r>
        <w:rPr>
          <w:lang w:val="en-US"/>
        </w:rPr>
        <w:t>“</w:t>
      </w:r>
      <w:r w:rsidR="009E156F" w:rsidRPr="00C639AE">
        <w:rPr>
          <w:lang w:val="en-US"/>
        </w:rPr>
        <w:t>1.5.1</w:t>
      </w:r>
      <w:r w:rsidR="009E156F" w:rsidRPr="00C639AE">
        <w:rPr>
          <w:lang w:val="en-US"/>
        </w:rPr>
        <w:tab/>
      </w:r>
      <w:r w:rsidR="009E156F" w:rsidRPr="00C639AE">
        <w:rPr>
          <w:szCs w:val="24"/>
          <w:lang w:val="en-US"/>
        </w:rPr>
        <w:t>Test weight.</w:t>
      </w:r>
    </w:p>
    <w:p w14:paraId="0BFC4629" w14:textId="77777777" w:rsidR="009E156F" w:rsidRPr="00C639AE" w:rsidRDefault="009E156F" w:rsidP="009E156F">
      <w:pPr>
        <w:pStyle w:val="SingleTxtG"/>
        <w:snapToGrid w:val="0"/>
        <w:ind w:left="2268" w:hanging="1134"/>
        <w:rPr>
          <w:szCs w:val="24"/>
          <w:lang w:val="en-US"/>
        </w:rPr>
      </w:pPr>
      <w:r w:rsidRPr="00C639AE">
        <w:rPr>
          <w:szCs w:val="24"/>
          <w:lang w:val="en-US"/>
        </w:rPr>
        <w:tab/>
        <w:t>The vehicle may be tested at any condition of load, the distribution of the mass among the axles being that stated by the vehicle manufacturer without exceeding any of the maximum permissible mass for each axle.</w:t>
      </w:r>
    </w:p>
    <w:p w14:paraId="681C4CE3" w14:textId="77777777" w:rsidR="009E156F" w:rsidRPr="00C639AE" w:rsidRDefault="009E156F" w:rsidP="009E156F">
      <w:pPr>
        <w:pStyle w:val="SingleTxtG"/>
        <w:snapToGrid w:val="0"/>
        <w:ind w:left="2268" w:hanging="1134"/>
        <w:rPr>
          <w:strike/>
          <w:szCs w:val="24"/>
          <w:lang w:val="en-US"/>
        </w:rPr>
      </w:pPr>
      <w:r w:rsidRPr="00C639AE">
        <w:rPr>
          <w:szCs w:val="24"/>
          <w:lang w:val="en-US"/>
        </w:rPr>
        <w:tab/>
      </w:r>
      <w:r w:rsidRPr="00CA56A4">
        <w:rPr>
          <w:szCs w:val="24"/>
          <w:lang w:val="en-US"/>
        </w:rPr>
        <w:t>However</w:t>
      </w:r>
      <w:r w:rsidRPr="00C639AE">
        <w:rPr>
          <w:szCs w:val="24"/>
          <w:lang w:val="en-US"/>
        </w:rPr>
        <w:t>, in the case where there is no possibility to set or reset the system, the vehicle shall be unladen</w:t>
      </w:r>
      <w:r>
        <w:rPr>
          <w:szCs w:val="24"/>
          <w:lang w:val="en-US"/>
        </w:rPr>
        <w:t xml:space="preserve">, </w:t>
      </w:r>
      <w:r w:rsidRPr="00C87968">
        <w:rPr>
          <w:b/>
          <w:bCs/>
          <w:szCs w:val="24"/>
          <w:lang w:val="en-US"/>
        </w:rPr>
        <w:t xml:space="preserve">but for systems which will automatically raise the lift axle when no load is detected the vehicle shall be laden enough </w:t>
      </w:r>
      <w:r w:rsidRPr="00930B3E">
        <w:rPr>
          <w:b/>
          <w:bCs/>
          <w:szCs w:val="24"/>
          <w:lang w:val="en-US"/>
        </w:rPr>
        <w:t>to avoid lifting of those axles</w:t>
      </w:r>
      <w:r>
        <w:rPr>
          <w:szCs w:val="24"/>
          <w:lang w:val="en-US"/>
        </w:rPr>
        <w:t xml:space="preserve">. </w:t>
      </w:r>
      <w:r w:rsidRPr="00C639AE">
        <w:rPr>
          <w:szCs w:val="24"/>
          <w:lang w:val="en-US"/>
        </w:rPr>
        <w:t xml:space="preserve">For </w:t>
      </w:r>
      <w:r w:rsidRPr="00C639AE">
        <w:rPr>
          <w:lang w:val="en-US"/>
        </w:rPr>
        <w:t>vehicles of category M</w:t>
      </w:r>
      <w:r w:rsidRPr="00C639AE">
        <w:rPr>
          <w:vertAlign w:val="subscript"/>
          <w:lang w:val="en-US"/>
        </w:rPr>
        <w:t>1</w:t>
      </w:r>
      <w:r w:rsidRPr="00C639AE">
        <w:rPr>
          <w:lang w:val="en-US"/>
        </w:rPr>
        <w:t xml:space="preserve"> up to a maximum mass of 3,500 kg, M</w:t>
      </w:r>
      <w:r w:rsidRPr="00C639AE">
        <w:rPr>
          <w:vertAlign w:val="subscript"/>
          <w:lang w:val="en-US"/>
        </w:rPr>
        <w:t>2</w:t>
      </w:r>
      <w:r w:rsidRPr="00C639AE">
        <w:rPr>
          <w:lang w:val="en-US"/>
        </w:rPr>
        <w:t>, M</w:t>
      </w:r>
      <w:r w:rsidRPr="00C639AE">
        <w:rPr>
          <w:vertAlign w:val="subscript"/>
          <w:lang w:val="en-US"/>
        </w:rPr>
        <w:t>3</w:t>
      </w:r>
      <w:r w:rsidRPr="00C639AE">
        <w:rPr>
          <w:lang w:val="en-US"/>
        </w:rPr>
        <w:t>, N</w:t>
      </w:r>
      <w:r w:rsidRPr="00C639AE">
        <w:rPr>
          <w:vertAlign w:val="subscript"/>
          <w:lang w:val="en-US"/>
        </w:rPr>
        <w:t>1</w:t>
      </w:r>
      <w:r w:rsidRPr="00C639AE">
        <w:rPr>
          <w:lang w:val="en-US"/>
        </w:rPr>
        <w:t>, N</w:t>
      </w:r>
      <w:r w:rsidRPr="00C639AE">
        <w:rPr>
          <w:vertAlign w:val="subscript"/>
          <w:lang w:val="en-US"/>
        </w:rPr>
        <w:t>2</w:t>
      </w:r>
      <w:r w:rsidRPr="00C639AE">
        <w:rPr>
          <w:lang w:val="en-US"/>
        </w:rPr>
        <w:t>, and N</w:t>
      </w:r>
      <w:r w:rsidRPr="00C639AE">
        <w:rPr>
          <w:vertAlign w:val="subscript"/>
          <w:lang w:val="en-US"/>
        </w:rPr>
        <w:t xml:space="preserve">3 </w:t>
      </w:r>
      <w:r w:rsidRPr="00C639AE">
        <w:rPr>
          <w:szCs w:val="24"/>
          <w:lang w:val="en-US"/>
        </w:rPr>
        <w:t xml:space="preserve">there may be, in addition to the driver, a second person on the front seat (if fitted) who is responsible for noting the results of the tests. </w:t>
      </w:r>
    </w:p>
    <w:p w14:paraId="20BE90EF" w14:textId="4CDF8FBB" w:rsidR="009E156F" w:rsidRPr="00C639AE" w:rsidRDefault="009E156F" w:rsidP="009E156F">
      <w:pPr>
        <w:pStyle w:val="SingleTxtG"/>
        <w:ind w:left="2268"/>
        <w:rPr>
          <w:szCs w:val="24"/>
          <w:lang w:val="en-US"/>
        </w:rPr>
      </w:pPr>
      <w:r w:rsidRPr="00C639AE">
        <w:rPr>
          <w:szCs w:val="24"/>
          <w:lang w:val="en-US"/>
        </w:rPr>
        <w:t>The load condition shall not be modified during the test</w:t>
      </w:r>
      <w:r w:rsidR="00A71675">
        <w:rPr>
          <w:szCs w:val="24"/>
          <w:lang w:val="en-US"/>
        </w:rPr>
        <w:t>”</w:t>
      </w:r>
    </w:p>
    <w:p w14:paraId="49CAECF3" w14:textId="77777777" w:rsidR="009E156F" w:rsidRPr="00C639AE" w:rsidRDefault="009E156F" w:rsidP="009E156F">
      <w:pPr>
        <w:pStyle w:val="SingleTxtG"/>
        <w:ind w:left="2268"/>
        <w:rPr>
          <w:lang w:val="en-US"/>
        </w:rPr>
      </w:pPr>
    </w:p>
    <w:p w14:paraId="08F1151A" w14:textId="5543D789" w:rsidR="009E156F" w:rsidRPr="00C639AE" w:rsidRDefault="009E156F" w:rsidP="009E156F">
      <w:pPr>
        <w:pStyle w:val="SingleTxtG"/>
        <w:numPr>
          <w:ilvl w:val="0"/>
          <w:numId w:val="2"/>
        </w:numPr>
        <w:autoSpaceDN/>
        <w:textAlignment w:val="auto"/>
        <w:rPr>
          <w:lang w:val="en-US"/>
        </w:rPr>
      </w:pPr>
      <w:r w:rsidRPr="00C639AE">
        <w:rPr>
          <w:lang w:val="en-US"/>
        </w:rPr>
        <w:t>Annex 3, paragraph 2.2</w:t>
      </w:r>
      <w:r w:rsidR="00C95247">
        <w:rPr>
          <w:lang w:val="en-US"/>
        </w:rPr>
        <w:t>, amend to read:</w:t>
      </w:r>
    </w:p>
    <w:p w14:paraId="23C32C5C" w14:textId="4C2A1553" w:rsidR="009E156F" w:rsidRPr="00C639AE" w:rsidRDefault="00A71675" w:rsidP="009E156F">
      <w:pPr>
        <w:pStyle w:val="SingleTxtG"/>
        <w:numPr>
          <w:ilvl w:val="1"/>
          <w:numId w:val="3"/>
        </w:numPr>
        <w:autoSpaceDN/>
        <w:textAlignment w:val="auto"/>
        <w:rPr>
          <w:lang w:val="en-US"/>
        </w:rPr>
      </w:pPr>
      <w:r>
        <w:rPr>
          <w:szCs w:val="24"/>
          <w:lang w:val="en-US"/>
        </w:rPr>
        <w:t>“</w:t>
      </w:r>
      <w:r w:rsidR="009E156F" w:rsidRPr="00C639AE">
        <w:rPr>
          <w:szCs w:val="24"/>
          <w:lang w:val="en-US"/>
        </w:rPr>
        <w:t xml:space="preserve">With the vehicle stationary and the ignition locking system in the "Lock" or "Off" position, activate the ignition locking system to the "On" or "Run" position. The </w:t>
      </w:r>
      <w:r w:rsidR="009E156F" w:rsidRPr="00C639AE">
        <w:rPr>
          <w:strike/>
          <w:szCs w:val="24"/>
          <w:lang w:val="en-US"/>
        </w:rPr>
        <w:t>tyre pressure monitoring system</w:t>
      </w:r>
      <w:r w:rsidR="009E156F" w:rsidRPr="00C639AE">
        <w:rPr>
          <w:szCs w:val="24"/>
          <w:lang w:val="en-US"/>
        </w:rPr>
        <w:t xml:space="preserve"> </w:t>
      </w:r>
      <w:r w:rsidR="009E156F" w:rsidRPr="00C639AE">
        <w:rPr>
          <w:b/>
          <w:bCs/>
          <w:szCs w:val="24"/>
          <w:lang w:val="en-US"/>
        </w:rPr>
        <w:t>ECU controlling the tell-tale</w:t>
      </w:r>
      <w:r w:rsidR="009E156F" w:rsidRPr="00C639AE">
        <w:rPr>
          <w:szCs w:val="24"/>
          <w:lang w:val="en-US"/>
        </w:rPr>
        <w:t xml:space="preserve"> shall perform a check of lamp function for the low tyre pressure tell-tale as specified in paragraph 5.5.2. of this Regulation. </w:t>
      </w:r>
      <w:r w:rsidR="009E156F" w:rsidRPr="00C639AE">
        <w:rPr>
          <w:bCs/>
          <w:lang w:val="en-US"/>
        </w:rPr>
        <w:t>This last requirement does not apply to tell-tales shown in a common space.</w:t>
      </w:r>
      <w:r>
        <w:rPr>
          <w:bCs/>
          <w:lang w:val="en-US"/>
        </w:rPr>
        <w:t>”</w:t>
      </w:r>
    </w:p>
    <w:p w14:paraId="11899BD1" w14:textId="77777777" w:rsidR="009E156F" w:rsidRPr="00C639AE" w:rsidRDefault="009E156F" w:rsidP="009E156F">
      <w:pPr>
        <w:pStyle w:val="SingleTxtG"/>
        <w:ind w:left="2203"/>
        <w:rPr>
          <w:lang w:val="en-US"/>
        </w:rPr>
      </w:pPr>
    </w:p>
    <w:p w14:paraId="06CD0883" w14:textId="570C0097" w:rsidR="009E156F" w:rsidRPr="00C95247" w:rsidRDefault="009E156F" w:rsidP="0088627A">
      <w:pPr>
        <w:pStyle w:val="SingleTxtG"/>
        <w:numPr>
          <w:ilvl w:val="0"/>
          <w:numId w:val="2"/>
        </w:numPr>
        <w:autoSpaceDN/>
        <w:textAlignment w:val="auto"/>
        <w:rPr>
          <w:i/>
          <w:iCs/>
          <w:lang w:val="en-US"/>
        </w:rPr>
      </w:pPr>
      <w:r w:rsidRPr="00C95247">
        <w:rPr>
          <w:lang w:val="en-US"/>
        </w:rPr>
        <w:t xml:space="preserve">Annex 5 </w:t>
      </w:r>
      <w:r w:rsidR="00A71675">
        <w:rPr>
          <w:lang w:val="en-US"/>
        </w:rPr>
        <w:t xml:space="preserve">part </w:t>
      </w:r>
      <w:r w:rsidRPr="00C95247">
        <w:rPr>
          <w:lang w:val="en-US"/>
        </w:rPr>
        <w:t>A, paragraph 2.1.4</w:t>
      </w:r>
      <w:r w:rsidR="00C95247" w:rsidRPr="00C95247">
        <w:rPr>
          <w:lang w:val="en-US"/>
        </w:rPr>
        <w:t>, amend to read:</w:t>
      </w:r>
    </w:p>
    <w:p w14:paraId="02CC4696" w14:textId="77777777" w:rsidR="009E156F" w:rsidRPr="00C639AE" w:rsidRDefault="009E156F" w:rsidP="009E156F">
      <w:pPr>
        <w:pStyle w:val="SingleTxtG"/>
        <w:spacing w:before="120"/>
        <w:ind w:left="2268" w:hanging="708"/>
        <w:rPr>
          <w:color w:val="000000" w:themeColor="text1"/>
          <w:lang w:val="en-US"/>
        </w:rPr>
      </w:pPr>
      <w:r w:rsidRPr="00C639AE">
        <w:rPr>
          <w:lang w:val="en-US"/>
        </w:rPr>
        <w:t>“2.1.4.</w:t>
      </w:r>
      <w:r w:rsidRPr="00C639AE">
        <w:rPr>
          <w:lang w:val="en-US"/>
        </w:rPr>
        <w:tab/>
      </w:r>
      <w:r w:rsidRPr="00C639AE">
        <w:rPr>
          <w:color w:val="000000" w:themeColor="text1"/>
          <w:lang w:val="en-US"/>
        </w:rPr>
        <w:t xml:space="preserve">The </w:t>
      </w:r>
      <w:r w:rsidRPr="00C639AE">
        <w:rPr>
          <w:lang w:val="en-US"/>
        </w:rPr>
        <w:t xml:space="preserve">towed vehicle </w:t>
      </w:r>
      <w:r w:rsidRPr="00C639AE">
        <w:rPr>
          <w:color w:val="000000" w:themeColor="text1"/>
          <w:lang w:val="en-US"/>
        </w:rPr>
        <w:t>ECU transmitting the EBS23 and RGE23 messages shall assemble the EBS23 and RGE23 messages from TPMS/ TPRS/ CTIS content received from the ECU providing TPMS/ TPRS/ CTIS functionality and data from other sources not defined in this Regulation.</w:t>
      </w:r>
    </w:p>
    <w:p w14:paraId="71BC966C" w14:textId="77777777" w:rsidR="009E156F" w:rsidRPr="00C639AE" w:rsidRDefault="009E156F" w:rsidP="009E156F">
      <w:pPr>
        <w:pStyle w:val="SingleTxtG"/>
        <w:spacing w:before="120"/>
        <w:ind w:left="2268"/>
        <w:rPr>
          <w:color w:val="000000" w:themeColor="text1"/>
          <w:lang w:val="en-US"/>
        </w:rPr>
      </w:pPr>
      <w:r w:rsidRPr="00C639AE">
        <w:rPr>
          <w:color w:val="000000" w:themeColor="text1"/>
          <w:lang w:val="en-US"/>
        </w:rPr>
        <w:t xml:space="preserve">Signals, other than Tyre Pressure Status (EBS23 Byte 1 Bit 1-2), within messages EBS23 and RGE23 shall be transmitted with the indication “not available” in case </w:t>
      </w:r>
      <w:r w:rsidRPr="00C639AE">
        <w:rPr>
          <w:strike/>
          <w:color w:val="000000" w:themeColor="text1"/>
          <w:lang w:val="en-US"/>
        </w:rPr>
        <w:t>the ECU providing TPMS/ TPRS/ CTIS functionality does not provide such data</w:t>
      </w:r>
      <w:r w:rsidRPr="00C639AE">
        <w:rPr>
          <w:color w:val="000000" w:themeColor="text1"/>
          <w:lang w:val="en-US"/>
        </w:rPr>
        <w:t xml:space="preserve"> </w:t>
      </w:r>
      <w:r w:rsidRPr="00C639AE">
        <w:rPr>
          <w:b/>
          <w:bCs/>
          <w:color w:val="000000" w:themeColor="text1"/>
          <w:lang w:val="en-US"/>
        </w:rPr>
        <w:t>such data is not available</w:t>
      </w:r>
      <w:r w:rsidRPr="00C639AE">
        <w:rPr>
          <w:color w:val="000000" w:themeColor="text1"/>
          <w:lang w:val="en-US"/>
        </w:rPr>
        <w:t>.”</w:t>
      </w:r>
    </w:p>
    <w:p w14:paraId="6AE39456" w14:textId="77777777" w:rsidR="009E156F" w:rsidRPr="00C639AE" w:rsidRDefault="009E156F" w:rsidP="009E156F">
      <w:pPr>
        <w:pStyle w:val="SingleTxtG"/>
        <w:spacing w:before="120"/>
        <w:ind w:left="2268"/>
        <w:rPr>
          <w:color w:val="000000" w:themeColor="text1"/>
          <w:lang w:val="en-US"/>
        </w:rPr>
      </w:pPr>
    </w:p>
    <w:p w14:paraId="37BE95C3" w14:textId="656B94C3" w:rsidR="009E156F" w:rsidRDefault="003969E7" w:rsidP="009E156F">
      <w:pPr>
        <w:pStyle w:val="SingleTxtG"/>
        <w:numPr>
          <w:ilvl w:val="0"/>
          <w:numId w:val="2"/>
        </w:numPr>
        <w:autoSpaceDN/>
        <w:spacing w:before="120"/>
        <w:textAlignment w:val="auto"/>
        <w:rPr>
          <w:color w:val="000000" w:themeColor="text1"/>
          <w:lang w:val="en-US"/>
        </w:rPr>
      </w:pPr>
      <w:r>
        <w:rPr>
          <w:color w:val="000000" w:themeColor="text1"/>
          <w:lang w:val="en-US"/>
        </w:rPr>
        <w:t>Annex 5 Part A, T</w:t>
      </w:r>
      <w:r w:rsidR="009E156F">
        <w:rPr>
          <w:color w:val="000000" w:themeColor="text1"/>
          <w:lang w:val="en-US"/>
        </w:rPr>
        <w:t>able to par 2.2.</w:t>
      </w:r>
      <w:r>
        <w:rPr>
          <w:color w:val="000000" w:themeColor="text1"/>
          <w:lang w:val="en-US"/>
        </w:rPr>
        <w:t>, add</w:t>
      </w:r>
      <w:r w:rsidR="00180A34">
        <w:rPr>
          <w:color w:val="000000" w:themeColor="text1"/>
          <w:lang w:val="en-US"/>
        </w:rPr>
        <w:t xml:space="preserve"> </w:t>
      </w:r>
      <w:r w:rsidR="009E156F">
        <w:rPr>
          <w:color w:val="000000" w:themeColor="text1"/>
          <w:lang w:val="en-US"/>
        </w:rPr>
        <w:t>a new footnote</w:t>
      </w:r>
      <w:r w:rsidR="00C95247">
        <w:rPr>
          <w:color w:val="000000" w:themeColor="text1"/>
          <w:lang w:val="en-US"/>
        </w:rPr>
        <w:t>, as follows</w:t>
      </w:r>
      <w:r w:rsidR="009E156F">
        <w:rPr>
          <w:color w:val="000000" w:themeColor="text1"/>
          <w:lang w:val="en-US"/>
        </w:rPr>
        <w:t>:</w:t>
      </w:r>
    </w:p>
    <w:tbl>
      <w:tblPr>
        <w:tblpPr w:leftFromText="180" w:rightFromText="180" w:vertAnchor="text" w:horzAnchor="margin" w:tblpXSpec="center" w:tblpY="113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180A34" w:rsidRPr="00C95247" w14:paraId="016D451F" w14:textId="77777777" w:rsidTr="00180A34">
        <w:trPr>
          <w:tblHeader/>
        </w:trPr>
        <w:tc>
          <w:tcPr>
            <w:tcW w:w="2122" w:type="dxa"/>
            <w:tcBorders>
              <w:bottom w:val="single" w:sz="12" w:space="0" w:color="auto"/>
            </w:tcBorders>
            <w:shd w:val="clear" w:color="auto" w:fill="auto"/>
            <w:vAlign w:val="bottom"/>
          </w:tcPr>
          <w:p w14:paraId="46A49B92" w14:textId="77777777" w:rsidR="00180A34" w:rsidRPr="00C95247" w:rsidRDefault="00180A34" w:rsidP="00180A34">
            <w:pPr>
              <w:spacing w:before="80" w:after="80" w:line="200" w:lineRule="exact"/>
              <w:ind w:left="113" w:right="113"/>
              <w:rPr>
                <w:rFonts w:ascii="Times New Roman" w:hAnsi="Times New Roman"/>
                <w:i/>
                <w:sz w:val="16"/>
              </w:rPr>
            </w:pPr>
            <w:r w:rsidRPr="00C95247">
              <w:rPr>
                <w:rFonts w:ascii="Times New Roman" w:hAnsi="Times New Roman"/>
                <w:i/>
                <w:sz w:val="16"/>
              </w:rPr>
              <w:t>Function / Parameter</w:t>
            </w:r>
          </w:p>
        </w:tc>
        <w:tc>
          <w:tcPr>
            <w:tcW w:w="3118" w:type="dxa"/>
            <w:tcBorders>
              <w:bottom w:val="single" w:sz="12" w:space="0" w:color="auto"/>
            </w:tcBorders>
            <w:shd w:val="clear" w:color="auto" w:fill="auto"/>
            <w:vAlign w:val="bottom"/>
          </w:tcPr>
          <w:p w14:paraId="33F10FA6" w14:textId="77777777" w:rsidR="00180A34" w:rsidRPr="00C95247" w:rsidRDefault="00180A34" w:rsidP="00180A34">
            <w:pPr>
              <w:spacing w:before="80" w:after="80" w:line="200" w:lineRule="exact"/>
              <w:ind w:left="113" w:right="113"/>
              <w:rPr>
                <w:rFonts w:ascii="Times New Roman" w:hAnsi="Times New Roman"/>
                <w:i/>
                <w:sz w:val="16"/>
              </w:rPr>
            </w:pPr>
            <w:r w:rsidRPr="00C95247">
              <w:rPr>
                <w:rFonts w:ascii="Times New Roman" w:hAnsi="Times New Roman"/>
                <w:i/>
                <w:sz w:val="16"/>
              </w:rPr>
              <w:t>ISO 11992-2:2014 reference</w:t>
            </w:r>
          </w:p>
        </w:tc>
        <w:tc>
          <w:tcPr>
            <w:tcW w:w="2130" w:type="dxa"/>
            <w:tcBorders>
              <w:bottom w:val="single" w:sz="12" w:space="0" w:color="auto"/>
            </w:tcBorders>
            <w:shd w:val="clear" w:color="auto" w:fill="auto"/>
            <w:vAlign w:val="bottom"/>
          </w:tcPr>
          <w:p w14:paraId="41F22474" w14:textId="77777777" w:rsidR="00180A34" w:rsidRPr="00C95247" w:rsidRDefault="00180A34" w:rsidP="00180A34">
            <w:pPr>
              <w:spacing w:before="80" w:after="80" w:line="200" w:lineRule="exact"/>
              <w:ind w:left="113" w:right="113"/>
              <w:rPr>
                <w:rFonts w:ascii="Times New Roman" w:hAnsi="Times New Roman"/>
                <w:i/>
                <w:sz w:val="16"/>
              </w:rPr>
            </w:pPr>
            <w:r w:rsidRPr="00C95247">
              <w:rPr>
                <w:rFonts w:ascii="Times New Roman" w:hAnsi="Times New Roman"/>
                <w:i/>
                <w:sz w:val="16"/>
              </w:rPr>
              <w:t>Driver warning required</w:t>
            </w:r>
          </w:p>
        </w:tc>
      </w:tr>
      <w:tr w:rsidR="00180A34" w:rsidRPr="00C95247" w14:paraId="73BDE062" w14:textId="77777777" w:rsidTr="00180A34">
        <w:trPr>
          <w:tblHeader/>
        </w:trPr>
        <w:tc>
          <w:tcPr>
            <w:tcW w:w="2122" w:type="dxa"/>
            <w:tcBorders>
              <w:top w:val="single" w:sz="12" w:space="0" w:color="auto"/>
              <w:bottom w:val="single" w:sz="4" w:space="0" w:color="auto"/>
            </w:tcBorders>
            <w:shd w:val="clear" w:color="auto" w:fill="auto"/>
          </w:tcPr>
          <w:p w14:paraId="5801549B"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sz w:val="18"/>
                <w:szCs w:val="18"/>
                <w:lang w:val="en-US"/>
              </w:rPr>
              <w:t>Tyre Pressure Status</w:t>
            </w:r>
          </w:p>
          <w:p w14:paraId="4617ADCE"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i/>
                <w:iCs/>
                <w:color w:val="000000" w:themeColor="text1"/>
                <w:sz w:val="18"/>
                <w:szCs w:val="18"/>
                <w:lang w:val="en-US"/>
              </w:rPr>
              <w:t>(For Low Tyre Pressure Warning Indication)</w:t>
            </w:r>
          </w:p>
        </w:tc>
        <w:tc>
          <w:tcPr>
            <w:tcW w:w="3118" w:type="dxa"/>
            <w:tcBorders>
              <w:top w:val="single" w:sz="12" w:space="0" w:color="auto"/>
              <w:bottom w:val="single" w:sz="4" w:space="0" w:color="auto"/>
            </w:tcBorders>
            <w:shd w:val="clear" w:color="auto" w:fill="auto"/>
          </w:tcPr>
          <w:p w14:paraId="15738191" w14:textId="77777777" w:rsidR="00180A34" w:rsidRPr="00C95247" w:rsidRDefault="00180A34" w:rsidP="00180A34">
            <w:pPr>
              <w:spacing w:before="40" w:after="120" w:line="220" w:lineRule="exact"/>
              <w:ind w:left="113" w:right="113"/>
              <w:rPr>
                <w:rFonts w:ascii="Times New Roman" w:hAnsi="Times New Roman"/>
                <w:sz w:val="18"/>
                <w:szCs w:val="18"/>
              </w:rPr>
            </w:pPr>
            <w:r w:rsidRPr="00C95247">
              <w:rPr>
                <w:rFonts w:ascii="Times New Roman" w:hAnsi="Times New Roman"/>
                <w:sz w:val="18"/>
                <w:szCs w:val="18"/>
              </w:rPr>
              <w:t>EBS23 Byte 1</w:t>
            </w:r>
            <w:r w:rsidRPr="00C95247">
              <w:rPr>
                <w:rFonts w:ascii="Times New Roman" w:hAnsi="Times New Roman"/>
                <w:sz w:val="18"/>
                <w:szCs w:val="18"/>
              </w:rPr>
              <w:br/>
              <w:t>Bit 1-2</w:t>
            </w:r>
          </w:p>
          <w:p w14:paraId="0B3E6754" w14:textId="77777777" w:rsidR="00180A34" w:rsidRPr="00C95247" w:rsidRDefault="00180A34" w:rsidP="00180A34">
            <w:pPr>
              <w:spacing w:before="40" w:after="120" w:line="220" w:lineRule="exact"/>
              <w:ind w:left="113" w:right="113"/>
              <w:rPr>
                <w:rFonts w:ascii="Times New Roman" w:hAnsi="Times New Roman"/>
                <w:sz w:val="18"/>
                <w:szCs w:val="18"/>
              </w:rPr>
            </w:pPr>
            <w:r w:rsidRPr="00C95247">
              <w:rPr>
                <w:rFonts w:ascii="Times New Roman" w:hAnsi="Times New Roman"/>
                <w:sz w:val="18"/>
                <w:szCs w:val="18"/>
              </w:rPr>
              <w:t>(00</w:t>
            </w:r>
            <w:r w:rsidRPr="00C95247">
              <w:rPr>
                <w:rFonts w:ascii="Times New Roman" w:hAnsi="Times New Roman"/>
                <w:sz w:val="18"/>
                <w:szCs w:val="18"/>
                <w:vertAlign w:val="subscript"/>
              </w:rPr>
              <w:t>2</w:t>
            </w:r>
            <w:r w:rsidRPr="00C95247">
              <w:rPr>
                <w:rFonts w:ascii="Times New Roman" w:hAnsi="Times New Roman"/>
                <w:sz w:val="18"/>
                <w:szCs w:val="18"/>
              </w:rPr>
              <w:t xml:space="preserve"> — tyre pressure insufficient) </w:t>
            </w:r>
            <w:r w:rsidRPr="000513BA">
              <w:rPr>
                <w:rFonts w:ascii="Times New Roman" w:hAnsi="Times New Roman"/>
                <w:b/>
                <w:bCs/>
                <w:sz w:val="18"/>
                <w:szCs w:val="18"/>
                <w:vertAlign w:val="superscript"/>
              </w:rPr>
              <w:t>(1)</w:t>
            </w:r>
          </w:p>
        </w:tc>
        <w:tc>
          <w:tcPr>
            <w:tcW w:w="2130" w:type="dxa"/>
            <w:tcBorders>
              <w:top w:val="single" w:sz="12" w:space="0" w:color="auto"/>
              <w:bottom w:val="single" w:sz="4" w:space="0" w:color="auto"/>
            </w:tcBorders>
            <w:shd w:val="clear" w:color="auto" w:fill="auto"/>
          </w:tcPr>
          <w:p w14:paraId="740EB836"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sz w:val="18"/>
                <w:szCs w:val="18"/>
                <w:lang w:val="en-US"/>
              </w:rPr>
              <w:t>References to paragraph 5.2.3., 5.2.4., 5.3.4., 5.3.5. and 5.5.2. in this UN Regulation</w:t>
            </w:r>
          </w:p>
        </w:tc>
      </w:tr>
      <w:tr w:rsidR="00180A34" w:rsidRPr="00C95247" w14:paraId="6E553276" w14:textId="77777777" w:rsidTr="00180A34">
        <w:trPr>
          <w:tblHeader/>
        </w:trPr>
        <w:tc>
          <w:tcPr>
            <w:tcW w:w="2122" w:type="dxa"/>
            <w:tcBorders>
              <w:top w:val="single" w:sz="4" w:space="0" w:color="auto"/>
            </w:tcBorders>
            <w:shd w:val="clear" w:color="auto" w:fill="auto"/>
          </w:tcPr>
          <w:p w14:paraId="5655F7AD" w14:textId="77777777" w:rsidR="00180A34" w:rsidRPr="00C95247" w:rsidRDefault="00180A34" w:rsidP="00180A34">
            <w:pPr>
              <w:spacing w:before="40" w:after="120" w:line="220" w:lineRule="exact"/>
              <w:ind w:left="113" w:right="113"/>
              <w:rPr>
                <w:rFonts w:ascii="Times New Roman" w:hAnsi="Times New Roman"/>
                <w:color w:val="000000" w:themeColor="text1"/>
                <w:sz w:val="18"/>
                <w:szCs w:val="18"/>
                <w:lang w:val="en-US"/>
              </w:rPr>
            </w:pPr>
            <w:r w:rsidRPr="00C95247">
              <w:rPr>
                <w:rFonts w:ascii="Times New Roman" w:hAnsi="Times New Roman"/>
                <w:color w:val="000000" w:themeColor="text1"/>
                <w:sz w:val="18"/>
                <w:szCs w:val="18"/>
                <w:lang w:val="en-US"/>
              </w:rPr>
              <w:t xml:space="preserve">Tyre/wheel identification </w:t>
            </w:r>
            <w:r w:rsidRPr="00C95247">
              <w:rPr>
                <w:rFonts w:ascii="Times New Roman" w:hAnsi="Times New Roman"/>
                <w:i/>
                <w:iCs/>
                <w:color w:val="000000" w:themeColor="text1"/>
                <w:sz w:val="18"/>
                <w:szCs w:val="18"/>
                <w:lang w:val="en-US"/>
              </w:rPr>
              <w:t>(corresponding to Tyre Pressure Status)</w:t>
            </w:r>
          </w:p>
        </w:tc>
        <w:tc>
          <w:tcPr>
            <w:tcW w:w="3118" w:type="dxa"/>
            <w:tcBorders>
              <w:top w:val="single" w:sz="4" w:space="0" w:color="auto"/>
            </w:tcBorders>
            <w:shd w:val="clear" w:color="auto" w:fill="auto"/>
          </w:tcPr>
          <w:p w14:paraId="3B0B8D3A"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color w:val="000000"/>
                <w:sz w:val="18"/>
                <w:szCs w:val="18"/>
                <w:lang w:val="en-US"/>
              </w:rPr>
              <w:t>EBS23 Byte 2</w:t>
            </w:r>
          </w:p>
          <w:p w14:paraId="4535BAB1"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sz w:val="18"/>
                <w:szCs w:val="18"/>
                <w:lang w:val="en-US"/>
              </w:rPr>
              <w:t>(XXXXXXXX</w:t>
            </w:r>
            <w:r w:rsidRPr="00C95247">
              <w:rPr>
                <w:rFonts w:ascii="Times New Roman" w:hAnsi="Times New Roman"/>
                <w:sz w:val="18"/>
                <w:szCs w:val="18"/>
                <w:vertAlign w:val="subscript"/>
                <w:lang w:val="en-US"/>
              </w:rPr>
              <w:t>2</w:t>
            </w:r>
            <w:r w:rsidRPr="00C95247">
              <w:rPr>
                <w:rFonts w:ascii="Times New Roman" w:hAnsi="Times New Roman"/>
                <w:sz w:val="18"/>
                <w:szCs w:val="18"/>
                <w:lang w:val="en-US"/>
              </w:rPr>
              <w:t xml:space="preserve"> — actual Tyre/Wheel ID)</w:t>
            </w:r>
          </w:p>
          <w:p w14:paraId="39480339"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sz w:val="18"/>
                <w:szCs w:val="18"/>
                <w:lang w:val="en-US"/>
              </w:rPr>
              <w:t>OR</w:t>
            </w:r>
          </w:p>
          <w:p w14:paraId="1AB08344"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sz w:val="18"/>
                <w:szCs w:val="18"/>
                <w:lang w:val="en-US"/>
              </w:rPr>
              <w:t>(00000000</w:t>
            </w:r>
            <w:r w:rsidRPr="00C95247">
              <w:rPr>
                <w:rFonts w:ascii="Times New Roman" w:hAnsi="Times New Roman"/>
                <w:sz w:val="18"/>
                <w:szCs w:val="18"/>
                <w:vertAlign w:val="subscript"/>
                <w:lang w:val="en-US"/>
              </w:rPr>
              <w:t>2</w:t>
            </w:r>
            <w:r w:rsidRPr="00C95247">
              <w:rPr>
                <w:rFonts w:ascii="Times New Roman" w:hAnsi="Times New Roman"/>
                <w:sz w:val="18"/>
                <w:szCs w:val="18"/>
                <w:lang w:val="en-US"/>
              </w:rPr>
              <w:t xml:space="preserve"> —  Tyre/Wheel ID not defined </w:t>
            </w:r>
            <w:r w:rsidRPr="00C95247">
              <w:rPr>
                <w:rFonts w:ascii="Times New Roman" w:hAnsi="Times New Roman"/>
                <w:b/>
                <w:bCs/>
                <w:sz w:val="18"/>
                <w:szCs w:val="18"/>
                <w:lang w:val="en-US" w:eastAsia="zh-CN"/>
              </w:rPr>
              <w:t xml:space="preserve"> </w:t>
            </w:r>
            <w:r w:rsidRPr="00C95247">
              <w:rPr>
                <w:rFonts w:ascii="Times New Roman" w:hAnsi="Times New Roman"/>
                <w:sz w:val="18"/>
                <w:szCs w:val="18"/>
                <w:lang w:val="en-US" w:eastAsia="zh-CN"/>
              </w:rPr>
              <w:t>or wheel not defined and axle &gt; 15</w:t>
            </w:r>
            <w:r w:rsidRPr="00C95247">
              <w:rPr>
                <w:rFonts w:ascii="Times New Roman" w:hAnsi="Times New Roman"/>
                <w:sz w:val="18"/>
                <w:szCs w:val="18"/>
                <w:vertAlign w:val="subscript"/>
                <w:lang w:val="en-US" w:eastAsia="zh-CN"/>
              </w:rPr>
              <w:t>10</w:t>
            </w:r>
            <w:r w:rsidRPr="00C95247">
              <w:rPr>
                <w:rFonts w:ascii="Times New Roman" w:hAnsi="Times New Roman"/>
                <w:sz w:val="18"/>
                <w:szCs w:val="18"/>
                <w:lang w:val="en-US"/>
              </w:rPr>
              <w:t>)</w:t>
            </w:r>
          </w:p>
          <w:p w14:paraId="00A88E37" w14:textId="77777777" w:rsidR="00180A34" w:rsidRPr="00C95247" w:rsidRDefault="00180A34" w:rsidP="00180A34">
            <w:pPr>
              <w:spacing w:before="40" w:after="120" w:line="220" w:lineRule="exact"/>
              <w:ind w:left="113" w:right="113"/>
              <w:rPr>
                <w:rFonts w:ascii="Times New Roman" w:hAnsi="Times New Roman"/>
                <w:sz w:val="18"/>
                <w:szCs w:val="18"/>
                <w:lang w:val="en-US"/>
              </w:rPr>
            </w:pPr>
            <w:r w:rsidRPr="00C95247">
              <w:rPr>
                <w:rFonts w:ascii="Times New Roman" w:hAnsi="Times New Roman"/>
                <w:sz w:val="18"/>
                <w:szCs w:val="18"/>
                <w:lang w:val="en-US"/>
              </w:rPr>
              <w:t>OR</w:t>
            </w:r>
          </w:p>
          <w:p w14:paraId="5D648488" w14:textId="77777777" w:rsidR="00180A34" w:rsidRPr="00C95247" w:rsidRDefault="00180A34" w:rsidP="00180A34">
            <w:pPr>
              <w:spacing w:before="40" w:after="120" w:line="220" w:lineRule="exact"/>
              <w:ind w:left="113" w:right="113"/>
              <w:rPr>
                <w:rFonts w:ascii="Times New Roman" w:hAnsi="Times New Roman"/>
                <w:color w:val="000000" w:themeColor="text1"/>
                <w:sz w:val="18"/>
                <w:szCs w:val="18"/>
                <w:lang w:val="en-US"/>
              </w:rPr>
            </w:pPr>
            <w:r w:rsidRPr="00C95247">
              <w:rPr>
                <w:rFonts w:ascii="Times New Roman" w:hAnsi="Times New Roman"/>
                <w:sz w:val="18"/>
                <w:szCs w:val="18"/>
                <w:lang w:val="en-US"/>
              </w:rPr>
              <w:t>(11111111</w:t>
            </w:r>
            <w:r w:rsidRPr="00C95247">
              <w:rPr>
                <w:rFonts w:ascii="Times New Roman" w:hAnsi="Times New Roman"/>
                <w:sz w:val="18"/>
                <w:szCs w:val="18"/>
                <w:vertAlign w:val="subscript"/>
                <w:lang w:val="en-US"/>
              </w:rPr>
              <w:t>2</w:t>
            </w:r>
            <w:r w:rsidRPr="00C95247">
              <w:rPr>
                <w:rFonts w:ascii="Times New Roman" w:hAnsi="Times New Roman"/>
                <w:sz w:val="18"/>
                <w:szCs w:val="18"/>
                <w:lang w:val="en-US"/>
              </w:rPr>
              <w:t xml:space="preserve"> —  Tyre/Wheel ID not available</w:t>
            </w:r>
            <w:r w:rsidRPr="00C95247">
              <w:rPr>
                <w:rFonts w:ascii="Times New Roman" w:hAnsi="Times New Roman"/>
                <w:b/>
                <w:bCs/>
                <w:sz w:val="18"/>
                <w:szCs w:val="18"/>
                <w:lang w:val="en-US"/>
              </w:rPr>
              <w:t xml:space="preserve"> </w:t>
            </w:r>
            <w:r w:rsidRPr="00C95247">
              <w:rPr>
                <w:rFonts w:ascii="Times New Roman" w:hAnsi="Times New Roman"/>
                <w:sz w:val="18"/>
                <w:szCs w:val="18"/>
                <w:lang w:val="en-US"/>
              </w:rPr>
              <w:t>or wheel = 15</w:t>
            </w:r>
            <w:r w:rsidRPr="00C95247">
              <w:rPr>
                <w:rFonts w:ascii="Times New Roman" w:hAnsi="Times New Roman"/>
                <w:sz w:val="18"/>
                <w:szCs w:val="18"/>
                <w:vertAlign w:val="subscript"/>
                <w:lang w:val="en-US"/>
              </w:rPr>
              <w:t>10</w:t>
            </w:r>
            <w:r w:rsidRPr="00C95247">
              <w:rPr>
                <w:rFonts w:ascii="Times New Roman" w:hAnsi="Times New Roman"/>
                <w:sz w:val="18"/>
                <w:szCs w:val="18"/>
                <w:lang w:val="en-US"/>
              </w:rPr>
              <w:t xml:space="preserve"> and axle = 15</w:t>
            </w:r>
            <w:r w:rsidRPr="00C95247">
              <w:rPr>
                <w:rFonts w:ascii="Times New Roman" w:hAnsi="Times New Roman"/>
                <w:sz w:val="18"/>
                <w:szCs w:val="18"/>
                <w:vertAlign w:val="subscript"/>
                <w:lang w:val="en-US"/>
              </w:rPr>
              <w:t>10</w:t>
            </w:r>
            <w:r w:rsidRPr="00C95247">
              <w:rPr>
                <w:rFonts w:ascii="Times New Roman" w:hAnsi="Times New Roman"/>
                <w:sz w:val="18"/>
                <w:szCs w:val="18"/>
                <w:lang w:val="en-US"/>
              </w:rPr>
              <w:t>)</w:t>
            </w:r>
          </w:p>
        </w:tc>
        <w:tc>
          <w:tcPr>
            <w:tcW w:w="2130" w:type="dxa"/>
            <w:tcBorders>
              <w:top w:val="single" w:sz="4" w:space="0" w:color="auto"/>
            </w:tcBorders>
            <w:shd w:val="clear" w:color="auto" w:fill="auto"/>
          </w:tcPr>
          <w:p w14:paraId="743D4A38" w14:textId="77777777" w:rsidR="00180A34" w:rsidRPr="00C95247" w:rsidRDefault="00180A34" w:rsidP="00180A34">
            <w:pPr>
              <w:spacing w:before="40" w:after="120" w:line="220" w:lineRule="exact"/>
              <w:ind w:left="113" w:right="113"/>
              <w:rPr>
                <w:rFonts w:ascii="Times New Roman" w:hAnsi="Times New Roman"/>
                <w:color w:val="000000" w:themeColor="text1"/>
                <w:sz w:val="18"/>
                <w:szCs w:val="18"/>
                <w:lang w:val="en-US"/>
              </w:rPr>
            </w:pPr>
            <w:r w:rsidRPr="00C95247">
              <w:rPr>
                <w:rFonts w:ascii="Times New Roman" w:hAnsi="Times New Roman"/>
                <w:sz w:val="18"/>
                <w:szCs w:val="18"/>
                <w:lang w:val="en-US"/>
              </w:rPr>
              <w:t>References to paragraph 5.2.3., 5.2.4., 5.3.4., 5.3.5. and 5.5.2. in this UN Regulation</w:t>
            </w:r>
          </w:p>
        </w:tc>
      </w:tr>
    </w:tbl>
    <w:p w14:paraId="258430AF" w14:textId="557DDD44" w:rsidR="009E156F" w:rsidRDefault="00180A34" w:rsidP="009E156F">
      <w:pPr>
        <w:pStyle w:val="SingleTxtG"/>
        <w:spacing w:before="120"/>
        <w:ind w:left="2268" w:hanging="708"/>
        <w:rPr>
          <w:lang w:val="en-GB"/>
        </w:rPr>
      </w:pPr>
      <w:r>
        <w:rPr>
          <w:lang w:val="en-GB"/>
        </w:rPr>
        <w:t xml:space="preserve"> </w:t>
      </w:r>
      <w:r w:rsidR="009E156F">
        <w:rPr>
          <w:lang w:val="en-GB"/>
        </w:rPr>
        <w:t>“</w:t>
      </w:r>
      <w:r w:rsidR="009E156F" w:rsidRPr="00D0150D">
        <w:rPr>
          <w:lang w:val="en-GB"/>
        </w:rPr>
        <w:t>2.2.</w:t>
      </w:r>
      <w:r w:rsidR="009E156F" w:rsidRPr="00D0150D">
        <w:rPr>
          <w:lang w:val="en-GB"/>
        </w:rPr>
        <w:tab/>
        <w:t>When the towed vehicle transmits the following messages, the towing vehicle shall provide a low tyre pressure warni</w:t>
      </w:r>
      <w:r w:rsidR="009E156F" w:rsidRPr="001051FE">
        <w:rPr>
          <w:lang w:val="en-GB"/>
        </w:rPr>
        <w:t xml:space="preserve">ng indication </w:t>
      </w:r>
      <w:r w:rsidR="009E156F" w:rsidRPr="00D0150D">
        <w:rPr>
          <w:lang w:val="en-GB"/>
        </w:rPr>
        <w:t>to the driver:</w:t>
      </w:r>
    </w:p>
    <w:p w14:paraId="619C9FBB" w14:textId="77777777" w:rsidR="00C95247" w:rsidRDefault="00C95247" w:rsidP="009E156F">
      <w:pPr>
        <w:pStyle w:val="SingleTxtG"/>
        <w:spacing w:before="120"/>
        <w:ind w:left="2268" w:hanging="708"/>
        <w:rPr>
          <w:lang w:val="en-GB"/>
        </w:rPr>
      </w:pPr>
    </w:p>
    <w:p w14:paraId="3D2FA351" w14:textId="08C9531F" w:rsidR="009E156F" w:rsidRPr="00CE08E4" w:rsidRDefault="000513BA" w:rsidP="000513BA">
      <w:pPr>
        <w:pStyle w:val="SingleTxtG"/>
        <w:autoSpaceDN/>
        <w:spacing w:before="120"/>
        <w:ind w:left="851" w:right="804"/>
        <w:textAlignment w:val="auto"/>
        <w:rPr>
          <w:b/>
          <w:bCs/>
          <w:color w:val="000000" w:themeColor="text1"/>
          <w:lang w:val="en-US"/>
        </w:rPr>
      </w:pPr>
      <w:r w:rsidRPr="00CE08E4">
        <w:rPr>
          <w:b/>
          <w:bCs/>
          <w:color w:val="000000" w:themeColor="text1"/>
          <w:vertAlign w:val="superscript"/>
          <w:lang w:val="en-US"/>
        </w:rPr>
        <w:t>(1)</w:t>
      </w:r>
      <w:r w:rsidRPr="00CE08E4">
        <w:rPr>
          <w:b/>
          <w:bCs/>
          <w:color w:val="000000" w:themeColor="text1"/>
          <w:lang w:val="en-US"/>
        </w:rPr>
        <w:t xml:space="preserve">  </w:t>
      </w:r>
      <w:r w:rsidR="00C95247" w:rsidRPr="00CE08E4">
        <w:rPr>
          <w:b/>
          <w:bCs/>
          <w:color w:val="000000" w:themeColor="text1"/>
          <w:lang w:val="en-US"/>
        </w:rPr>
        <w:t xml:space="preserve">To be noted </w:t>
      </w:r>
      <w:r w:rsidR="009E156F" w:rsidRPr="00CE08E4">
        <w:rPr>
          <w:b/>
          <w:bCs/>
          <w:color w:val="000000" w:themeColor="text1"/>
          <w:lang w:val="en-US"/>
        </w:rPr>
        <w:t>that within the definition of EBS 23 “Tyre Pressure Status” ISO 11992-2 qualifies that "</w:t>
      </w:r>
      <w:r w:rsidR="00C95247" w:rsidRPr="00CE08E4">
        <w:rPr>
          <w:b/>
          <w:bCs/>
          <w:color w:val="000000" w:themeColor="text1"/>
          <w:lang w:val="en-US"/>
        </w:rPr>
        <w:t>a</w:t>
      </w:r>
      <w:r w:rsidR="009E156F" w:rsidRPr="00CE08E4">
        <w:rPr>
          <w:b/>
          <w:bCs/>
          <w:color w:val="000000" w:themeColor="text1"/>
          <w:lang w:val="en-US"/>
        </w:rPr>
        <w:t>n insufficient tyre pressure shall be indicated, if the pressure is outside of a pressure range recommended by the tyre or vehicle manufacturer, to ensure an optimized operation with regard to the fuel consumption of the vehicle and life time of the tyre.". Therefore, it should be noted that a value of “00</w:t>
      </w:r>
      <w:r w:rsidR="009E156F" w:rsidRPr="00CE08E4">
        <w:rPr>
          <w:b/>
          <w:bCs/>
          <w:color w:val="000000" w:themeColor="text1"/>
          <w:vertAlign w:val="subscript"/>
          <w:lang w:val="en-US"/>
        </w:rPr>
        <w:t>2</w:t>
      </w:r>
      <w:r w:rsidR="009E156F" w:rsidRPr="00CE08E4">
        <w:rPr>
          <w:b/>
          <w:bCs/>
          <w:color w:val="000000" w:themeColor="text1"/>
          <w:lang w:val="en-US"/>
        </w:rPr>
        <w:t>” could signify other tyre pressure conditions such as “over-pressure” which are not covered by this regulation.</w:t>
      </w:r>
      <w:r w:rsidR="00A71675" w:rsidRPr="00CE08E4">
        <w:rPr>
          <w:b/>
          <w:bCs/>
          <w:color w:val="000000" w:themeColor="text1"/>
          <w:lang w:val="en-US"/>
        </w:rPr>
        <w:t>”</w:t>
      </w:r>
    </w:p>
    <w:p w14:paraId="67993B62" w14:textId="77777777" w:rsidR="009E156F" w:rsidRPr="00C639AE" w:rsidRDefault="009E156F" w:rsidP="009E156F">
      <w:pPr>
        <w:pStyle w:val="SingleTxtG"/>
        <w:spacing w:before="120"/>
        <w:ind w:left="2268"/>
        <w:rPr>
          <w:color w:val="000000" w:themeColor="text1"/>
          <w:lang w:val="en-US"/>
        </w:rPr>
      </w:pPr>
    </w:p>
    <w:p w14:paraId="7C87FA16" w14:textId="04F10423" w:rsidR="003969E7" w:rsidRDefault="003969E7">
      <w:pPr>
        <w:suppressAutoHyphens w:val="0"/>
        <w:rPr>
          <w:color w:val="000000" w:themeColor="text1"/>
        </w:rPr>
      </w:pPr>
      <w:r>
        <w:rPr>
          <w:color w:val="000000" w:themeColor="text1"/>
        </w:rPr>
        <w:br w:type="page"/>
      </w:r>
    </w:p>
    <w:p w14:paraId="0A5E2432" w14:textId="2AA1F7F9" w:rsidR="009E156F" w:rsidRDefault="003969E7" w:rsidP="00C0558E">
      <w:pPr>
        <w:pStyle w:val="SingleTxtG"/>
        <w:numPr>
          <w:ilvl w:val="0"/>
          <w:numId w:val="2"/>
        </w:numPr>
        <w:autoSpaceDN/>
        <w:spacing w:before="120"/>
        <w:ind w:left="0" w:firstLine="1134"/>
        <w:textAlignment w:val="auto"/>
        <w:rPr>
          <w:iCs/>
          <w:lang w:val="en-GB"/>
        </w:rPr>
      </w:pPr>
      <w:r>
        <w:rPr>
          <w:color w:val="000000" w:themeColor="text1"/>
          <w:lang w:val="en-US"/>
        </w:rPr>
        <w:lastRenderedPageBreak/>
        <w:t>Annex 5, Part A, T</w:t>
      </w:r>
      <w:r w:rsidR="000513BA" w:rsidRPr="000513BA">
        <w:rPr>
          <w:color w:val="000000" w:themeColor="text1"/>
          <w:lang w:val="en-US"/>
        </w:rPr>
        <w:t>able to par. 2.</w:t>
      </w:r>
      <w:r w:rsidR="00F646B0">
        <w:rPr>
          <w:color w:val="000000" w:themeColor="text1"/>
          <w:lang w:val="en-US"/>
        </w:rPr>
        <w:t>1.3</w:t>
      </w:r>
      <w:r>
        <w:rPr>
          <w:color w:val="000000" w:themeColor="text1"/>
          <w:lang w:val="en-US"/>
        </w:rPr>
        <w:t>, add</w:t>
      </w:r>
      <w:r w:rsidR="009E156F" w:rsidRPr="000513BA">
        <w:rPr>
          <w:color w:val="000000" w:themeColor="text1"/>
          <w:lang w:val="en-US"/>
        </w:rPr>
        <w:t xml:space="preserve"> a new footnote</w:t>
      </w:r>
      <w:r w:rsidR="00425250">
        <w:rPr>
          <w:color w:val="000000" w:themeColor="text1"/>
          <w:lang w:val="en-US"/>
        </w:rPr>
        <w:t>,</w:t>
      </w:r>
      <w:r w:rsidR="009E156F" w:rsidRPr="000513BA">
        <w:rPr>
          <w:color w:val="000000" w:themeColor="text1"/>
          <w:lang w:val="en-US"/>
        </w:rPr>
        <w:t xml:space="preserve"> </w:t>
      </w:r>
      <w:r w:rsidR="000513BA" w:rsidRPr="000513BA">
        <w:rPr>
          <w:color w:val="000000" w:themeColor="text1"/>
          <w:lang w:val="en-US"/>
        </w:rPr>
        <w:t>as follows:</w:t>
      </w:r>
      <w:r w:rsidR="009E156F" w:rsidRPr="000513BA">
        <w:rPr>
          <w:iCs/>
          <w:lang w:val="en-GB"/>
        </w:rPr>
        <w:t xml:space="preserve"> </w:t>
      </w:r>
    </w:p>
    <w:p w14:paraId="033EEC2E" w14:textId="77777777" w:rsidR="00425250" w:rsidRPr="000513BA" w:rsidRDefault="00425250" w:rsidP="00425250">
      <w:pPr>
        <w:pStyle w:val="SingleTxtG"/>
        <w:autoSpaceDN/>
        <w:spacing w:before="120"/>
        <w:textAlignment w:val="auto"/>
        <w:rPr>
          <w:iCs/>
          <w:lang w:val="en-GB"/>
        </w:rPr>
      </w:pPr>
    </w:p>
    <w:tbl>
      <w:tblPr>
        <w:tblW w:w="7366" w:type="dxa"/>
        <w:tblInd w:w="123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9E156F" w:rsidRPr="00425250" w14:paraId="4847B18F" w14:textId="77777777" w:rsidTr="0042525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589F4244" w14:textId="77777777" w:rsidR="009E156F" w:rsidRPr="00425250" w:rsidRDefault="009E156F" w:rsidP="00246C28">
            <w:pPr>
              <w:spacing w:before="80" w:after="80" w:line="200" w:lineRule="exact"/>
              <w:ind w:left="113" w:right="113"/>
              <w:rPr>
                <w:rFonts w:ascii="Times New Roman" w:hAnsi="Times New Roman"/>
                <w:i/>
                <w:sz w:val="16"/>
              </w:rPr>
            </w:pPr>
            <w:r w:rsidRPr="00425250">
              <w:rPr>
                <w:rFonts w:ascii="Times New Roman" w:hAnsi="Times New Roman"/>
                <w:i/>
                <w:sz w:val="16"/>
              </w:rPr>
              <w:t>Function / Parameter</w:t>
            </w:r>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70BE1C11" w14:textId="77777777" w:rsidR="009E156F" w:rsidRPr="00425250" w:rsidRDefault="009E156F" w:rsidP="00246C28">
            <w:pPr>
              <w:spacing w:before="80" w:after="80" w:line="200" w:lineRule="exact"/>
              <w:ind w:left="113" w:right="113"/>
              <w:rPr>
                <w:rFonts w:ascii="Times New Roman" w:hAnsi="Times New Roman"/>
                <w:i/>
                <w:sz w:val="16"/>
              </w:rPr>
            </w:pPr>
            <w:r w:rsidRPr="00425250">
              <w:rPr>
                <w:rFonts w:ascii="Times New Roman" w:hAnsi="Times New Roman"/>
                <w:i/>
                <w:sz w:val="16"/>
              </w:rPr>
              <w:t>ISO 11992-2:2014 reference</w:t>
            </w:r>
          </w:p>
        </w:tc>
      </w:tr>
      <w:tr w:rsidR="009E156F" w:rsidRPr="00425250" w14:paraId="1F721B0C"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1739EAF"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lang w:val="en-US"/>
              </w:rPr>
            </w:pPr>
            <w:r w:rsidRPr="00425250">
              <w:rPr>
                <w:rFonts w:ascii="Times New Roman" w:hAnsi="Times New Roman"/>
                <w:color w:val="000000" w:themeColor="text1"/>
                <w:sz w:val="18"/>
                <w:szCs w:val="18"/>
                <w:lang w:val="en-US"/>
              </w:rPr>
              <w:t>Tyre/wheel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B9B49FC" w14:textId="77777777" w:rsidR="009E156F" w:rsidRPr="00425250" w:rsidRDefault="009E156F" w:rsidP="00246C28">
            <w:pPr>
              <w:spacing w:before="40" w:after="120" w:line="220" w:lineRule="exact"/>
              <w:ind w:left="113" w:right="113"/>
              <w:rPr>
                <w:rFonts w:ascii="Times New Roman" w:hAnsi="Times New Roman"/>
                <w:strike/>
                <w:color w:val="000000" w:themeColor="text1"/>
                <w:sz w:val="18"/>
                <w:szCs w:val="18"/>
                <w:lang w:val="en-US"/>
              </w:rPr>
            </w:pPr>
            <w:r w:rsidRPr="00425250">
              <w:rPr>
                <w:rFonts w:ascii="Times New Roman" w:hAnsi="Times New Roman"/>
                <w:color w:val="000000" w:themeColor="text1"/>
                <w:sz w:val="18"/>
                <w:szCs w:val="18"/>
                <w:lang w:val="en-US"/>
              </w:rPr>
              <w:t>EBS23 Byte 2</w:t>
            </w:r>
          </w:p>
        </w:tc>
      </w:tr>
      <w:tr w:rsidR="009E156F" w:rsidRPr="00425250" w14:paraId="3EBCD4EF"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78459C6"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Tyre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B74E689"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sz w:val="18"/>
                <w:szCs w:val="18"/>
              </w:rPr>
              <w:t>EBS23 Byte 5</w:t>
            </w:r>
          </w:p>
        </w:tc>
      </w:tr>
      <w:tr w:rsidR="009E156F" w:rsidRPr="00425250" w14:paraId="6A55B79F"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D41B362"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lang w:val="en-US"/>
              </w:rPr>
            </w:pPr>
            <w:r w:rsidRPr="00425250">
              <w:rPr>
                <w:rFonts w:ascii="Times New Roman" w:hAnsi="Times New Roman"/>
                <w:color w:val="000000" w:themeColor="text1"/>
                <w:sz w:val="18"/>
                <w:szCs w:val="18"/>
                <w:lang w:val="en-US"/>
              </w:rPr>
              <w:t>Tyre/wheel identification</w:t>
            </w:r>
          </w:p>
          <w:p w14:paraId="0C8B9949"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lang w:val="en-US"/>
              </w:rPr>
            </w:pPr>
            <w:r w:rsidRPr="00425250">
              <w:rPr>
                <w:rFonts w:ascii="Times New Roman" w:hAnsi="Times New Roman"/>
                <w:color w:val="000000" w:themeColor="text1"/>
                <w:sz w:val="18"/>
                <w:szCs w:val="18"/>
                <w:lang w:val="en-US"/>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2844189"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lang w:val="en-US"/>
              </w:rPr>
            </w:pPr>
            <w:r w:rsidRPr="00425250">
              <w:rPr>
                <w:rFonts w:ascii="Times New Roman" w:hAnsi="Times New Roman"/>
                <w:color w:val="000000" w:themeColor="text1"/>
                <w:sz w:val="18"/>
                <w:szCs w:val="18"/>
                <w:lang w:val="en-US"/>
              </w:rPr>
              <w:t>RGE23 Byte 1</w:t>
            </w:r>
          </w:p>
          <w:p w14:paraId="06D31192" w14:textId="77777777" w:rsidR="009E156F" w:rsidRPr="00425250" w:rsidRDefault="009E156F" w:rsidP="00246C28">
            <w:pPr>
              <w:spacing w:before="40" w:after="120" w:line="220" w:lineRule="exact"/>
              <w:ind w:left="113" w:right="113"/>
              <w:rPr>
                <w:rFonts w:ascii="Times New Roman" w:hAnsi="Times New Roman"/>
                <w:strike/>
                <w:color w:val="000000" w:themeColor="text1"/>
                <w:sz w:val="18"/>
                <w:szCs w:val="18"/>
                <w:lang w:val="en-US"/>
              </w:rPr>
            </w:pPr>
          </w:p>
        </w:tc>
      </w:tr>
      <w:tr w:rsidR="009E156F" w:rsidRPr="00425250" w14:paraId="657BC87C"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57247B1"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Tyre temperature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C3557F3"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RGE23 Byte 2-3</w:t>
            </w:r>
          </w:p>
        </w:tc>
      </w:tr>
      <w:tr w:rsidR="009E156F" w:rsidRPr="00425250" w14:paraId="019B69F4"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8C73AA0"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Air leakage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E20F672"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RGE23 Byte 4-5</w:t>
            </w:r>
          </w:p>
        </w:tc>
      </w:tr>
      <w:tr w:rsidR="009E156F" w:rsidRPr="00425250" w14:paraId="3FC62AB5"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23C76E7"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Tyre pressure threshold detection</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4AA5DC7"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 xml:space="preserve">RGE23 </w:t>
            </w:r>
          </w:p>
          <w:p w14:paraId="36DC62C7"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Byte 6 Bit 1-3</w:t>
            </w:r>
          </w:p>
        </w:tc>
      </w:tr>
      <w:tr w:rsidR="009E156F" w:rsidRPr="00425250" w14:paraId="02B75568"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061475C"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lang w:val="en-US"/>
              </w:rPr>
            </w:pPr>
            <w:r w:rsidRPr="00425250">
              <w:rPr>
                <w:rFonts w:ascii="Times New Roman" w:hAnsi="Times New Roman"/>
                <w:color w:val="000000" w:themeColor="text1"/>
                <w:sz w:val="18"/>
                <w:szCs w:val="18"/>
                <w:lang w:val="en-US"/>
              </w:rPr>
              <w:t>Tyre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EFB5397"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 xml:space="preserve">RGE23 </w:t>
            </w:r>
          </w:p>
          <w:p w14:paraId="2AC2800E"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Byte 6 Bit 4-5</w:t>
            </w:r>
          </w:p>
        </w:tc>
      </w:tr>
      <w:tr w:rsidR="009E156F" w:rsidRPr="00425250" w14:paraId="776F4957" w14:textId="77777777" w:rsidTr="00425250">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E5432B9"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 xml:space="preserve">Identification data index </w:t>
            </w:r>
            <w:r w:rsidRPr="00425250">
              <w:rPr>
                <w:rFonts w:ascii="Times New Roman" w:hAnsi="Times New Roman"/>
                <w:b/>
                <w:bCs/>
                <w:color w:val="000000" w:themeColor="text1"/>
                <w:sz w:val="18"/>
                <w:szCs w:val="18"/>
                <w:vertAlign w:val="superscript"/>
              </w:rPr>
              <w:t>(1)</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F2AC90A"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RGE23 Byte 7</w:t>
            </w:r>
          </w:p>
        </w:tc>
      </w:tr>
      <w:tr w:rsidR="009E156F" w:rsidRPr="00425250" w14:paraId="14D342C9" w14:textId="77777777" w:rsidTr="0042525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035D7E1A"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 xml:space="preserve">Identification data content </w:t>
            </w:r>
            <w:r w:rsidRPr="00425250">
              <w:rPr>
                <w:rFonts w:ascii="Times New Roman" w:hAnsi="Times New Roman"/>
                <w:b/>
                <w:bCs/>
                <w:color w:val="000000" w:themeColor="text1"/>
                <w:sz w:val="18"/>
                <w:szCs w:val="18"/>
                <w:vertAlign w:val="superscript"/>
              </w:rPr>
              <w:t>(1)</w:t>
            </w:r>
          </w:p>
        </w:tc>
        <w:tc>
          <w:tcPr>
            <w:tcW w:w="4563" w:type="dxa"/>
            <w:tcBorders>
              <w:top w:val="single" w:sz="4" w:space="0" w:color="auto"/>
              <w:left w:val="single" w:sz="4" w:space="0" w:color="auto"/>
              <w:bottom w:val="single" w:sz="12" w:space="0" w:color="auto"/>
              <w:right w:val="single" w:sz="4" w:space="0" w:color="auto"/>
            </w:tcBorders>
            <w:shd w:val="clear" w:color="auto" w:fill="auto"/>
          </w:tcPr>
          <w:p w14:paraId="34BB69B6" w14:textId="77777777" w:rsidR="009E156F" w:rsidRPr="00425250" w:rsidRDefault="009E156F" w:rsidP="00246C28">
            <w:pPr>
              <w:spacing w:before="40" w:after="120" w:line="220" w:lineRule="exact"/>
              <w:ind w:left="113" w:right="113"/>
              <w:rPr>
                <w:rFonts w:ascii="Times New Roman" w:hAnsi="Times New Roman"/>
                <w:color w:val="000000" w:themeColor="text1"/>
                <w:sz w:val="18"/>
                <w:szCs w:val="18"/>
              </w:rPr>
            </w:pPr>
            <w:r w:rsidRPr="00425250">
              <w:rPr>
                <w:rFonts w:ascii="Times New Roman" w:hAnsi="Times New Roman"/>
                <w:color w:val="000000" w:themeColor="text1"/>
                <w:sz w:val="18"/>
                <w:szCs w:val="18"/>
              </w:rPr>
              <w:t>RGE23 Byte 8</w:t>
            </w:r>
          </w:p>
        </w:tc>
      </w:tr>
    </w:tbl>
    <w:p w14:paraId="4C78A443" w14:textId="77777777" w:rsidR="00CE08E4" w:rsidRDefault="00CE08E4" w:rsidP="00425250">
      <w:pPr>
        <w:pStyle w:val="ListParagraph"/>
        <w:spacing w:after="120"/>
        <w:ind w:left="1276" w:right="1134" w:firstLine="142"/>
        <w:contextualSpacing w:val="0"/>
        <w:rPr>
          <w:rFonts w:ascii="Times New Roman" w:hAnsi="Times New Roman"/>
          <w:b/>
          <w:bCs/>
          <w:iCs/>
          <w:sz w:val="20"/>
          <w:szCs w:val="20"/>
          <w:vertAlign w:val="superscript"/>
        </w:rPr>
      </w:pPr>
    </w:p>
    <w:p w14:paraId="07B5E06E" w14:textId="3E548B81" w:rsidR="009E156F" w:rsidRPr="00C639AE" w:rsidRDefault="009E156F" w:rsidP="00425250">
      <w:pPr>
        <w:pStyle w:val="ListParagraph"/>
        <w:spacing w:after="120"/>
        <w:ind w:left="1276" w:right="1134" w:firstLine="142"/>
        <w:contextualSpacing w:val="0"/>
        <w:rPr>
          <w:rFonts w:ascii="Times New Roman" w:hAnsi="Times New Roman"/>
          <w:b/>
          <w:bCs/>
          <w:iCs/>
          <w:sz w:val="20"/>
          <w:szCs w:val="20"/>
        </w:rPr>
      </w:pPr>
      <w:r w:rsidRPr="00425250">
        <w:rPr>
          <w:rFonts w:ascii="Times New Roman" w:hAnsi="Times New Roman"/>
          <w:b/>
          <w:bCs/>
          <w:iCs/>
          <w:sz w:val="20"/>
          <w:szCs w:val="20"/>
          <w:vertAlign w:val="superscript"/>
        </w:rPr>
        <w:t>(1)</w:t>
      </w:r>
      <w:r w:rsidRPr="00C639AE">
        <w:rPr>
          <w:rFonts w:ascii="Times New Roman" w:hAnsi="Times New Roman"/>
          <w:b/>
          <w:bCs/>
          <w:iCs/>
          <w:sz w:val="20"/>
          <w:szCs w:val="20"/>
        </w:rPr>
        <w:t xml:space="preserve"> Content </w:t>
      </w:r>
      <w:r w:rsidRPr="00536E81">
        <w:rPr>
          <w:rFonts w:ascii="Times New Roman" w:hAnsi="Times New Roman"/>
          <w:b/>
          <w:bCs/>
          <w:iCs/>
          <w:sz w:val="20"/>
          <w:szCs w:val="20"/>
        </w:rPr>
        <w:t>of the Gateway ECU shall be</w:t>
      </w:r>
      <w:r w:rsidRPr="00C639AE">
        <w:rPr>
          <w:rFonts w:ascii="Times New Roman" w:hAnsi="Times New Roman"/>
          <w:b/>
          <w:bCs/>
          <w:iCs/>
          <w:sz w:val="20"/>
          <w:szCs w:val="20"/>
        </w:rPr>
        <w:t xml:space="preserve"> prioritized</w:t>
      </w:r>
    </w:p>
    <w:p w14:paraId="3E76E681" w14:textId="77777777" w:rsidR="009E156F" w:rsidRPr="00C639AE" w:rsidRDefault="009E156F" w:rsidP="009E156F">
      <w:pPr>
        <w:pStyle w:val="ListParagraph"/>
        <w:spacing w:after="120"/>
        <w:ind w:left="0" w:right="1134" w:firstLine="1134"/>
        <w:contextualSpacing w:val="0"/>
        <w:jc w:val="both"/>
        <w:rPr>
          <w:rFonts w:ascii="Times New Roman" w:hAnsi="Times New Roman"/>
          <w:iCs/>
          <w:sz w:val="20"/>
          <w:szCs w:val="20"/>
        </w:rPr>
      </w:pPr>
    </w:p>
    <w:p w14:paraId="274DB279" w14:textId="4506750C" w:rsidR="00425250" w:rsidRDefault="009E156F" w:rsidP="009E156F">
      <w:pPr>
        <w:pStyle w:val="ListParagraph"/>
        <w:spacing w:after="120"/>
        <w:ind w:left="1701" w:right="1134" w:hanging="709"/>
        <w:contextualSpacing w:val="0"/>
        <w:jc w:val="both"/>
        <w:rPr>
          <w:rFonts w:ascii="Times New Roman" w:hAnsi="Times New Roman"/>
          <w:iCs/>
          <w:sz w:val="20"/>
          <w:szCs w:val="20"/>
        </w:rPr>
      </w:pPr>
      <w:r w:rsidRPr="00C639AE">
        <w:rPr>
          <w:rFonts w:ascii="Times New Roman" w:hAnsi="Times New Roman"/>
          <w:iCs/>
          <w:sz w:val="20"/>
          <w:szCs w:val="20"/>
        </w:rPr>
        <w:t>6</w:t>
      </w:r>
      <w:r w:rsidRPr="00C639AE">
        <w:rPr>
          <w:rFonts w:ascii="Times New Roman" w:hAnsi="Times New Roman"/>
          <w:iCs/>
          <w:sz w:val="20"/>
          <w:szCs w:val="20"/>
        </w:rPr>
        <w:tab/>
      </w:r>
      <w:r w:rsidR="003969E7">
        <w:rPr>
          <w:rFonts w:ascii="Times New Roman" w:hAnsi="Times New Roman"/>
          <w:iCs/>
          <w:sz w:val="20"/>
          <w:szCs w:val="20"/>
        </w:rPr>
        <w:t xml:space="preserve">Annex 5, Part B, paragraph </w:t>
      </w:r>
      <w:r w:rsidR="00425250">
        <w:rPr>
          <w:rFonts w:ascii="Times New Roman" w:hAnsi="Times New Roman"/>
          <w:iCs/>
          <w:sz w:val="20"/>
          <w:szCs w:val="20"/>
        </w:rPr>
        <w:t>4, amend to read:</w:t>
      </w:r>
    </w:p>
    <w:p w14:paraId="2B872389" w14:textId="19CA7126" w:rsidR="009E156F" w:rsidRDefault="00A71675" w:rsidP="009E156F">
      <w:pPr>
        <w:pStyle w:val="SingleTxtG"/>
        <w:spacing w:before="120"/>
        <w:ind w:left="2552" w:hanging="567"/>
        <w:rPr>
          <w:b/>
          <w:bCs/>
          <w:lang w:val="en-US"/>
        </w:rPr>
      </w:pPr>
      <w:r>
        <w:rPr>
          <w:lang w:val="en-US"/>
        </w:rPr>
        <w:t>“</w:t>
      </w:r>
      <w:r w:rsidR="009E156F" w:rsidRPr="00C639AE">
        <w:rPr>
          <w:lang w:val="en-US"/>
        </w:rPr>
        <w:t>4</w:t>
      </w:r>
      <w:r w:rsidR="009E156F" w:rsidRPr="00C639AE">
        <w:rPr>
          <w:lang w:val="en-US"/>
        </w:rPr>
        <w:tab/>
        <w:t>The towed vehicle ECU providing TPMS</w:t>
      </w:r>
      <w:r w:rsidR="009E156F" w:rsidRPr="00C639AE">
        <w:rPr>
          <w:b/>
          <w:bCs/>
          <w:lang w:val="en-US"/>
        </w:rPr>
        <w:t xml:space="preserve">/ </w:t>
      </w:r>
      <w:r w:rsidR="009E156F" w:rsidRPr="00C639AE">
        <w:rPr>
          <w:lang w:val="en-US"/>
        </w:rPr>
        <w:t xml:space="preserve">TPRS/ CTIS functionality </w:t>
      </w:r>
      <w:r w:rsidR="009E156F" w:rsidRPr="001C35A5">
        <w:rPr>
          <w:lang w:val="en-US"/>
        </w:rPr>
        <w:t>shall use the source address</w:t>
      </w:r>
      <w:r w:rsidR="001C35A5">
        <w:rPr>
          <w:lang w:val="en-US"/>
        </w:rPr>
        <w:t xml:space="preserve"> </w:t>
      </w:r>
      <w:r w:rsidR="001C35A5" w:rsidRPr="001C35A5">
        <w:rPr>
          <w:b/>
          <w:bCs/>
          <w:lang w:val="en-US"/>
        </w:rPr>
        <w:t>207</w:t>
      </w:r>
      <w:r w:rsidR="009E156F" w:rsidRPr="001C35A5">
        <w:rPr>
          <w:lang w:val="en-US"/>
        </w:rPr>
        <w:t xml:space="preserve"> of "Other Trailer Devices" </w:t>
      </w:r>
      <w:r w:rsidR="009E156F" w:rsidRPr="001C35A5">
        <w:rPr>
          <w:strike/>
          <w:lang w:val="en-US"/>
        </w:rPr>
        <w:t>with respect to its position in the road train</w:t>
      </w:r>
      <w:r w:rsidR="009E156F" w:rsidRPr="001C35A5">
        <w:rPr>
          <w:lang w:val="en-US"/>
        </w:rPr>
        <w:t xml:space="preserve"> as per SAE J1939-71 standar</w:t>
      </w:r>
      <w:r w:rsidR="001C35A5">
        <w:rPr>
          <w:lang w:val="en-US"/>
        </w:rPr>
        <w:t xml:space="preserve">d </w:t>
      </w:r>
      <w:r w:rsidR="001C35A5" w:rsidRPr="008B37A3">
        <w:rPr>
          <w:b/>
          <w:bCs/>
          <w:lang w:val="en-US"/>
        </w:rPr>
        <w:t>for forwarding TPMS/TPRS/CTIS information</w:t>
      </w:r>
      <w:r w:rsidR="004202C4">
        <w:rPr>
          <w:b/>
          <w:bCs/>
          <w:lang w:val="en-US"/>
        </w:rPr>
        <w:t xml:space="preserve"> </w:t>
      </w:r>
      <w:r w:rsidR="004202C4" w:rsidRPr="004202C4">
        <w:rPr>
          <w:b/>
          <w:bCs/>
          <w:lang w:val="en-GB"/>
        </w:rPr>
        <w:t>with respect to trailer position in a road train like defined in ISO11992-2</w:t>
      </w:r>
      <w:r w:rsidR="001C35A5">
        <w:rPr>
          <w:b/>
          <w:bCs/>
          <w:lang w:val="en-US"/>
        </w:rPr>
        <w:t>.</w:t>
      </w:r>
      <w:r w:rsidR="001C35A5" w:rsidRPr="00C639AE">
        <w:rPr>
          <w:strike/>
          <w:lang w:val="en-US"/>
        </w:rPr>
        <w:t xml:space="preserve"> </w:t>
      </w:r>
      <w:r w:rsidR="009E156F" w:rsidRPr="00C639AE">
        <w:rPr>
          <w:strike/>
          <w:lang w:val="en-US"/>
        </w:rPr>
        <w:t>i.e. TPMS</w:t>
      </w:r>
      <w:r w:rsidR="009E156F" w:rsidRPr="00C639AE">
        <w:rPr>
          <w:b/>
          <w:bCs/>
          <w:strike/>
          <w:lang w:val="en-US"/>
        </w:rPr>
        <w:t xml:space="preserve">/ </w:t>
      </w:r>
      <w:r w:rsidR="009E156F" w:rsidRPr="00C639AE">
        <w:rPr>
          <w:strike/>
          <w:lang w:val="en-US"/>
        </w:rPr>
        <w:t>TPRS/ CTIS of the first towed vehicle shall use source address 207 for "Other Trailer #1 Devices</w:t>
      </w:r>
      <w:r w:rsidR="001C35A5">
        <w:rPr>
          <w:strike/>
          <w:lang w:val="en-US"/>
        </w:rPr>
        <w:t>.</w:t>
      </w:r>
      <w:r>
        <w:rPr>
          <w:b/>
          <w:bCs/>
          <w:lang w:val="en-US"/>
        </w:rPr>
        <w:t xml:space="preserve"> </w:t>
      </w:r>
      <w:r w:rsidRPr="001C35A5">
        <w:rPr>
          <w:lang w:val="en-US"/>
        </w:rPr>
        <w:t>“</w:t>
      </w:r>
    </w:p>
    <w:p w14:paraId="41CFE29A" w14:textId="77777777" w:rsidR="00425250" w:rsidRPr="00C639AE" w:rsidRDefault="00425250" w:rsidP="009E156F">
      <w:pPr>
        <w:pStyle w:val="SingleTxtG"/>
        <w:spacing w:before="120"/>
        <w:ind w:left="2552" w:hanging="567"/>
        <w:rPr>
          <w:lang w:val="en-US"/>
        </w:rPr>
      </w:pPr>
    </w:p>
    <w:p w14:paraId="78E59ECB" w14:textId="2C06E920" w:rsidR="009E156F" w:rsidRPr="00425250" w:rsidRDefault="009E156F" w:rsidP="00425250">
      <w:pPr>
        <w:pStyle w:val="SingleTxtG"/>
        <w:numPr>
          <w:ilvl w:val="0"/>
          <w:numId w:val="1"/>
        </w:numPr>
        <w:tabs>
          <w:tab w:val="left" w:pos="2268"/>
        </w:tabs>
        <w:rPr>
          <w:b/>
          <w:sz w:val="32"/>
          <w:szCs w:val="32"/>
          <w:lang w:val="en-GB"/>
        </w:rPr>
      </w:pPr>
      <w:bookmarkStart w:id="0" w:name="_Hlk75337670"/>
      <w:r w:rsidRPr="00425250">
        <w:rPr>
          <w:b/>
          <w:sz w:val="32"/>
          <w:szCs w:val="32"/>
          <w:lang w:val="en-GB"/>
        </w:rPr>
        <w:t>Justification</w:t>
      </w:r>
    </w:p>
    <w:p w14:paraId="1C09C464" w14:textId="2F1C223C" w:rsidR="009E156F" w:rsidRPr="00C639AE" w:rsidRDefault="009E156F" w:rsidP="009E156F">
      <w:pPr>
        <w:pStyle w:val="SingleTxtG"/>
        <w:ind w:left="1701" w:hanging="425"/>
        <w:rPr>
          <w:bCs/>
          <w:lang w:val="en-US"/>
        </w:rPr>
      </w:pPr>
      <w:bookmarkStart w:id="1" w:name="_Hlk75337799"/>
      <w:r w:rsidRPr="00C639AE">
        <w:rPr>
          <w:bCs/>
          <w:lang w:val="en-US"/>
        </w:rPr>
        <w:t>1.</w:t>
      </w:r>
      <w:r w:rsidRPr="00C639AE">
        <w:rPr>
          <w:bCs/>
          <w:lang w:val="en-US"/>
        </w:rPr>
        <w:tab/>
        <w:t xml:space="preserve">In § 1.5.7 </w:t>
      </w:r>
      <w:r w:rsidR="00425250">
        <w:rPr>
          <w:bCs/>
          <w:lang w:val="en-US"/>
        </w:rPr>
        <w:t xml:space="preserve">requires </w:t>
      </w:r>
      <w:r w:rsidRPr="00C639AE">
        <w:rPr>
          <w:bCs/>
          <w:lang w:val="en-US"/>
        </w:rPr>
        <w:t xml:space="preserve">that lifted axles have to be fully lowered, but </w:t>
      </w:r>
      <w:r w:rsidR="007926B7">
        <w:rPr>
          <w:bCs/>
          <w:lang w:val="en-US"/>
        </w:rPr>
        <w:t xml:space="preserve">when </w:t>
      </w:r>
      <w:r w:rsidRPr="00C639AE">
        <w:rPr>
          <w:bCs/>
          <w:lang w:val="en-US"/>
        </w:rPr>
        <w:t xml:space="preserve">unladen trailers </w:t>
      </w:r>
      <w:r w:rsidR="007926B7">
        <w:rPr>
          <w:bCs/>
          <w:lang w:val="en-US"/>
        </w:rPr>
        <w:t xml:space="preserve">some </w:t>
      </w:r>
      <w:r w:rsidRPr="00C639AE">
        <w:rPr>
          <w:bCs/>
          <w:lang w:val="en-US"/>
        </w:rPr>
        <w:t>lift axle m</w:t>
      </w:r>
      <w:r w:rsidR="007926B7">
        <w:rPr>
          <w:bCs/>
          <w:lang w:val="en-US"/>
        </w:rPr>
        <w:t>ay be</w:t>
      </w:r>
      <w:r w:rsidRPr="00C639AE">
        <w:rPr>
          <w:bCs/>
          <w:lang w:val="en-US"/>
        </w:rPr>
        <w:t xml:space="preserve"> lifted automatically. </w:t>
      </w:r>
      <w:r>
        <w:rPr>
          <w:bCs/>
          <w:lang w:val="en-US"/>
        </w:rPr>
        <w:t>Therefore the test shall be performed with sufficient load to avoid lifting</w:t>
      </w:r>
      <w:r w:rsidR="007926B7">
        <w:rPr>
          <w:bCs/>
          <w:lang w:val="en-US"/>
        </w:rPr>
        <w:t xml:space="preserve"> those axles</w:t>
      </w:r>
      <w:r w:rsidRPr="00C639AE">
        <w:rPr>
          <w:bCs/>
          <w:lang w:val="en-US"/>
        </w:rPr>
        <w:t xml:space="preserve">. </w:t>
      </w:r>
    </w:p>
    <w:p w14:paraId="3DBFE082" w14:textId="77777777" w:rsidR="009E156F" w:rsidRPr="00C639AE" w:rsidRDefault="009E156F" w:rsidP="009E156F">
      <w:pPr>
        <w:pStyle w:val="SingleTxtG"/>
        <w:ind w:left="1701"/>
        <w:rPr>
          <w:bCs/>
          <w:lang w:val="en-US"/>
        </w:rPr>
      </w:pPr>
    </w:p>
    <w:p w14:paraId="0514AD34" w14:textId="77777777" w:rsidR="009E156F" w:rsidRPr="00C639AE" w:rsidRDefault="009E156F" w:rsidP="009E156F">
      <w:pPr>
        <w:pStyle w:val="SingleTxtG"/>
        <w:ind w:left="1701" w:hanging="425"/>
        <w:rPr>
          <w:bCs/>
          <w:lang w:val="en-US"/>
        </w:rPr>
      </w:pPr>
      <w:r w:rsidRPr="00C639AE">
        <w:rPr>
          <w:bCs/>
          <w:lang w:val="en-US"/>
        </w:rPr>
        <w:t>2</w:t>
      </w:r>
      <w:r w:rsidRPr="00C639AE">
        <w:rPr>
          <w:bCs/>
          <w:lang w:val="en-US"/>
        </w:rPr>
        <w:tab/>
        <w:t>The direct control of lamp function usually is not under control of the TPMS/TPRS/CTIS. Therefore this shall be delegated to the responsible ECU of the vehicle</w:t>
      </w:r>
    </w:p>
    <w:p w14:paraId="05454C6E" w14:textId="77777777" w:rsidR="009E156F" w:rsidRPr="00C639AE" w:rsidRDefault="009E156F" w:rsidP="009E156F">
      <w:pPr>
        <w:pStyle w:val="SingleTxtG"/>
        <w:ind w:left="1701" w:hanging="425"/>
        <w:rPr>
          <w:bCs/>
          <w:lang w:val="en-US"/>
        </w:rPr>
      </w:pPr>
    </w:p>
    <w:p w14:paraId="4E91D5B4" w14:textId="77777777" w:rsidR="009E156F" w:rsidRPr="00C639AE" w:rsidRDefault="009E156F" w:rsidP="009E156F">
      <w:pPr>
        <w:pStyle w:val="SingleTxtG"/>
        <w:ind w:left="1701" w:hanging="425"/>
        <w:rPr>
          <w:bCs/>
          <w:lang w:val="en-US"/>
        </w:rPr>
      </w:pPr>
      <w:r w:rsidRPr="00C639AE">
        <w:rPr>
          <w:bCs/>
          <w:lang w:val="en-US"/>
        </w:rPr>
        <w:t>3</w:t>
      </w:r>
      <w:r w:rsidRPr="00C639AE">
        <w:rPr>
          <w:bCs/>
          <w:lang w:val="en-US"/>
        </w:rPr>
        <w:tab/>
        <w:t xml:space="preserve">The expression </w:t>
      </w:r>
    </w:p>
    <w:p w14:paraId="4BC027A4" w14:textId="77777777" w:rsidR="009E156F" w:rsidRPr="00C639AE" w:rsidRDefault="009E156F" w:rsidP="009E156F">
      <w:pPr>
        <w:pStyle w:val="SingleTxtG"/>
        <w:ind w:left="2268"/>
        <w:rPr>
          <w:bCs/>
          <w:lang w:val="en-US"/>
        </w:rPr>
      </w:pPr>
      <w:r w:rsidRPr="00C639AE">
        <w:rPr>
          <w:bCs/>
          <w:i/>
          <w:iCs/>
          <w:lang w:val="en-US"/>
        </w:rPr>
        <w:lastRenderedPageBreak/>
        <w:t>Signals, other than Tyre Pressure Status (EBS23 Byte 1 Bit 1-2), within messages EBS23 and RGE23 shall be transmitted with the indication “not available” in case the ECU ECU(s) providing TPMS/ TPRS/ CTIS functionality does not provide such data</w:t>
      </w:r>
      <w:r w:rsidRPr="00C639AE">
        <w:rPr>
          <w:b/>
          <w:bCs/>
          <w:lang w:val="en-US"/>
        </w:rPr>
        <w:t>.  </w:t>
      </w:r>
    </w:p>
    <w:p w14:paraId="25BDA2D6" w14:textId="77777777" w:rsidR="009E156F" w:rsidRPr="00C639AE" w:rsidRDefault="009E156F" w:rsidP="009E156F">
      <w:pPr>
        <w:pStyle w:val="SingleTxtG"/>
        <w:ind w:left="1701"/>
        <w:rPr>
          <w:bCs/>
          <w:lang w:val="en-US"/>
        </w:rPr>
      </w:pPr>
      <w:r w:rsidRPr="00C639AE">
        <w:rPr>
          <w:bCs/>
          <w:lang w:val="en-US"/>
        </w:rPr>
        <w:t>is excluding valid information in the EBS23 like Brake-line-wear information which might be generated by the Gateway ECU itself.</w:t>
      </w:r>
    </w:p>
    <w:p w14:paraId="2048B6B1" w14:textId="77777777" w:rsidR="009E156F" w:rsidRPr="00C639AE" w:rsidRDefault="009E156F" w:rsidP="009E156F">
      <w:pPr>
        <w:pStyle w:val="SingleTxtG"/>
        <w:ind w:left="1701"/>
        <w:rPr>
          <w:bCs/>
          <w:lang w:val="en-US"/>
        </w:rPr>
      </w:pPr>
    </w:p>
    <w:p w14:paraId="209559E0" w14:textId="77777777" w:rsidR="009E156F" w:rsidRPr="00C639AE" w:rsidRDefault="009E156F" w:rsidP="009E156F">
      <w:pPr>
        <w:pStyle w:val="SingleTxtG"/>
        <w:ind w:left="1701" w:hanging="425"/>
        <w:rPr>
          <w:bCs/>
          <w:lang w:val="en-US"/>
        </w:rPr>
      </w:pPr>
      <w:r w:rsidRPr="00C639AE">
        <w:rPr>
          <w:bCs/>
          <w:lang w:val="en-US"/>
        </w:rPr>
        <w:t>4</w:t>
      </w:r>
      <w:r w:rsidRPr="00C639AE">
        <w:rPr>
          <w:bCs/>
          <w:lang w:val="en-US"/>
        </w:rPr>
        <w:tab/>
        <w:t xml:space="preserve">ECE-R141 is referring to "Low Tyre Pressure Warning", ISO11992-2 is referring to " Tyre pressure insufficent". In the ECE R141 "Low Tyre Pressure Warning" is indicating an underinflated tyre only. Tyre pressure insufficient acc. to ISO11992-2 is stating in chap. 6.5.4.26:  </w:t>
      </w:r>
    </w:p>
    <w:p w14:paraId="1CA5BB59" w14:textId="77777777" w:rsidR="009E156F" w:rsidRPr="00C639AE" w:rsidRDefault="009E156F" w:rsidP="009E156F">
      <w:pPr>
        <w:pStyle w:val="SingleTxtG"/>
        <w:ind w:left="2268"/>
        <w:rPr>
          <w:spacing w:val="-1"/>
          <w:lang w:val="en-US"/>
        </w:rPr>
      </w:pPr>
      <w:r w:rsidRPr="00C639AE">
        <w:rPr>
          <w:spacing w:val="-1"/>
          <w:lang w:val="en-US"/>
        </w:rPr>
        <w:t xml:space="preserve">"An insufficient tyre pressure shall be indicated, if the pressure is </w:t>
      </w:r>
      <w:r w:rsidRPr="00C639AE">
        <w:rPr>
          <w:b/>
          <w:bCs/>
          <w:spacing w:val="-1"/>
          <w:lang w:val="en-US"/>
        </w:rPr>
        <w:t>outside</w:t>
      </w:r>
      <w:r w:rsidRPr="00C639AE">
        <w:rPr>
          <w:spacing w:val="-1"/>
          <w:lang w:val="en-US"/>
        </w:rPr>
        <w:t xml:space="preserve"> of a pressure range recommended by the tyre or vehicle manufacturer, to ensure an optimized operation with regard to the fuel consumption of the vehicle and life time of the tyre."</w:t>
      </w:r>
    </w:p>
    <w:p w14:paraId="1D10F810" w14:textId="4F8B3342" w:rsidR="009E156F" w:rsidRPr="00C639AE" w:rsidRDefault="009E156F" w:rsidP="009E156F">
      <w:pPr>
        <w:pStyle w:val="SingleTxtG"/>
        <w:ind w:left="1701"/>
        <w:rPr>
          <w:spacing w:val="-1"/>
          <w:lang w:val="en-US"/>
        </w:rPr>
      </w:pPr>
      <w:r w:rsidRPr="00C639AE">
        <w:rPr>
          <w:spacing w:val="-1"/>
          <w:lang w:val="en-US"/>
        </w:rPr>
        <w:t>This includes overpressure also</w:t>
      </w:r>
      <w:r w:rsidR="007926B7">
        <w:rPr>
          <w:spacing w:val="-1"/>
          <w:lang w:val="en-US"/>
        </w:rPr>
        <w:t>.</w:t>
      </w:r>
      <w:r w:rsidRPr="00C639AE">
        <w:rPr>
          <w:spacing w:val="-1"/>
          <w:lang w:val="en-US"/>
        </w:rPr>
        <w:t xml:space="preserve"> R121 is defining tell-tale for "Low Tyre Pressure" and malfunction warning but not overpressure</w:t>
      </w:r>
      <w:r>
        <w:rPr>
          <w:spacing w:val="-1"/>
          <w:lang w:val="en-US"/>
        </w:rPr>
        <w:t>.</w:t>
      </w:r>
    </w:p>
    <w:p w14:paraId="2F09302A" w14:textId="77777777" w:rsidR="009E156F" w:rsidRPr="00C639AE" w:rsidRDefault="009E156F" w:rsidP="009E156F">
      <w:pPr>
        <w:pStyle w:val="SingleTxtG"/>
        <w:ind w:left="1701"/>
        <w:rPr>
          <w:bCs/>
          <w:lang w:val="en-US"/>
        </w:rPr>
      </w:pPr>
    </w:p>
    <w:p w14:paraId="0E89977F" w14:textId="77777777" w:rsidR="009E156F" w:rsidRPr="00C639AE" w:rsidRDefault="009E156F" w:rsidP="009E156F">
      <w:pPr>
        <w:pStyle w:val="SingleTxtG"/>
        <w:ind w:left="1701" w:hanging="425"/>
        <w:rPr>
          <w:bCs/>
          <w:lang w:val="en-US"/>
        </w:rPr>
      </w:pPr>
      <w:r w:rsidRPr="00C639AE">
        <w:rPr>
          <w:bCs/>
          <w:lang w:val="en-US"/>
        </w:rPr>
        <w:t>5</w:t>
      </w:r>
      <w:r w:rsidRPr="00C639AE">
        <w:rPr>
          <w:bCs/>
          <w:lang w:val="en-US"/>
        </w:rPr>
        <w:tab/>
        <w:t>Identification data (VIN) in the TPMS/CTIS/TPRS might be hacked or corrupted. This could be crucial if it overrides the information from the Gateway ECU which as a brake ECU has high confidence level, especially if VIN comes from a telematics unit.</w:t>
      </w:r>
    </w:p>
    <w:p w14:paraId="4F85AD9D" w14:textId="77777777" w:rsidR="009E156F" w:rsidRPr="00C639AE" w:rsidRDefault="009E156F" w:rsidP="009E156F">
      <w:pPr>
        <w:pStyle w:val="SingleTxtG"/>
        <w:ind w:left="1701" w:hanging="425"/>
        <w:rPr>
          <w:bCs/>
          <w:lang w:val="en-US"/>
        </w:rPr>
      </w:pPr>
    </w:p>
    <w:p w14:paraId="56624F01" w14:textId="77777777" w:rsidR="009E156F" w:rsidRPr="00C639AE" w:rsidRDefault="009E156F" w:rsidP="009E156F">
      <w:pPr>
        <w:pStyle w:val="SingleTxtG"/>
        <w:ind w:left="1701" w:hanging="425"/>
        <w:rPr>
          <w:bCs/>
          <w:lang w:val="en-US"/>
        </w:rPr>
      </w:pPr>
      <w:r w:rsidRPr="00C639AE">
        <w:rPr>
          <w:bCs/>
          <w:lang w:val="en-US"/>
        </w:rPr>
        <w:t>6</w:t>
      </w:r>
      <w:r w:rsidRPr="00C639AE">
        <w:rPr>
          <w:bCs/>
          <w:lang w:val="en-US"/>
        </w:rPr>
        <w:tab/>
        <w:t>In road train application the Source Address of the gateway ECU is acc. to ISO11992-2, Table B2, and the message EBS23 to the towing vehicle is sent with the corresponding road train position Source Address. Connected sub-system ECUs do not know the road train position they are and are not adapting their Source Address – this must be covered by the Gateway ECU. Each connected TPMS/TPRS/CTIS shall use the fix Source Address 207d.</w:t>
      </w:r>
    </w:p>
    <w:p w14:paraId="355F02EB" w14:textId="77777777" w:rsidR="009E156F" w:rsidRPr="00C639AE" w:rsidRDefault="009E156F" w:rsidP="009E156F">
      <w:pPr>
        <w:pStyle w:val="SingleTxtG"/>
        <w:rPr>
          <w:bCs/>
          <w:lang w:val="en-US"/>
        </w:rPr>
      </w:pPr>
    </w:p>
    <w:p w14:paraId="18FFB628" w14:textId="77777777" w:rsidR="009E156F" w:rsidRPr="00C639AE" w:rsidRDefault="009E156F" w:rsidP="009E156F">
      <w:pPr>
        <w:spacing w:before="240"/>
        <w:jc w:val="center"/>
        <w:rPr>
          <w:u w:val="single"/>
          <w:lang w:val="en-US"/>
        </w:rPr>
      </w:pPr>
      <w:r w:rsidRPr="00C639AE">
        <w:rPr>
          <w:u w:val="single"/>
          <w:lang w:val="en-US"/>
        </w:rPr>
        <w:tab/>
      </w:r>
      <w:r w:rsidRPr="00C639AE">
        <w:rPr>
          <w:u w:val="single"/>
          <w:lang w:val="en-US"/>
        </w:rPr>
        <w:tab/>
      </w:r>
      <w:r w:rsidRPr="00C639AE">
        <w:rPr>
          <w:u w:val="single"/>
          <w:lang w:val="en-US"/>
        </w:rPr>
        <w:tab/>
      </w:r>
    </w:p>
    <w:bookmarkEnd w:id="0"/>
    <w:bookmarkEnd w:id="1"/>
    <w:p w14:paraId="69D75C0A" w14:textId="05F2CB2C" w:rsidR="009E156F" w:rsidRDefault="009E156F" w:rsidP="3070EEC0">
      <w:pPr>
        <w:jc w:val="both"/>
        <w:rPr>
          <w:rFonts w:ascii="Times New Roman" w:hAnsi="Times New Roman"/>
          <w:lang w:val="en-US"/>
        </w:rPr>
      </w:pPr>
    </w:p>
    <w:p w14:paraId="4E68FACD" w14:textId="2C6A5D92" w:rsidR="009E156F" w:rsidRDefault="009E156F" w:rsidP="3070EEC0">
      <w:pPr>
        <w:jc w:val="both"/>
        <w:rPr>
          <w:rFonts w:ascii="Times New Roman" w:hAnsi="Times New Roman"/>
          <w:lang w:val="en-US"/>
        </w:rPr>
      </w:pPr>
    </w:p>
    <w:sectPr w:rsidR="009E156F" w:rsidSect="00797A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3DFC" w14:textId="77777777" w:rsidR="006838B3" w:rsidRDefault="006838B3">
      <w:pPr>
        <w:spacing w:after="0" w:line="240" w:lineRule="auto"/>
      </w:pPr>
      <w:r>
        <w:separator/>
      </w:r>
    </w:p>
  </w:endnote>
  <w:endnote w:type="continuationSeparator" w:id="0">
    <w:p w14:paraId="01AD0263" w14:textId="77777777" w:rsidR="006838B3" w:rsidRDefault="006838B3">
      <w:pPr>
        <w:spacing w:after="0" w:line="240" w:lineRule="auto"/>
      </w:pPr>
      <w:r>
        <w:continuationSeparator/>
      </w:r>
    </w:p>
  </w:endnote>
  <w:endnote w:type="continuationNotice" w:id="1">
    <w:p w14:paraId="14AB0D62" w14:textId="77777777" w:rsidR="006838B3" w:rsidRDefault="00683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9D2B" w14:textId="77777777" w:rsidR="003C0704" w:rsidRDefault="003C0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278D1" w14:paraId="22A1DDF3" w14:textId="77777777" w:rsidTr="1D4278D1">
      <w:tc>
        <w:tcPr>
          <w:tcW w:w="3005" w:type="dxa"/>
        </w:tcPr>
        <w:p w14:paraId="6034B167" w14:textId="6CDF455C" w:rsidR="1D4278D1" w:rsidRDefault="1D4278D1" w:rsidP="1D4278D1">
          <w:pPr>
            <w:pStyle w:val="Header"/>
            <w:ind w:left="-115"/>
          </w:pPr>
        </w:p>
      </w:tc>
      <w:tc>
        <w:tcPr>
          <w:tcW w:w="3005" w:type="dxa"/>
        </w:tcPr>
        <w:p w14:paraId="03CB00B9" w14:textId="55C3EFCB" w:rsidR="1D4278D1" w:rsidRDefault="1D4278D1" w:rsidP="1D4278D1">
          <w:pPr>
            <w:pStyle w:val="Header"/>
            <w:jc w:val="center"/>
          </w:pPr>
        </w:p>
      </w:tc>
      <w:tc>
        <w:tcPr>
          <w:tcW w:w="3005" w:type="dxa"/>
        </w:tcPr>
        <w:p w14:paraId="20231C07" w14:textId="4DF77437" w:rsidR="1D4278D1" w:rsidRDefault="1D4278D1" w:rsidP="1D4278D1">
          <w:pPr>
            <w:pStyle w:val="Header"/>
            <w:ind w:right="-115"/>
            <w:jc w:val="right"/>
          </w:pPr>
        </w:p>
      </w:tc>
    </w:tr>
  </w:tbl>
  <w:p w14:paraId="64454091" w14:textId="4222358E" w:rsidR="1D4278D1" w:rsidRDefault="1D4278D1" w:rsidP="1D427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EF2C" w14:textId="77777777" w:rsidR="003C0704" w:rsidRDefault="003C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75FC" w14:textId="77777777" w:rsidR="006838B3" w:rsidRDefault="006838B3">
      <w:pPr>
        <w:spacing w:after="0" w:line="240" w:lineRule="auto"/>
      </w:pPr>
      <w:r>
        <w:rPr>
          <w:color w:val="000000"/>
        </w:rPr>
        <w:separator/>
      </w:r>
    </w:p>
  </w:footnote>
  <w:footnote w:type="continuationSeparator" w:id="0">
    <w:p w14:paraId="3BC25AF1" w14:textId="77777777" w:rsidR="006838B3" w:rsidRDefault="006838B3">
      <w:pPr>
        <w:spacing w:after="0" w:line="240" w:lineRule="auto"/>
      </w:pPr>
      <w:r>
        <w:continuationSeparator/>
      </w:r>
    </w:p>
  </w:footnote>
  <w:footnote w:type="continuationNotice" w:id="1">
    <w:p w14:paraId="4DE7FB05" w14:textId="77777777" w:rsidR="006838B3" w:rsidRDefault="00683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D95A" w14:textId="77777777" w:rsidR="003C0704" w:rsidRDefault="003C0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4A0" w:firstRow="1" w:lastRow="0" w:firstColumn="1" w:lastColumn="0" w:noHBand="0" w:noVBand="1"/>
    </w:tblPr>
    <w:tblGrid>
      <w:gridCol w:w="4962"/>
      <w:gridCol w:w="4960"/>
    </w:tblGrid>
    <w:tr w:rsidR="009E156F" w14:paraId="6C3E8D3F" w14:textId="77777777" w:rsidTr="00246C28">
      <w:tc>
        <w:tcPr>
          <w:tcW w:w="4961" w:type="dxa"/>
        </w:tcPr>
        <w:p w14:paraId="05614E4D" w14:textId="77777777" w:rsidR="009E156F" w:rsidRPr="000816BE" w:rsidRDefault="009E156F" w:rsidP="009E156F">
          <w:pPr>
            <w:tabs>
              <w:tab w:val="center" w:pos="4677"/>
              <w:tab w:val="right" w:pos="9355"/>
            </w:tabs>
            <w:spacing w:line="240" w:lineRule="auto"/>
            <w:rPr>
              <w:rFonts w:ascii="Times New Roman" w:hAnsi="Times New Roman"/>
              <w:color w:val="00000A"/>
              <w:sz w:val="24"/>
              <w:szCs w:val="24"/>
              <w:lang w:val="en-US" w:eastAsia="ar-SA"/>
            </w:rPr>
          </w:pPr>
          <w:r w:rsidRPr="000816BE">
            <w:rPr>
              <w:rFonts w:ascii="Times New Roman" w:hAnsi="Times New Roman"/>
              <w:color w:val="00000A"/>
              <w:lang w:eastAsia="ar-SA"/>
            </w:rPr>
            <w:t>Submitted by the expert from CLEPA the European Association of Automotive Suppliers</w:t>
          </w:r>
        </w:p>
        <w:p w14:paraId="01058C69" w14:textId="77777777" w:rsidR="009E156F" w:rsidRPr="000816BE" w:rsidRDefault="009E156F" w:rsidP="009E156F">
          <w:pPr>
            <w:tabs>
              <w:tab w:val="center" w:pos="4677"/>
              <w:tab w:val="right" w:pos="9355"/>
            </w:tabs>
            <w:spacing w:line="240" w:lineRule="auto"/>
            <w:rPr>
              <w:rFonts w:ascii="Times New Roman" w:hAnsi="Times New Roman"/>
              <w:color w:val="00000A"/>
              <w:sz w:val="16"/>
              <w:szCs w:val="16"/>
              <w:lang w:eastAsia="ar-SA"/>
            </w:rPr>
          </w:pPr>
        </w:p>
      </w:tc>
      <w:tc>
        <w:tcPr>
          <w:tcW w:w="4960" w:type="dxa"/>
          <w:hideMark/>
        </w:tcPr>
        <w:p w14:paraId="4CE8409B" w14:textId="6B4715D7" w:rsidR="009E156F" w:rsidRPr="000816BE" w:rsidRDefault="009E156F" w:rsidP="009E156F">
          <w:pPr>
            <w:spacing w:line="240" w:lineRule="auto"/>
            <w:ind w:left="174"/>
            <w:rPr>
              <w:rFonts w:ascii="Times New Roman" w:hAnsi="Times New Roman"/>
              <w:color w:val="00000A"/>
              <w:sz w:val="24"/>
              <w:szCs w:val="24"/>
              <w:lang w:eastAsia="ar-SA"/>
            </w:rPr>
          </w:pPr>
          <w:r w:rsidRPr="000816BE">
            <w:rPr>
              <w:rFonts w:ascii="Times New Roman" w:hAnsi="Times New Roman"/>
              <w:color w:val="00000A"/>
              <w:u w:val="single"/>
              <w:lang w:eastAsia="ar-SA"/>
            </w:rPr>
            <w:t>Informal document</w:t>
          </w:r>
          <w:r w:rsidRPr="000816BE">
            <w:rPr>
              <w:rFonts w:ascii="Times New Roman" w:hAnsi="Times New Roman"/>
              <w:color w:val="00000A"/>
              <w:lang w:eastAsia="ar-SA"/>
            </w:rPr>
            <w:t xml:space="preserve"> </w:t>
          </w:r>
          <w:r w:rsidRPr="000816BE">
            <w:rPr>
              <w:rFonts w:ascii="Times New Roman" w:hAnsi="Times New Roman"/>
              <w:b/>
              <w:bCs/>
              <w:color w:val="00000A"/>
              <w:lang w:eastAsia="ar-SA"/>
            </w:rPr>
            <w:t>GR</w:t>
          </w:r>
          <w:r>
            <w:rPr>
              <w:rFonts w:ascii="Times New Roman" w:hAnsi="Times New Roman"/>
              <w:b/>
              <w:bCs/>
              <w:color w:val="00000A"/>
              <w:lang w:eastAsia="ar-SA"/>
            </w:rPr>
            <w:t>BP-75</w:t>
          </w:r>
          <w:r w:rsidRPr="000816BE">
            <w:rPr>
              <w:rFonts w:ascii="Times New Roman" w:hAnsi="Times New Roman"/>
              <w:b/>
              <w:bCs/>
              <w:color w:val="00000A"/>
              <w:lang w:eastAsia="ar-SA"/>
            </w:rPr>
            <w:t>-</w:t>
          </w:r>
          <w:r w:rsidR="003C0704">
            <w:rPr>
              <w:rFonts w:ascii="Times New Roman" w:hAnsi="Times New Roman"/>
              <w:b/>
              <w:bCs/>
              <w:color w:val="00000A"/>
              <w:lang w:eastAsia="ar-SA"/>
            </w:rPr>
            <w:t>33</w:t>
          </w:r>
        </w:p>
        <w:p w14:paraId="05035773" w14:textId="280E9B4E" w:rsidR="009E156F" w:rsidRPr="000816BE" w:rsidRDefault="009E156F" w:rsidP="009E156F">
          <w:pPr>
            <w:tabs>
              <w:tab w:val="center" w:pos="4677"/>
              <w:tab w:val="right" w:pos="9355"/>
            </w:tabs>
            <w:spacing w:line="240" w:lineRule="auto"/>
            <w:ind w:left="174"/>
            <w:rPr>
              <w:rFonts w:ascii="Times New Roman" w:hAnsi="Times New Roman"/>
              <w:color w:val="00000A"/>
              <w:sz w:val="24"/>
              <w:szCs w:val="24"/>
              <w:lang w:eastAsia="ar-SA"/>
            </w:rPr>
          </w:pPr>
          <w:r w:rsidRPr="000816BE">
            <w:rPr>
              <w:rFonts w:ascii="Times New Roman" w:hAnsi="Times New Roman"/>
              <w:color w:val="00000A"/>
              <w:lang w:eastAsia="ar-SA"/>
            </w:rPr>
            <w:t>(</w:t>
          </w:r>
          <w:r>
            <w:rPr>
              <w:rFonts w:ascii="Times New Roman" w:hAnsi="Times New Roman"/>
              <w:color w:val="00000A"/>
              <w:lang w:eastAsia="ar-SA"/>
            </w:rPr>
            <w:t>75</w:t>
          </w:r>
          <w:r w:rsidRPr="000816BE">
            <w:rPr>
              <w:rFonts w:ascii="Times New Roman" w:hAnsi="Times New Roman"/>
              <w:color w:val="00000A"/>
              <w:vertAlign w:val="superscript"/>
              <w:lang w:eastAsia="ar-SA"/>
            </w:rPr>
            <w:t>th</w:t>
          </w:r>
          <w:r w:rsidRPr="000816BE">
            <w:rPr>
              <w:rFonts w:ascii="Times New Roman" w:hAnsi="Times New Roman"/>
              <w:color w:val="00000A"/>
              <w:lang w:eastAsia="ar-SA"/>
            </w:rPr>
            <w:t xml:space="preserve"> GR</w:t>
          </w:r>
          <w:r>
            <w:rPr>
              <w:rFonts w:ascii="Times New Roman" w:hAnsi="Times New Roman"/>
              <w:color w:val="00000A"/>
              <w:lang w:eastAsia="ar-SA"/>
            </w:rPr>
            <w:t>BP, 8-11 February 2022</w:t>
          </w:r>
          <w:r w:rsidRPr="000816BE">
            <w:rPr>
              <w:rFonts w:ascii="Times New Roman" w:hAnsi="Times New Roman"/>
              <w:color w:val="00000A"/>
              <w:lang w:eastAsia="ar-SA"/>
            </w:rPr>
            <w:br/>
            <w:t xml:space="preserve"> agenda item </w:t>
          </w:r>
          <w:r>
            <w:rPr>
              <w:rFonts w:ascii="Times New Roman" w:hAnsi="Times New Roman"/>
              <w:color w:val="00000A"/>
              <w:lang w:eastAsia="ar-SA"/>
            </w:rPr>
            <w:t>4e</w:t>
          </w:r>
          <w:r w:rsidRPr="000816BE">
            <w:rPr>
              <w:rFonts w:ascii="Times New Roman" w:hAnsi="Times New Roman"/>
              <w:color w:val="00000A"/>
              <w:lang w:eastAsia="ar-SA"/>
            </w:rPr>
            <w:t>)</w:t>
          </w:r>
        </w:p>
      </w:tc>
    </w:tr>
  </w:tbl>
  <w:p w14:paraId="36BDAC1D" w14:textId="77777777" w:rsidR="009E156F" w:rsidRPr="000816BE" w:rsidRDefault="009E156F" w:rsidP="009E156F">
    <w:pPr>
      <w:pStyle w:val="Header"/>
    </w:pPr>
  </w:p>
  <w:p w14:paraId="018839DC" w14:textId="04A692FB" w:rsidR="00A4674D" w:rsidRPr="009E156F" w:rsidRDefault="00A4674D" w:rsidP="009E1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23C3" w14:textId="77777777" w:rsidR="003C0704" w:rsidRDefault="003C0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653"/>
    <w:multiLevelType w:val="hybridMultilevel"/>
    <w:tmpl w:val="B7B2D7A4"/>
    <w:lvl w:ilvl="0" w:tplc="85C07A8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212707C3"/>
    <w:multiLevelType w:val="multilevel"/>
    <w:tmpl w:val="A95474D0"/>
    <w:lvl w:ilvl="0">
      <w:start w:val="1"/>
      <w:numFmt w:val="upperRoman"/>
      <w:lvlText w:val="%1."/>
      <w:lvlJc w:val="left"/>
      <w:pPr>
        <w:ind w:left="1080" w:hanging="720"/>
      </w:pPr>
      <w:rPr>
        <w:rFonts w:hint="default"/>
      </w:rPr>
    </w:lvl>
    <w:lvl w:ilvl="1">
      <w:start w:val="1"/>
      <w:numFmt w:val="decimal"/>
      <w:isLgl/>
      <w:lvlText w:val="%1.%2."/>
      <w:lvlJc w:val="left"/>
      <w:pPr>
        <w:ind w:left="4425" w:hanging="405"/>
      </w:pPr>
      <w:rPr>
        <w:rFonts w:hint="default"/>
      </w:rPr>
    </w:lvl>
    <w:lvl w:ilvl="2">
      <w:start w:val="1"/>
      <w:numFmt w:val="decimal"/>
      <w:isLgl/>
      <w:lvlText w:val="%1.%2.%3."/>
      <w:lvlJc w:val="left"/>
      <w:pPr>
        <w:ind w:left="8400" w:hanging="720"/>
      </w:pPr>
      <w:rPr>
        <w:rFonts w:hint="default"/>
      </w:rPr>
    </w:lvl>
    <w:lvl w:ilvl="3">
      <w:start w:val="1"/>
      <w:numFmt w:val="decimal"/>
      <w:isLgl/>
      <w:lvlText w:val="%1.%2.%3.%4."/>
      <w:lvlJc w:val="left"/>
      <w:pPr>
        <w:ind w:left="12060" w:hanging="720"/>
      </w:pPr>
      <w:rPr>
        <w:rFonts w:hint="default"/>
      </w:rPr>
    </w:lvl>
    <w:lvl w:ilvl="4">
      <w:start w:val="1"/>
      <w:numFmt w:val="decimal"/>
      <w:isLgl/>
      <w:lvlText w:val="%1.%2.%3.%4.%5."/>
      <w:lvlJc w:val="left"/>
      <w:pPr>
        <w:ind w:left="16080" w:hanging="1080"/>
      </w:pPr>
      <w:rPr>
        <w:rFonts w:hint="default"/>
      </w:rPr>
    </w:lvl>
    <w:lvl w:ilvl="5">
      <w:start w:val="1"/>
      <w:numFmt w:val="decimal"/>
      <w:isLgl/>
      <w:lvlText w:val="%1.%2.%3.%4.%5.%6."/>
      <w:lvlJc w:val="left"/>
      <w:pPr>
        <w:ind w:left="19740" w:hanging="1080"/>
      </w:pPr>
      <w:rPr>
        <w:rFonts w:hint="default"/>
      </w:rPr>
    </w:lvl>
    <w:lvl w:ilvl="6">
      <w:start w:val="1"/>
      <w:numFmt w:val="decimal"/>
      <w:isLgl/>
      <w:lvlText w:val="%1.%2.%3.%4.%5.%6.%7."/>
      <w:lvlJc w:val="left"/>
      <w:pPr>
        <w:ind w:left="23760" w:hanging="1440"/>
      </w:pPr>
      <w:rPr>
        <w:rFonts w:hint="default"/>
      </w:rPr>
    </w:lvl>
    <w:lvl w:ilvl="7">
      <w:start w:val="1"/>
      <w:numFmt w:val="decimal"/>
      <w:isLgl/>
      <w:lvlText w:val="%1.%2.%3.%4.%5.%6.%7.%8."/>
      <w:lvlJc w:val="left"/>
      <w:pPr>
        <w:ind w:left="27420" w:hanging="1440"/>
      </w:pPr>
      <w:rPr>
        <w:rFonts w:hint="default"/>
      </w:rPr>
    </w:lvl>
    <w:lvl w:ilvl="8">
      <w:start w:val="1"/>
      <w:numFmt w:val="decimal"/>
      <w:isLgl/>
      <w:lvlText w:val="%1.%2.%3.%4.%5.%6.%7.%8.%9."/>
      <w:lvlJc w:val="left"/>
      <w:pPr>
        <w:ind w:left="31440" w:hanging="1800"/>
      </w:pPr>
      <w:rPr>
        <w:rFonts w:hint="default"/>
      </w:rPr>
    </w:lvl>
  </w:abstractNum>
  <w:abstractNum w:abstractNumId="2" w15:restartNumberingAfterBreak="0">
    <w:nsid w:val="6E847ABF"/>
    <w:multiLevelType w:val="hybridMultilevel"/>
    <w:tmpl w:val="86A01716"/>
    <w:lvl w:ilvl="0" w:tplc="1DD01C2A">
      <w:start w:val="1"/>
      <w:numFmt w:val="decimal"/>
      <w:lvlText w:val="%1."/>
      <w:lvlJc w:val="left"/>
      <w:pPr>
        <w:ind w:left="1494" w:hanging="360"/>
      </w:pPr>
      <w:rPr>
        <w:rFonts w:hint="default"/>
      </w:rPr>
    </w:lvl>
    <w:lvl w:ilvl="1" w:tplc="0409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79F043E3"/>
    <w:multiLevelType w:val="multilevel"/>
    <w:tmpl w:val="21181990"/>
    <w:lvl w:ilvl="0">
      <w:start w:val="2"/>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092" w:hanging="72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138" w:hanging="108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184"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A1"/>
    <w:rsid w:val="000513BA"/>
    <w:rsid w:val="000515B9"/>
    <w:rsid w:val="00093684"/>
    <w:rsid w:val="000A44D7"/>
    <w:rsid w:val="000B72EB"/>
    <w:rsid w:val="000C693E"/>
    <w:rsid w:val="000D2C16"/>
    <w:rsid w:val="000D3FDB"/>
    <w:rsid w:val="000E34A0"/>
    <w:rsid w:val="00107788"/>
    <w:rsid w:val="0011362B"/>
    <w:rsid w:val="00124C0E"/>
    <w:rsid w:val="00152B77"/>
    <w:rsid w:val="00180A34"/>
    <w:rsid w:val="00193B9B"/>
    <w:rsid w:val="001A1B87"/>
    <w:rsid w:val="001A6198"/>
    <w:rsid w:val="001B03D7"/>
    <w:rsid w:val="001B51A9"/>
    <w:rsid w:val="001B626D"/>
    <w:rsid w:val="001C04E4"/>
    <w:rsid w:val="001C35A5"/>
    <w:rsid w:val="001E03AF"/>
    <w:rsid w:val="001F1290"/>
    <w:rsid w:val="001F1DA5"/>
    <w:rsid w:val="00210030"/>
    <w:rsid w:val="00253F58"/>
    <w:rsid w:val="00261319"/>
    <w:rsid w:val="00262B7B"/>
    <w:rsid w:val="002669EF"/>
    <w:rsid w:val="00292B22"/>
    <w:rsid w:val="002B445B"/>
    <w:rsid w:val="002C6339"/>
    <w:rsid w:val="002E27E1"/>
    <w:rsid w:val="00302E99"/>
    <w:rsid w:val="003078E9"/>
    <w:rsid w:val="00322C5C"/>
    <w:rsid w:val="00326A58"/>
    <w:rsid w:val="003457CA"/>
    <w:rsid w:val="00360469"/>
    <w:rsid w:val="0036243C"/>
    <w:rsid w:val="003716B4"/>
    <w:rsid w:val="00386BFD"/>
    <w:rsid w:val="00386C1E"/>
    <w:rsid w:val="0039497C"/>
    <w:rsid w:val="003969E7"/>
    <w:rsid w:val="003A5397"/>
    <w:rsid w:val="003B79D2"/>
    <w:rsid w:val="003C0704"/>
    <w:rsid w:val="003C2BF8"/>
    <w:rsid w:val="003C2F92"/>
    <w:rsid w:val="003E3240"/>
    <w:rsid w:val="0040223F"/>
    <w:rsid w:val="00414EF7"/>
    <w:rsid w:val="00416332"/>
    <w:rsid w:val="004202C4"/>
    <w:rsid w:val="00425250"/>
    <w:rsid w:val="00426C7E"/>
    <w:rsid w:val="004325D1"/>
    <w:rsid w:val="004336B5"/>
    <w:rsid w:val="00455024"/>
    <w:rsid w:val="00461DAF"/>
    <w:rsid w:val="004637F5"/>
    <w:rsid w:val="00475139"/>
    <w:rsid w:val="00481392"/>
    <w:rsid w:val="0048438C"/>
    <w:rsid w:val="004932F0"/>
    <w:rsid w:val="004B2BCF"/>
    <w:rsid w:val="004B6040"/>
    <w:rsid w:val="004B732C"/>
    <w:rsid w:val="004D2E05"/>
    <w:rsid w:val="004D6FD8"/>
    <w:rsid w:val="004E00F5"/>
    <w:rsid w:val="004E31B1"/>
    <w:rsid w:val="00534719"/>
    <w:rsid w:val="00554D51"/>
    <w:rsid w:val="00563A33"/>
    <w:rsid w:val="005811C4"/>
    <w:rsid w:val="0058244E"/>
    <w:rsid w:val="005A75F0"/>
    <w:rsid w:val="005B6A67"/>
    <w:rsid w:val="005C19B8"/>
    <w:rsid w:val="005E344D"/>
    <w:rsid w:val="00633783"/>
    <w:rsid w:val="006577B0"/>
    <w:rsid w:val="00660E4A"/>
    <w:rsid w:val="00671CF7"/>
    <w:rsid w:val="006838B3"/>
    <w:rsid w:val="00684300"/>
    <w:rsid w:val="00693F9D"/>
    <w:rsid w:val="006A4A03"/>
    <w:rsid w:val="006A4A24"/>
    <w:rsid w:val="006D53C4"/>
    <w:rsid w:val="006E679D"/>
    <w:rsid w:val="006F4C01"/>
    <w:rsid w:val="0070495D"/>
    <w:rsid w:val="00715553"/>
    <w:rsid w:val="0072005D"/>
    <w:rsid w:val="00720946"/>
    <w:rsid w:val="00734C9E"/>
    <w:rsid w:val="007411AA"/>
    <w:rsid w:val="0074156C"/>
    <w:rsid w:val="00742164"/>
    <w:rsid w:val="00746ECC"/>
    <w:rsid w:val="00757978"/>
    <w:rsid w:val="00774D7D"/>
    <w:rsid w:val="00775604"/>
    <w:rsid w:val="0077596F"/>
    <w:rsid w:val="007761ED"/>
    <w:rsid w:val="00790B70"/>
    <w:rsid w:val="007926B7"/>
    <w:rsid w:val="0079514A"/>
    <w:rsid w:val="00797A91"/>
    <w:rsid w:val="007D516B"/>
    <w:rsid w:val="00820116"/>
    <w:rsid w:val="008266AA"/>
    <w:rsid w:val="00832160"/>
    <w:rsid w:val="00834DA2"/>
    <w:rsid w:val="00852DEF"/>
    <w:rsid w:val="00860CB6"/>
    <w:rsid w:val="00862BAB"/>
    <w:rsid w:val="008C51E9"/>
    <w:rsid w:val="008D72EA"/>
    <w:rsid w:val="008E17BD"/>
    <w:rsid w:val="009140B4"/>
    <w:rsid w:val="00916A7A"/>
    <w:rsid w:val="00924567"/>
    <w:rsid w:val="009352F3"/>
    <w:rsid w:val="00940D75"/>
    <w:rsid w:val="0094281D"/>
    <w:rsid w:val="009433CE"/>
    <w:rsid w:val="00947BD8"/>
    <w:rsid w:val="00964357"/>
    <w:rsid w:val="00972801"/>
    <w:rsid w:val="00993CCF"/>
    <w:rsid w:val="009C41BE"/>
    <w:rsid w:val="009C5C50"/>
    <w:rsid w:val="009D0175"/>
    <w:rsid w:val="009D6EF2"/>
    <w:rsid w:val="009E156F"/>
    <w:rsid w:val="009F55DF"/>
    <w:rsid w:val="009F685D"/>
    <w:rsid w:val="00A42DB3"/>
    <w:rsid w:val="00A4674D"/>
    <w:rsid w:val="00A52A26"/>
    <w:rsid w:val="00A704F2"/>
    <w:rsid w:val="00A71675"/>
    <w:rsid w:val="00A74B0B"/>
    <w:rsid w:val="00A935A1"/>
    <w:rsid w:val="00AA7741"/>
    <w:rsid w:val="00AD74FC"/>
    <w:rsid w:val="00AE137D"/>
    <w:rsid w:val="00AF4A43"/>
    <w:rsid w:val="00AF5B96"/>
    <w:rsid w:val="00B22F60"/>
    <w:rsid w:val="00B2606B"/>
    <w:rsid w:val="00B34985"/>
    <w:rsid w:val="00B63C3F"/>
    <w:rsid w:val="00B66FC3"/>
    <w:rsid w:val="00B6739A"/>
    <w:rsid w:val="00BA0CAB"/>
    <w:rsid w:val="00BB0A54"/>
    <w:rsid w:val="00BB23DB"/>
    <w:rsid w:val="00BB2F78"/>
    <w:rsid w:val="00BC152D"/>
    <w:rsid w:val="00BE5C4B"/>
    <w:rsid w:val="00C20ADE"/>
    <w:rsid w:val="00C45B19"/>
    <w:rsid w:val="00C530B7"/>
    <w:rsid w:val="00C72116"/>
    <w:rsid w:val="00C80322"/>
    <w:rsid w:val="00C94CAE"/>
    <w:rsid w:val="00C95247"/>
    <w:rsid w:val="00CB1169"/>
    <w:rsid w:val="00CD1FF7"/>
    <w:rsid w:val="00CD495D"/>
    <w:rsid w:val="00CE08E4"/>
    <w:rsid w:val="00CF1904"/>
    <w:rsid w:val="00CF4CC3"/>
    <w:rsid w:val="00D4626A"/>
    <w:rsid w:val="00DC5941"/>
    <w:rsid w:val="00DD6C59"/>
    <w:rsid w:val="00DE025D"/>
    <w:rsid w:val="00DE5ABB"/>
    <w:rsid w:val="00E01B57"/>
    <w:rsid w:val="00E525FA"/>
    <w:rsid w:val="00E61B67"/>
    <w:rsid w:val="00E63545"/>
    <w:rsid w:val="00E876D9"/>
    <w:rsid w:val="00E96A13"/>
    <w:rsid w:val="00EA0429"/>
    <w:rsid w:val="00EE09AF"/>
    <w:rsid w:val="00EE2653"/>
    <w:rsid w:val="00F115BA"/>
    <w:rsid w:val="00F11E97"/>
    <w:rsid w:val="00F45B7E"/>
    <w:rsid w:val="00F46CB2"/>
    <w:rsid w:val="00F57B93"/>
    <w:rsid w:val="00F61AC8"/>
    <w:rsid w:val="00F646B0"/>
    <w:rsid w:val="00F6647E"/>
    <w:rsid w:val="00F721D5"/>
    <w:rsid w:val="00F750FC"/>
    <w:rsid w:val="00FC7DF7"/>
    <w:rsid w:val="00FD5165"/>
    <w:rsid w:val="00FD6298"/>
    <w:rsid w:val="079653A4"/>
    <w:rsid w:val="0BF5FED2"/>
    <w:rsid w:val="0D5EC51C"/>
    <w:rsid w:val="1084911B"/>
    <w:rsid w:val="14AC9F8D"/>
    <w:rsid w:val="17E4404F"/>
    <w:rsid w:val="1D0428F2"/>
    <w:rsid w:val="1D4278D1"/>
    <w:rsid w:val="24CAB0DD"/>
    <w:rsid w:val="24E5D189"/>
    <w:rsid w:val="25342050"/>
    <w:rsid w:val="3070EEC0"/>
    <w:rsid w:val="3CD61372"/>
    <w:rsid w:val="40CEBCF6"/>
    <w:rsid w:val="41800952"/>
    <w:rsid w:val="41E0AA0B"/>
    <w:rsid w:val="42597F89"/>
    <w:rsid w:val="47543B0B"/>
    <w:rsid w:val="4C021D1B"/>
    <w:rsid w:val="4E26B21E"/>
    <w:rsid w:val="4ED067DF"/>
    <w:rsid w:val="56424A39"/>
    <w:rsid w:val="59098479"/>
    <w:rsid w:val="5A85D8CC"/>
    <w:rsid w:val="5CDD11E7"/>
    <w:rsid w:val="628F8964"/>
    <w:rsid w:val="6291AFB1"/>
    <w:rsid w:val="642B59C5"/>
    <w:rsid w:val="6579AF34"/>
    <w:rsid w:val="66DD0C8C"/>
    <w:rsid w:val="6D7AFF7F"/>
    <w:rsid w:val="7223155E"/>
    <w:rsid w:val="74622DE1"/>
    <w:rsid w:val="78792E85"/>
    <w:rsid w:val="795D3CC3"/>
    <w:rsid w:val="7E3608DC"/>
    <w:rsid w:val="7EFE98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085FD"/>
  <w15:docId w15:val="{5E9053DB-544F-416B-B4F1-1B84B8D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pPr>
      <w:keepNext/>
      <w:keepLines/>
      <w:tabs>
        <w:tab w:val="right" w:pos="851"/>
      </w:tabs>
      <w:spacing w:before="360" w:after="240" w:line="300" w:lineRule="exact"/>
      <w:ind w:left="1134" w:right="1134" w:hanging="1134"/>
    </w:pPr>
    <w:rPr>
      <w:rFonts w:ascii="Times New Roman" w:eastAsia="MS Mincho" w:hAnsi="Times New Roman"/>
      <w:b/>
      <w:sz w:val="28"/>
      <w:szCs w:val="20"/>
      <w:lang w:val="fr-CH"/>
    </w:rPr>
  </w:style>
  <w:style w:type="character" w:customStyle="1" w:styleId="HChGChar">
    <w:name w:val="_ H _Ch_G Char"/>
    <w:rPr>
      <w:rFonts w:ascii="Times New Roman" w:eastAsia="MS Mincho" w:hAnsi="Times New Roman" w:cs="Times New Roman"/>
      <w:b/>
      <w:sz w:val="28"/>
      <w:szCs w:val="20"/>
      <w:lang w:val="fr-CH"/>
    </w:rPr>
  </w:style>
  <w:style w:type="paragraph" w:customStyle="1" w:styleId="SingleTxtG">
    <w:name w:val="_ Single Txt_G"/>
    <w:basedOn w:val="Normal"/>
    <w:qFormat/>
    <w:pPr>
      <w:spacing w:after="120" w:line="240" w:lineRule="atLeast"/>
      <w:ind w:left="1134" w:right="1134"/>
      <w:jc w:val="both"/>
    </w:pPr>
    <w:rPr>
      <w:rFonts w:ascii="Times New Roman" w:eastAsia="MS Mincho" w:hAnsi="Times New Roman"/>
      <w:sz w:val="20"/>
      <w:szCs w:val="20"/>
      <w:lang w:val="fr-CH"/>
    </w:rPr>
  </w:style>
  <w:style w:type="character" w:customStyle="1" w:styleId="SingleTxtGChar">
    <w:name w:val="_ Single Txt_G Char"/>
    <w:qFormat/>
    <w:rPr>
      <w:rFonts w:ascii="Times New Roman" w:eastAsia="MS Mincho" w:hAnsi="Times New Roman" w:cs="Times New Roman"/>
      <w:sz w:val="20"/>
      <w:szCs w:val="20"/>
      <w:lang w:val="fr-CH"/>
    </w:rPr>
  </w:style>
  <w:style w:type="paragraph" w:styleId="Header">
    <w:name w:val="header"/>
    <w:basedOn w:val="Normal"/>
    <w:link w:val="HeaderChar"/>
    <w:uiPriority w:val="99"/>
    <w:unhideWhenUsed/>
    <w:rsid w:val="00A4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4D"/>
  </w:style>
  <w:style w:type="paragraph" w:styleId="Footer">
    <w:name w:val="footer"/>
    <w:basedOn w:val="Normal"/>
    <w:link w:val="FooterChar"/>
    <w:uiPriority w:val="99"/>
    <w:unhideWhenUsed/>
    <w:rsid w:val="00A4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4D"/>
  </w:style>
  <w:style w:type="paragraph" w:styleId="ListParagraph">
    <w:name w:val="List Paragraph"/>
    <w:basedOn w:val="Normal"/>
    <w:uiPriority w:val="34"/>
    <w:qFormat/>
    <w:rsid w:val="001A1B8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9725">
      <w:bodyDiv w:val="1"/>
      <w:marLeft w:val="0"/>
      <w:marRight w:val="0"/>
      <w:marTop w:val="0"/>
      <w:marBottom w:val="0"/>
      <w:divBdr>
        <w:top w:val="none" w:sz="0" w:space="0" w:color="auto"/>
        <w:left w:val="none" w:sz="0" w:space="0" w:color="auto"/>
        <w:bottom w:val="none" w:sz="0" w:space="0" w:color="auto"/>
        <w:right w:val="none" w:sz="0" w:space="0" w:color="auto"/>
      </w:divBdr>
    </w:div>
    <w:div w:id="829636475">
      <w:bodyDiv w:val="1"/>
      <w:marLeft w:val="0"/>
      <w:marRight w:val="0"/>
      <w:marTop w:val="0"/>
      <w:marBottom w:val="0"/>
      <w:divBdr>
        <w:top w:val="none" w:sz="0" w:space="0" w:color="auto"/>
        <w:left w:val="none" w:sz="0" w:space="0" w:color="auto"/>
        <w:bottom w:val="none" w:sz="0" w:space="0" w:color="auto"/>
        <w:right w:val="none" w:sz="0" w:space="0" w:color="auto"/>
      </w:divBdr>
      <w:divsChild>
        <w:div w:id="978146401">
          <w:marLeft w:val="0"/>
          <w:marRight w:val="0"/>
          <w:marTop w:val="0"/>
          <w:marBottom w:val="0"/>
          <w:divBdr>
            <w:top w:val="none" w:sz="0" w:space="0" w:color="auto"/>
            <w:left w:val="none" w:sz="0" w:space="0" w:color="auto"/>
            <w:bottom w:val="none" w:sz="0" w:space="0" w:color="auto"/>
            <w:right w:val="none" w:sz="0" w:space="0" w:color="auto"/>
          </w:divBdr>
          <w:divsChild>
            <w:div w:id="614337692">
              <w:marLeft w:val="0"/>
              <w:marRight w:val="0"/>
              <w:marTop w:val="0"/>
              <w:marBottom w:val="0"/>
              <w:divBdr>
                <w:top w:val="none" w:sz="0" w:space="0" w:color="auto"/>
                <w:left w:val="none" w:sz="0" w:space="0" w:color="auto"/>
                <w:bottom w:val="none" w:sz="0" w:space="0" w:color="auto"/>
                <w:right w:val="none" w:sz="0" w:space="0" w:color="auto"/>
              </w:divBdr>
              <w:divsChild>
                <w:div w:id="1230389053">
                  <w:marLeft w:val="0"/>
                  <w:marRight w:val="0"/>
                  <w:marTop w:val="0"/>
                  <w:marBottom w:val="0"/>
                  <w:divBdr>
                    <w:top w:val="none" w:sz="0" w:space="0" w:color="auto"/>
                    <w:left w:val="none" w:sz="0" w:space="0" w:color="auto"/>
                    <w:bottom w:val="none" w:sz="0" w:space="0" w:color="auto"/>
                    <w:right w:val="none" w:sz="0" w:space="0" w:color="auto"/>
                  </w:divBdr>
                  <w:divsChild>
                    <w:div w:id="408503579">
                      <w:marLeft w:val="0"/>
                      <w:marRight w:val="0"/>
                      <w:marTop w:val="0"/>
                      <w:marBottom w:val="0"/>
                      <w:divBdr>
                        <w:top w:val="none" w:sz="0" w:space="0" w:color="auto"/>
                        <w:left w:val="none" w:sz="0" w:space="0" w:color="auto"/>
                        <w:bottom w:val="none" w:sz="0" w:space="0" w:color="auto"/>
                        <w:right w:val="none" w:sz="0" w:space="0" w:color="auto"/>
                      </w:divBdr>
                      <w:divsChild>
                        <w:div w:id="1302419906">
                          <w:marLeft w:val="0"/>
                          <w:marRight w:val="0"/>
                          <w:marTop w:val="0"/>
                          <w:marBottom w:val="0"/>
                          <w:divBdr>
                            <w:top w:val="none" w:sz="0" w:space="0" w:color="auto"/>
                            <w:left w:val="none" w:sz="0" w:space="0" w:color="auto"/>
                            <w:bottom w:val="none" w:sz="0" w:space="0" w:color="auto"/>
                            <w:right w:val="none" w:sz="0" w:space="0" w:color="auto"/>
                          </w:divBdr>
                          <w:divsChild>
                            <w:div w:id="580913802">
                              <w:marLeft w:val="0"/>
                              <w:marRight w:val="0"/>
                              <w:marTop w:val="0"/>
                              <w:marBottom w:val="0"/>
                              <w:divBdr>
                                <w:top w:val="none" w:sz="0" w:space="0" w:color="auto"/>
                                <w:left w:val="none" w:sz="0" w:space="0" w:color="auto"/>
                                <w:bottom w:val="none" w:sz="0" w:space="0" w:color="auto"/>
                                <w:right w:val="none" w:sz="0" w:space="0" w:color="auto"/>
                              </w:divBdr>
                              <w:divsChild>
                                <w:div w:id="1703675752">
                                  <w:marLeft w:val="0"/>
                                  <w:marRight w:val="0"/>
                                  <w:marTop w:val="0"/>
                                  <w:marBottom w:val="0"/>
                                  <w:divBdr>
                                    <w:top w:val="none" w:sz="0" w:space="0" w:color="auto"/>
                                    <w:left w:val="none" w:sz="0" w:space="0" w:color="auto"/>
                                    <w:bottom w:val="none" w:sz="0" w:space="0" w:color="auto"/>
                                    <w:right w:val="none" w:sz="0" w:space="0" w:color="auto"/>
                                  </w:divBdr>
                                  <w:divsChild>
                                    <w:div w:id="286090553">
                                      <w:marLeft w:val="0"/>
                                      <w:marRight w:val="0"/>
                                      <w:marTop w:val="0"/>
                                      <w:marBottom w:val="0"/>
                                      <w:divBdr>
                                        <w:top w:val="none" w:sz="0" w:space="0" w:color="auto"/>
                                        <w:left w:val="none" w:sz="0" w:space="0" w:color="auto"/>
                                        <w:bottom w:val="none" w:sz="0" w:space="0" w:color="auto"/>
                                        <w:right w:val="none" w:sz="0" w:space="0" w:color="auto"/>
                                      </w:divBdr>
                                      <w:divsChild>
                                        <w:div w:id="1945065041">
                                          <w:marLeft w:val="0"/>
                                          <w:marRight w:val="0"/>
                                          <w:marTop w:val="0"/>
                                          <w:marBottom w:val="0"/>
                                          <w:divBdr>
                                            <w:top w:val="none" w:sz="0" w:space="0" w:color="auto"/>
                                            <w:left w:val="none" w:sz="0" w:space="0" w:color="auto"/>
                                            <w:bottom w:val="none" w:sz="0" w:space="0" w:color="auto"/>
                                            <w:right w:val="none" w:sz="0" w:space="0" w:color="auto"/>
                                          </w:divBdr>
                                          <w:divsChild>
                                            <w:div w:id="120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29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ACEE0-21E9-4B27-BE9D-9CA9914D37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B36E1F-5316-4575-B29F-287CC25586F0}">
  <ds:schemaRefs>
    <ds:schemaRef ds:uri="http://schemas.microsoft.com/sharepoint/v3/contenttype/forms"/>
  </ds:schemaRefs>
</ds:datastoreItem>
</file>

<file path=customXml/itemProps3.xml><?xml version="1.0" encoding="utf-8"?>
<ds:datastoreItem xmlns:ds="http://schemas.openxmlformats.org/officeDocument/2006/customXml" ds:itemID="{CA188085-CB1E-4FC8-8B99-7CB8CFCFF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5899</Characters>
  <Application>Microsoft Office Word</Application>
  <DocSecurity>0</DocSecurity>
  <Lines>125</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secretariat</cp:lastModifiedBy>
  <cp:revision>3</cp:revision>
  <dcterms:created xsi:type="dcterms:W3CDTF">2022-02-07T16:07:00Z</dcterms:created>
  <dcterms:modified xsi:type="dcterms:W3CDTF">2022-02-08T11:37:00Z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294a1c8-9899-41e7-8f6e-8b1b3c79592a_Enabled">
    <vt:lpwstr>true</vt:lpwstr>
  </property>
  <property fmtid="{D5CDD505-2E9C-101B-9397-08002B2CF9AE}" pid="4" name="MSIP_Label_7294a1c8-9899-41e7-8f6e-8b1b3c79592a_SetDate">
    <vt:lpwstr>2022-02-07T15:56:10Z</vt:lpwstr>
  </property>
  <property fmtid="{D5CDD505-2E9C-101B-9397-08002B2CF9AE}" pid="5" name="MSIP_Label_7294a1c8-9899-41e7-8f6e-8b1b3c79592a_Method">
    <vt:lpwstr>Privileged</vt:lpwstr>
  </property>
  <property fmtid="{D5CDD505-2E9C-101B-9397-08002B2CF9AE}" pid="6" name="MSIP_Label_7294a1c8-9899-41e7-8f6e-8b1b3c79592a_Name">
    <vt:lpwstr>Internal sub2 (no marking)</vt:lpwstr>
  </property>
  <property fmtid="{D5CDD505-2E9C-101B-9397-08002B2CF9AE}" pid="7" name="MSIP_Label_7294a1c8-9899-41e7-8f6e-8b1b3c79592a_SiteId">
    <vt:lpwstr>eb70b763-b6d7-4486-8555-8831709a784e</vt:lpwstr>
  </property>
  <property fmtid="{D5CDD505-2E9C-101B-9397-08002B2CF9AE}" pid="8" name="MSIP_Label_7294a1c8-9899-41e7-8f6e-8b1b3c79592a_ActionId">
    <vt:lpwstr>b4b43f13-1a4a-4e8b-9d33-425f43168285</vt:lpwstr>
  </property>
  <property fmtid="{D5CDD505-2E9C-101B-9397-08002B2CF9AE}" pid="9" name="MSIP_Label_7294a1c8-9899-41e7-8f6e-8b1b3c79592a_ContentBits">
    <vt:lpwstr>0</vt:lpwstr>
  </property>
</Properties>
</file>