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67B461" w14:textId="77777777" w:rsidTr="0054268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4A54BA" w14:textId="77777777" w:rsidR="002D5AAC" w:rsidRDefault="002D5AAC" w:rsidP="00456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A13B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6D3A70" w14:textId="2BD620BF" w:rsidR="002D5AAC" w:rsidRPr="00825DCE" w:rsidRDefault="00825DCE" w:rsidP="00825DCE">
            <w:pPr>
              <w:jc w:val="right"/>
              <w:rPr>
                <w:lang w:val="fr-CH"/>
              </w:rPr>
            </w:pPr>
            <w:r w:rsidRPr="00825DCE">
              <w:rPr>
                <w:sz w:val="40"/>
              </w:rPr>
              <w:t>ECE</w:t>
            </w:r>
            <w:r>
              <w:t>/TRANS/WP.29/2022/55</w:t>
            </w:r>
          </w:p>
        </w:tc>
      </w:tr>
      <w:tr w:rsidR="002D5AAC" w:rsidRPr="00AD1BEC" w14:paraId="04BF532E" w14:textId="77777777" w:rsidTr="0054268B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7FB0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884BA3" wp14:editId="31CA69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B522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EA1809" w14:textId="77777777" w:rsidR="002D5AAC" w:rsidRDefault="004561BE" w:rsidP="000345C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64E7FE" w14:textId="14690449" w:rsidR="004561BE" w:rsidRDefault="006F40C8" w:rsidP="000345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561BE">
              <w:rPr>
                <w:lang w:val="en-US"/>
              </w:rPr>
              <w:t xml:space="preserve"> </w:t>
            </w:r>
            <w:r w:rsidR="00D50D55">
              <w:rPr>
                <w:lang w:val="en-US"/>
              </w:rPr>
              <w:t>February</w:t>
            </w:r>
            <w:r w:rsidR="004561BE">
              <w:rPr>
                <w:lang w:val="en-US"/>
              </w:rPr>
              <w:t xml:space="preserve"> 202</w:t>
            </w:r>
            <w:r w:rsidR="00D50D55">
              <w:rPr>
                <w:lang w:val="en-US"/>
              </w:rPr>
              <w:t>2</w:t>
            </w:r>
          </w:p>
          <w:p w14:paraId="4B1A0B2F" w14:textId="77777777" w:rsidR="004561BE" w:rsidRDefault="004561BE" w:rsidP="000345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E999D6" w14:textId="449D73EE" w:rsidR="004561BE" w:rsidRPr="000345CB" w:rsidRDefault="004561BE" w:rsidP="000345CB">
            <w:pPr>
              <w:spacing w:line="240" w:lineRule="exact"/>
              <w:ind w:right="-286"/>
              <w:rPr>
                <w:spacing w:val="-2"/>
                <w:lang w:val="en-US"/>
              </w:rPr>
            </w:pPr>
            <w:r w:rsidRPr="000345CB">
              <w:rPr>
                <w:spacing w:val="-2"/>
                <w:lang w:val="en-US"/>
              </w:rPr>
              <w:t>Original: English</w:t>
            </w:r>
            <w:r w:rsidR="000000CD" w:rsidRPr="000345CB">
              <w:rPr>
                <w:spacing w:val="-2"/>
                <w:lang w:val="en-US"/>
              </w:rPr>
              <w:t>, French, Russian</w:t>
            </w:r>
          </w:p>
        </w:tc>
      </w:tr>
    </w:tbl>
    <w:p w14:paraId="4F861EAC" w14:textId="77777777" w:rsidR="00D50D55" w:rsidRDefault="00D50D55" w:rsidP="00D50D55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538592" w14:textId="77777777" w:rsidR="00D50D55" w:rsidRPr="00EA0F43" w:rsidRDefault="00D50D55" w:rsidP="00D50D55">
      <w:pPr>
        <w:spacing w:before="120"/>
        <w:rPr>
          <w:sz w:val="28"/>
          <w:szCs w:val="28"/>
        </w:rPr>
      </w:pPr>
      <w:r w:rsidRPr="00EA0F43">
        <w:rPr>
          <w:sz w:val="28"/>
          <w:szCs w:val="28"/>
        </w:rPr>
        <w:t>Комитет по внутреннему транспорту</w:t>
      </w:r>
    </w:p>
    <w:p w14:paraId="0A38311F" w14:textId="77777777" w:rsidR="00D50D55" w:rsidRPr="00EA0F43" w:rsidRDefault="00D50D55" w:rsidP="00D50D55">
      <w:pPr>
        <w:spacing w:before="120"/>
        <w:rPr>
          <w:b/>
          <w:sz w:val="24"/>
          <w:szCs w:val="28"/>
        </w:rPr>
      </w:pPr>
      <w:r w:rsidRPr="00EA0F43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A0F43">
        <w:rPr>
          <w:b/>
          <w:bCs/>
          <w:sz w:val="24"/>
          <w:szCs w:val="28"/>
        </w:rPr>
        <w:t>в области транспортных средств</w:t>
      </w:r>
    </w:p>
    <w:p w14:paraId="28C12823" w14:textId="77777777" w:rsidR="00D50D55" w:rsidRPr="00055FCA" w:rsidRDefault="00D50D55" w:rsidP="00D50D55">
      <w:pPr>
        <w:spacing w:before="120"/>
        <w:rPr>
          <w:b/>
        </w:rPr>
      </w:pPr>
      <w:r w:rsidRPr="00EA0F43">
        <w:rPr>
          <w:b/>
          <w:bCs/>
        </w:rPr>
        <w:t>186-я сессия</w:t>
      </w:r>
    </w:p>
    <w:p w14:paraId="152D9132" w14:textId="77777777" w:rsidR="00D50D55" w:rsidRPr="00EA0F43" w:rsidRDefault="00D50D55" w:rsidP="00D50D55">
      <w:r w:rsidRPr="00EA0F43">
        <w:t>Женева, 8</w:t>
      </w:r>
      <w:r>
        <w:rPr>
          <w:rFonts w:cs="Times New Roman"/>
        </w:rPr>
        <w:t>‒</w:t>
      </w:r>
      <w:r w:rsidRPr="00EA0F43">
        <w:t>11 марта 2022 года</w:t>
      </w:r>
    </w:p>
    <w:p w14:paraId="1027F3C6" w14:textId="6AFFAD09" w:rsidR="00D50D55" w:rsidRPr="00EA0F43" w:rsidRDefault="00D50D55" w:rsidP="00D50D55">
      <w:r w:rsidRPr="00EA0F43">
        <w:t>Пункт 4.</w:t>
      </w:r>
      <w:r w:rsidR="004B275C" w:rsidRPr="00AD1BEC">
        <w:t>17</w:t>
      </w:r>
      <w:r w:rsidRPr="00EA0F43">
        <w:t xml:space="preserve"> предварительной повестки дня</w:t>
      </w:r>
    </w:p>
    <w:p w14:paraId="67BFA6C7" w14:textId="77777777" w:rsidR="00D50D55" w:rsidRPr="00EA0F43" w:rsidRDefault="00D50D55" w:rsidP="00D50D55">
      <w:pPr>
        <w:rPr>
          <w:b/>
          <w:bCs/>
        </w:rPr>
      </w:pPr>
      <w:r w:rsidRPr="00EA0F43">
        <w:rPr>
          <w:b/>
          <w:bCs/>
        </w:rPr>
        <w:t xml:space="preserve">Соглашение 1958 года: </w:t>
      </w:r>
    </w:p>
    <w:p w14:paraId="3E6E14CF" w14:textId="77777777" w:rsidR="00D50D55" w:rsidRPr="00EA0F43" w:rsidRDefault="00D50D55" w:rsidP="00D50D55">
      <w:pPr>
        <w:rPr>
          <w:b/>
        </w:rPr>
      </w:pPr>
      <w:r w:rsidRPr="00EA0F43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EA0F43">
        <w:rPr>
          <w:b/>
          <w:bCs/>
        </w:rPr>
        <w:t>Правилам ООН, представленных GRVA</w:t>
      </w:r>
    </w:p>
    <w:p w14:paraId="20210DFC" w14:textId="0519839E" w:rsidR="00D50D55" w:rsidRPr="007A67C2" w:rsidRDefault="00D50D55" w:rsidP="00D50D55">
      <w:pPr>
        <w:pStyle w:val="HChG"/>
      </w:pPr>
      <w:r w:rsidRPr="00EA0F43">
        <w:tab/>
      </w:r>
      <w:r w:rsidRPr="00EA0F43">
        <w:tab/>
      </w:r>
      <w:r w:rsidR="007A67C2" w:rsidRPr="007A67C2">
        <w:t xml:space="preserve">Предложение по поправке к документу </w:t>
      </w:r>
      <w:r w:rsidR="007A67C2" w:rsidRPr="007A67C2">
        <w:rPr>
          <w:lang w:val="fr-CH"/>
        </w:rPr>
        <w:t>ECE</w:t>
      </w:r>
      <w:r w:rsidR="007A67C2" w:rsidRPr="007A67C2">
        <w:t>/</w:t>
      </w:r>
      <w:r w:rsidR="007A67C2" w:rsidRPr="007A67C2">
        <w:rPr>
          <w:lang w:val="fr-CH"/>
        </w:rPr>
        <w:t>TRANS</w:t>
      </w:r>
      <w:r w:rsidR="007A67C2" w:rsidRPr="007A67C2">
        <w:t>/</w:t>
      </w:r>
      <w:r w:rsidR="007A67C2" w:rsidRPr="007A67C2">
        <w:rPr>
          <w:lang w:val="fr-CH"/>
        </w:rPr>
        <w:t>WP</w:t>
      </w:r>
      <w:r w:rsidR="007A67C2" w:rsidRPr="007A67C2">
        <w:t>.29/2022/59</w:t>
      </w:r>
    </w:p>
    <w:p w14:paraId="6355AA50" w14:textId="3C945EB1" w:rsidR="004561BE" w:rsidRPr="00B16C5A" w:rsidRDefault="00D50D55" w:rsidP="00D50D55">
      <w:pPr>
        <w:pStyle w:val="H1G"/>
        <w:rPr>
          <w:szCs w:val="24"/>
        </w:rPr>
      </w:pPr>
      <w:r w:rsidRPr="00EA0F43">
        <w:tab/>
      </w:r>
      <w:r w:rsidRPr="00EA0F43">
        <w:tab/>
        <w:t>Представлено Рабочей группой по</w:t>
      </w:r>
      <w:r>
        <w:rPr>
          <w:lang w:val="en-US"/>
        </w:rPr>
        <w:t> </w:t>
      </w:r>
      <w:r w:rsidRPr="00EA0F43">
        <w:t>автоматизированным/</w:t>
      </w:r>
      <w:r>
        <w:br/>
      </w:r>
      <w:r w:rsidRPr="00EA0F43">
        <w:t>автономным и подключенным транспортным средствам</w:t>
      </w:r>
      <w:r w:rsidRPr="00EA0F43">
        <w:rPr>
          <w:b w:val="0"/>
          <w:bCs/>
          <w:sz w:val="20"/>
          <w:szCs w:val="16"/>
        </w:rPr>
        <w:t xml:space="preserve"> </w:t>
      </w:r>
      <w:r w:rsidRPr="00EA0F43">
        <w:rPr>
          <w:b w:val="0"/>
          <w:bCs/>
          <w:sz w:val="20"/>
          <w:szCs w:val="16"/>
        </w:rPr>
        <w:footnoteReference w:customMarkFollows="1" w:id="1"/>
        <w:t>*</w:t>
      </w:r>
    </w:p>
    <w:p w14:paraId="6873A304" w14:textId="6650A150" w:rsidR="004561BE" w:rsidRPr="00B16C5A" w:rsidRDefault="004561BE" w:rsidP="004561BE">
      <w:pPr>
        <w:pStyle w:val="SingleTxtG"/>
        <w:rPr>
          <w:shd w:val="clear" w:color="auto" w:fill="FFFFFF"/>
        </w:rPr>
      </w:pPr>
      <w:r w:rsidRPr="00B16C5A">
        <w:tab/>
      </w:r>
      <w:r w:rsidR="00D50D55" w:rsidRPr="00EA0F43">
        <w:t xml:space="preserve">Воспроизведенный ниже текст был принят Рабочей группой по автоматизированным/автономным и подключенным транспортным средствам </w:t>
      </w:r>
      <w:r w:rsidR="00D4527D" w:rsidRPr="00AD1BEC">
        <w:t>(</w:t>
      </w:r>
      <w:r w:rsidR="00D4527D">
        <w:rPr>
          <w:lang w:val="en-US"/>
        </w:rPr>
        <w:t>GRVA</w:t>
      </w:r>
      <w:r w:rsidR="00D4527D" w:rsidRPr="00AD1BEC">
        <w:t xml:space="preserve">) </w:t>
      </w:r>
      <w:r w:rsidR="00D50D55" w:rsidRPr="00EA0F43">
        <w:t xml:space="preserve">на ее одиннадцатой сессии (см. ECE/TRANS/WP.29/GRVA/11, пункт </w:t>
      </w:r>
      <w:r w:rsidR="00D50D55" w:rsidRPr="00D50D55">
        <w:t>45</w:t>
      </w:r>
      <w:r w:rsidR="00D50D55" w:rsidRPr="00EA0F43">
        <w:t>). В его основу положен документ ECE/TRANS/WP</w:t>
      </w:r>
      <w:r w:rsidR="00D50D55" w:rsidRPr="00876C50">
        <w:t>.</w:t>
      </w:r>
      <w:r w:rsidR="00D50D55" w:rsidRPr="00EA0F43">
        <w:t>29/GRVA/2021/</w:t>
      </w:r>
      <w:r w:rsidR="00D50D55" w:rsidRPr="00D50D55">
        <w:t>21</w:t>
      </w:r>
      <w:r w:rsidR="00D50D55" w:rsidRPr="00EA0F43"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 w:rsidR="00D50D55">
        <w:rPr>
          <w:lang w:val="en-US"/>
        </w:rPr>
        <w:t> </w:t>
      </w:r>
      <w:r w:rsidR="00D50D55" w:rsidRPr="00EA0F43">
        <w:t>года</w:t>
      </w:r>
      <w:r w:rsidRPr="00B16C5A">
        <w:rPr>
          <w:shd w:val="clear" w:color="auto" w:fill="FFFFFF"/>
        </w:rPr>
        <w:t>.</w:t>
      </w:r>
    </w:p>
    <w:p w14:paraId="3741CD22" w14:textId="77777777" w:rsidR="004561BE" w:rsidRPr="004561BE" w:rsidRDefault="004561BE" w:rsidP="004561BE">
      <w:pPr>
        <w:suppressAutoHyphens w:val="0"/>
        <w:spacing w:line="240" w:lineRule="auto"/>
      </w:pPr>
      <w:r w:rsidRPr="004561BE">
        <w:br w:type="page"/>
      </w:r>
    </w:p>
    <w:p w14:paraId="673BB620" w14:textId="77777777" w:rsidR="003B1F27" w:rsidRPr="00B16C5A" w:rsidRDefault="003B1F27" w:rsidP="003B1F27">
      <w:pPr>
        <w:pStyle w:val="para"/>
        <w:spacing w:line="240" w:lineRule="auto"/>
        <w:rPr>
          <w:lang w:val="ru-RU"/>
        </w:rPr>
      </w:pPr>
      <w:r w:rsidRPr="00B16C5A">
        <w:rPr>
          <w:i/>
          <w:lang w:val="ru-RU"/>
        </w:rPr>
        <w:lastRenderedPageBreak/>
        <w:t xml:space="preserve">Часть </w:t>
      </w:r>
      <w:r w:rsidRPr="00B16C5A">
        <w:rPr>
          <w:i/>
          <w:lang w:val="en-US"/>
        </w:rPr>
        <w:t>A</w:t>
      </w:r>
      <w:r w:rsidRPr="00B16C5A">
        <w:rPr>
          <w:i/>
          <w:lang w:val="ru-RU"/>
        </w:rPr>
        <w:t xml:space="preserve">, 3, пункт </w:t>
      </w:r>
      <w:r w:rsidRPr="00B16C5A">
        <w:rPr>
          <w:i/>
          <w:lang w:val="en-US"/>
        </w:rPr>
        <w:t>Y</w:t>
      </w:r>
      <w:r w:rsidRPr="00B16C5A">
        <w:rPr>
          <w:i/>
          <w:lang w:val="ru-RU"/>
        </w:rPr>
        <w:t>. Пункты 7.3</w:t>
      </w:r>
      <w:r w:rsidRPr="00A60CFC">
        <w:rPr>
          <w:i/>
          <w:lang w:val="ru-RU"/>
        </w:rPr>
        <w:t>–</w:t>
      </w:r>
      <w:r w:rsidRPr="00B16C5A">
        <w:rPr>
          <w:i/>
          <w:lang w:val="ru-RU"/>
        </w:rPr>
        <w:t>7.3.1</w:t>
      </w:r>
      <w:r w:rsidRPr="00B16C5A">
        <w:rPr>
          <w:i/>
        </w:rPr>
        <w:t xml:space="preserve"> </w:t>
      </w:r>
      <w:r w:rsidRPr="00B16C5A">
        <w:rPr>
          <w:lang w:val="ru-RU"/>
        </w:rPr>
        <w:t>изменить следующим образом:</w:t>
      </w:r>
    </w:p>
    <w:p w14:paraId="78C6C70F" w14:textId="77777777" w:rsidR="003B1F27" w:rsidRPr="00B16C5A" w:rsidRDefault="003B1F27" w:rsidP="003B1F27">
      <w:pPr>
        <w:pStyle w:val="SingleTxtG"/>
        <w:tabs>
          <w:tab w:val="clear" w:pos="1701"/>
        </w:tabs>
        <w:ind w:left="2268" w:hanging="1134"/>
      </w:pPr>
      <w:r w:rsidRPr="00B16C5A">
        <w:t>«7.3.1</w:t>
      </w:r>
      <w:r w:rsidRPr="00B16C5A">
        <w:tab/>
        <w:t>Изготовитель должен иметь действующее свидетельство о соответствии системы обеспечения кибербезопасности, относящееся к официально утверждаемому типу транспортного средства.</w:t>
      </w:r>
    </w:p>
    <w:p w14:paraId="7CCF77B1" w14:textId="77777777" w:rsidR="003B1F27" w:rsidRPr="00B16C5A" w:rsidRDefault="003B1F27" w:rsidP="003B1F27">
      <w:pPr>
        <w:pStyle w:val="SingleTxtG"/>
        <w:ind w:left="2268"/>
      </w:pPr>
      <w:r w:rsidRPr="00B16C5A">
        <w:t xml:space="preserve">Однако в случае </w:t>
      </w:r>
      <w:r w:rsidRPr="003B1F27">
        <w:t>официальных утверждений типа, впервые предоставленных до 1 июля 2024 года, и каждого распространения таких официальных утверждений, если</w:t>
      </w:r>
      <w:r w:rsidRPr="00B16C5A">
        <w:t xml:space="preserve"> изготовитель транспортного средства может продемонстрировать, что данный тип транспортного средства не мог быть разработан в соответствии с </w:t>
      </w:r>
      <w:proofErr w:type="spellStart"/>
      <w:r w:rsidRPr="00B16C5A">
        <w:t>СОКиБ</w:t>
      </w:r>
      <w:proofErr w:type="spellEnd"/>
      <w:r w:rsidRPr="00B16C5A">
        <w:t>, изготовитель транспортного средства должен продемонстрировать, что на этапе разработки соответствующего типа транспортного средства фактор кибербезопасности был учтен должным образом».</w:t>
      </w:r>
    </w:p>
    <w:p w14:paraId="3E2FBB36" w14:textId="77777777" w:rsidR="003B1F27" w:rsidRPr="00B16C5A" w:rsidRDefault="003B1F27" w:rsidP="003B1F27">
      <w:pPr>
        <w:pStyle w:val="SingleTxtG"/>
        <w:ind w:left="1701" w:firstLine="567"/>
        <w:rPr>
          <w:i/>
        </w:rPr>
      </w:pPr>
      <w:r w:rsidRPr="00B16C5A">
        <w:rPr>
          <w:i/>
          <w:iCs/>
        </w:rPr>
        <w:t>Разъяснение требования</w:t>
      </w:r>
    </w:p>
    <w:p w14:paraId="482DCE79" w14:textId="77777777" w:rsidR="003B1F27" w:rsidRPr="00B16C5A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i/>
          <w:lang w:val="ru-RU"/>
        </w:rPr>
      </w:pPr>
      <w:r w:rsidRPr="00B16C5A">
        <w:rPr>
          <w:lang w:val="ru-RU"/>
        </w:rPr>
        <w:t xml:space="preserve">Цель этого требования </w:t>
      </w:r>
      <w:r w:rsidRPr="00A60CFC">
        <w:rPr>
          <w:lang w:val="ru-RU"/>
        </w:rPr>
        <w:t>—</w:t>
      </w:r>
      <w:r w:rsidRPr="00B16C5A">
        <w:rPr>
          <w:lang w:val="ru-RU"/>
        </w:rPr>
        <w:t xml:space="preserve"> обеспечить наличие действительного свидетельства о соответствии </w:t>
      </w:r>
      <w:proofErr w:type="spellStart"/>
      <w:r w:rsidRPr="00B16C5A">
        <w:rPr>
          <w:lang w:val="ru-RU"/>
        </w:rPr>
        <w:t>СОКиБ</w:t>
      </w:r>
      <w:proofErr w:type="spellEnd"/>
      <w:r w:rsidRPr="00B16C5A">
        <w:rPr>
          <w:lang w:val="ru-RU"/>
        </w:rPr>
        <w:t>, позволяющего предоставлять официальное утверждение типа любого нового типа транспортного средства, и его соответствие данному типу транспортного средства.</w:t>
      </w:r>
    </w:p>
    <w:p w14:paraId="2056D937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3B1F27">
        <w:rPr>
          <w:lang w:val="ru-RU"/>
        </w:rPr>
        <w:t xml:space="preserve">Если говорить о существующих архитектурах, разработанных еще до сертификации </w:t>
      </w:r>
      <w:proofErr w:type="spellStart"/>
      <w:r w:rsidRPr="003B1F27">
        <w:rPr>
          <w:lang w:val="ru-RU"/>
        </w:rPr>
        <w:t>СОКиБ</w:t>
      </w:r>
      <w:proofErr w:type="spellEnd"/>
      <w:r w:rsidRPr="003B1F27">
        <w:rPr>
          <w:lang w:val="ru-RU"/>
        </w:rPr>
        <w:t xml:space="preserve">, то в их случае, вероятно, не имелось возможности разработать архитектуру в полном соответствии с </w:t>
      </w:r>
      <w:proofErr w:type="spellStart"/>
      <w:r w:rsidRPr="003B1F27">
        <w:rPr>
          <w:lang w:val="ru-RU"/>
        </w:rPr>
        <w:t>СОКиБ</w:t>
      </w:r>
      <w:proofErr w:type="spellEnd"/>
      <w:r w:rsidRPr="003B1F27">
        <w:rPr>
          <w:lang w:val="ru-RU"/>
        </w:rPr>
        <w:t>.</w:t>
      </w:r>
    </w:p>
    <w:p w14:paraId="3ED7E3FA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3B1F27">
        <w:rPr>
          <w:lang w:val="ru-RU"/>
        </w:rPr>
        <w:t xml:space="preserve">Поэтому применительно к официальным утверждениям типа, предоставленным до 1 июля 2024 года, используется положение об «учете должным образом» фактора кибербезопасности, но только на этапе разработки. На этапах же производства и после производства означенных типов должно обеспечиваться полное соответствие сертифицированной системе </w:t>
      </w:r>
      <w:proofErr w:type="spellStart"/>
      <w:r w:rsidRPr="003B1F27">
        <w:rPr>
          <w:lang w:val="ru-RU"/>
        </w:rPr>
        <w:t>СОКиБ</w:t>
      </w:r>
      <w:proofErr w:type="spellEnd"/>
      <w:r w:rsidRPr="003B1F27">
        <w:rPr>
          <w:lang w:val="ru-RU"/>
        </w:rPr>
        <w:t>.</w:t>
      </w:r>
    </w:p>
    <w:p w14:paraId="7B51D538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3B1F27">
        <w:rPr>
          <w:lang w:val="ru-RU"/>
        </w:rPr>
        <w:t xml:space="preserve">Дальнейшие технические модификации/обновления, влекущие за собой распространение существующих официальных утверждений типа после 1 июля 2024 года, должны производиться, насколько это возможно, с соблюдением процессов, установленных </w:t>
      </w:r>
      <w:proofErr w:type="spellStart"/>
      <w:r w:rsidRPr="003B1F27">
        <w:rPr>
          <w:lang w:val="ru-RU"/>
        </w:rPr>
        <w:t>СОКиБ</w:t>
      </w:r>
      <w:proofErr w:type="spellEnd"/>
      <w:r w:rsidRPr="003B1F27">
        <w:rPr>
          <w:lang w:val="ru-RU"/>
        </w:rPr>
        <w:t xml:space="preserve"> для этапа разработки. В случае отклонения от процессов, установленных </w:t>
      </w:r>
      <w:proofErr w:type="spellStart"/>
      <w:r w:rsidRPr="003B1F27">
        <w:rPr>
          <w:lang w:val="ru-RU"/>
        </w:rPr>
        <w:t>СОКиБ</w:t>
      </w:r>
      <w:proofErr w:type="spellEnd"/>
      <w:r w:rsidRPr="003B1F27">
        <w:rPr>
          <w:lang w:val="ru-RU"/>
        </w:rPr>
        <w:t>, технической службе или органу по официальному утверждению должны быть представлены надлежащие разъяснение и обоснование, причем ответственность за такое отклонение принимает на себя — на соответствующем уровне управления — изготовитель транспортного средства.</w:t>
      </w:r>
    </w:p>
    <w:p w14:paraId="0D6DB8A9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3B1F27">
        <w:rPr>
          <w:lang w:val="ru-RU"/>
        </w:rPr>
        <w:t>Применительно к модификациям или обновлениям техническая служба/орган по официальному утверждению может подтвердить, что распространения могут быть предоставлены после 1 июля 2024</w:t>
      </w:r>
      <w:r w:rsidRPr="003B1F27">
        <w:rPr>
          <w:lang w:val="en-US"/>
        </w:rPr>
        <w:t> </w:t>
      </w:r>
      <w:r w:rsidRPr="003B1F27">
        <w:rPr>
          <w:lang w:val="ru-RU"/>
        </w:rPr>
        <w:t>года на основе метода и исходя из критериев, опубликованных ЕЭК ООН, в соответствии с пунктом 5 Правил № 155 ООН.</w:t>
      </w:r>
    </w:p>
    <w:p w14:paraId="4551F3DA" w14:textId="77777777" w:rsidR="003B1F27" w:rsidRPr="003B1F27" w:rsidRDefault="003B1F27" w:rsidP="003B1F27">
      <w:pPr>
        <w:pStyle w:val="SingleTxtG"/>
        <w:ind w:left="1701" w:firstLine="567"/>
        <w:rPr>
          <w:i/>
        </w:rPr>
      </w:pPr>
      <w:r w:rsidRPr="003B1F27">
        <w:rPr>
          <w:i/>
          <w:iCs/>
        </w:rPr>
        <w:t>В этой связи необходимо принять к сведению следующее уточнение:</w:t>
      </w:r>
    </w:p>
    <w:p w14:paraId="7404BE78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i/>
          <w:lang w:val="ru-RU"/>
        </w:rPr>
      </w:pPr>
      <w:r w:rsidRPr="003B1F27">
        <w:rPr>
          <w:lang w:val="ru-RU"/>
        </w:rPr>
        <w:tab/>
      </w:r>
      <w:r w:rsidRPr="003B1F27">
        <w:t>a</w:t>
      </w:r>
      <w:r w:rsidRPr="003B1F27">
        <w:rPr>
          <w:lang w:val="ru-RU"/>
        </w:rPr>
        <w:t>)</w:t>
      </w:r>
      <w:r w:rsidRPr="003B1F27">
        <w:rPr>
          <w:lang w:val="ru-RU"/>
        </w:rPr>
        <w:tab/>
        <w:t xml:space="preserve">«относящееся к официально утверждаемому типу транспортного средства» означает, что </w:t>
      </w:r>
      <w:proofErr w:type="spellStart"/>
      <w:r w:rsidRPr="003B1F27">
        <w:rPr>
          <w:lang w:val="ru-RU"/>
        </w:rPr>
        <w:t>СОКиБ</w:t>
      </w:r>
      <w:proofErr w:type="spellEnd"/>
      <w:r w:rsidRPr="003B1F27">
        <w:rPr>
          <w:lang w:val="ru-RU"/>
        </w:rPr>
        <w:t xml:space="preserve"> должна применяться к официально утверждаемому типу транспортного средства.</w:t>
      </w:r>
    </w:p>
    <w:p w14:paraId="750BFE59" w14:textId="77777777" w:rsidR="003B1F27" w:rsidRPr="003B1F27" w:rsidRDefault="003B1F27" w:rsidP="003B1F27">
      <w:pPr>
        <w:pStyle w:val="SingleTxtG"/>
        <w:ind w:left="2268"/>
        <w:rPr>
          <w:i/>
        </w:rPr>
      </w:pPr>
      <w:r w:rsidRPr="003B1F27">
        <w:rPr>
          <w:i/>
          <w:iCs/>
        </w:rPr>
        <w:t>Примеры документов/доказательственных данных, которые могут быть предоставлены</w:t>
      </w:r>
    </w:p>
    <w:p w14:paraId="682986CE" w14:textId="77777777" w:rsidR="003B1F27" w:rsidRPr="003B1F27" w:rsidRDefault="003B1F27" w:rsidP="003B1F27">
      <w:pPr>
        <w:pStyle w:val="SingleTxtG"/>
        <w:ind w:left="2268"/>
      </w:pPr>
      <w:r w:rsidRPr="003B1F27">
        <w:t xml:space="preserve">Для доказательства действительности свидетельства </w:t>
      </w:r>
      <w:proofErr w:type="spellStart"/>
      <w:r w:rsidRPr="003B1F27">
        <w:t>СОКиБ</w:t>
      </w:r>
      <w:proofErr w:type="spellEnd"/>
      <w:r w:rsidRPr="003B1F27">
        <w:t xml:space="preserve"> можно использовать следующие документы:</w:t>
      </w:r>
    </w:p>
    <w:p w14:paraId="1C256B06" w14:textId="77777777" w:rsidR="003B1F27" w:rsidRPr="003B1F27" w:rsidRDefault="003B1F27" w:rsidP="003B1F27">
      <w:pPr>
        <w:adjustRightInd w:val="0"/>
        <w:snapToGrid w:val="0"/>
        <w:spacing w:after="120" w:line="240" w:lineRule="auto"/>
        <w:ind w:left="2268" w:right="1134"/>
        <w:jc w:val="both"/>
      </w:pPr>
      <w:r w:rsidRPr="003B1F27">
        <w:tab/>
        <w:t>b)</w:t>
      </w:r>
      <w:r w:rsidRPr="003B1F27">
        <w:tab/>
        <w:t xml:space="preserve">свидетельство о соответствии </w:t>
      </w:r>
      <w:proofErr w:type="spellStart"/>
      <w:r w:rsidRPr="003B1F27">
        <w:t>СОКиБ</w:t>
      </w:r>
      <w:proofErr w:type="spellEnd"/>
      <w:r w:rsidRPr="003B1F27">
        <w:t xml:space="preserve"> с целью подтвердить, что оно все еще действительно;</w:t>
      </w:r>
    </w:p>
    <w:p w14:paraId="62878504" w14:textId="77777777" w:rsidR="003B1F27" w:rsidRPr="003B1F27" w:rsidRDefault="003B1F27" w:rsidP="003B1F27">
      <w:pPr>
        <w:adjustRightInd w:val="0"/>
        <w:snapToGrid w:val="0"/>
        <w:spacing w:after="120" w:line="240" w:lineRule="auto"/>
        <w:ind w:left="2268" w:right="1134"/>
        <w:jc w:val="both"/>
        <w:rPr>
          <w:i/>
        </w:rPr>
      </w:pPr>
      <w:r w:rsidRPr="003B1F27">
        <w:tab/>
        <w:t>с)</w:t>
      </w:r>
      <w:r w:rsidRPr="003B1F27">
        <w:tab/>
        <w:t xml:space="preserve">подтверждение того факта, что </w:t>
      </w:r>
      <w:proofErr w:type="spellStart"/>
      <w:r w:rsidRPr="003B1F27">
        <w:t>СОКиБ</w:t>
      </w:r>
      <w:proofErr w:type="spellEnd"/>
      <w:r w:rsidRPr="003B1F27">
        <w:t xml:space="preserve"> надлежащим образом применяется к данному типу транспортного средства и любой информации, необходимой для обеспечения гарантии</w:t>
      </w:r>
      <w:r w:rsidRPr="003B1F27">
        <w:rPr>
          <w:strike/>
        </w:rPr>
        <w:t>.</w:t>
      </w:r>
      <w:r w:rsidRPr="003B1F27">
        <w:t>;</w:t>
      </w:r>
    </w:p>
    <w:p w14:paraId="0406E15E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3B1F27">
        <w:rPr>
          <w:lang w:val="ru-RU"/>
        </w:rPr>
        <w:lastRenderedPageBreak/>
        <w:t>d)</w:t>
      </w:r>
      <w:r w:rsidRPr="003B1F27">
        <w:rPr>
          <w:lang w:val="ru-RU"/>
        </w:rPr>
        <w:tab/>
        <w:t xml:space="preserve">применительно к любому обновлению официальных утверждений типа до 1 июля 2024 года — информацию с указанием того, каким образом осуществляется управление обновлениями или распространениями в контексте </w:t>
      </w:r>
      <w:proofErr w:type="spellStart"/>
      <w:r w:rsidRPr="003B1F27">
        <w:rPr>
          <w:lang w:val="ru-RU"/>
        </w:rPr>
        <w:t>СОКиБ</w:t>
      </w:r>
      <w:proofErr w:type="spellEnd"/>
      <w:r w:rsidRPr="003B1F27">
        <w:rPr>
          <w:lang w:val="ru-RU"/>
        </w:rPr>
        <w:t>».</w:t>
      </w:r>
    </w:p>
    <w:p w14:paraId="170090BE" w14:textId="77777777" w:rsidR="003B1F27" w:rsidRPr="003B1F27" w:rsidRDefault="003B1F27" w:rsidP="003B1F27">
      <w:pPr>
        <w:pStyle w:val="para"/>
        <w:spacing w:line="240" w:lineRule="auto"/>
        <w:rPr>
          <w:lang w:val="ru-RU"/>
        </w:rPr>
      </w:pPr>
      <w:r w:rsidRPr="003B1F27">
        <w:rPr>
          <w:i/>
          <w:lang w:val="ru-RU"/>
        </w:rPr>
        <w:t xml:space="preserve">Часть </w:t>
      </w:r>
      <w:r w:rsidRPr="003B1F27">
        <w:rPr>
          <w:i/>
          <w:lang w:val="en-US"/>
        </w:rPr>
        <w:t>A</w:t>
      </w:r>
      <w:r w:rsidRPr="003B1F27">
        <w:rPr>
          <w:i/>
          <w:lang w:val="ru-RU"/>
        </w:rPr>
        <w:t xml:space="preserve">, 3, пункт </w:t>
      </w:r>
      <w:r w:rsidRPr="003B1F27">
        <w:rPr>
          <w:i/>
          <w:lang w:val="en-US"/>
        </w:rPr>
        <w:t>AB</w:t>
      </w:r>
      <w:r w:rsidRPr="003B1F27">
        <w:rPr>
          <w:i/>
          <w:lang w:val="ru-RU"/>
        </w:rPr>
        <w:t>. Пункт 7.3.4</w:t>
      </w:r>
      <w:r w:rsidRPr="003B1F27">
        <w:rPr>
          <w:i/>
        </w:rPr>
        <w:t xml:space="preserve"> </w:t>
      </w:r>
      <w:r w:rsidRPr="003B1F27">
        <w:rPr>
          <w:lang w:val="ru-RU"/>
        </w:rPr>
        <w:t>изменить следующим образом:</w:t>
      </w:r>
    </w:p>
    <w:p w14:paraId="0BBD8857" w14:textId="77777777" w:rsidR="003B1F27" w:rsidRPr="003B1F27" w:rsidRDefault="003B1F27" w:rsidP="003B1F27">
      <w:pPr>
        <w:pStyle w:val="SingleTxtG"/>
        <w:tabs>
          <w:tab w:val="clear" w:pos="1701"/>
        </w:tabs>
        <w:ind w:left="2268" w:hanging="1134"/>
      </w:pPr>
      <w:r w:rsidRPr="003B1F27">
        <w:t>«7.3.4</w:t>
      </w:r>
      <w:r w:rsidRPr="003B1F27">
        <w:tab/>
        <w:t>Изготовитель транспортного средства</w:t>
      </w:r>
      <w:r w:rsidRPr="003B1F27">
        <w:rPr>
          <w:lang w:val="en-US"/>
        </w:rPr>
        <w:t> </w:t>
      </w:r>
      <w:r w:rsidRPr="003B1F27">
        <w:t>…</w:t>
      </w:r>
      <w:r w:rsidRPr="003B1F27">
        <w:rPr>
          <w:lang w:val="en-US"/>
        </w:rPr>
        <w:t> </w:t>
      </w:r>
      <w:r w:rsidRPr="003B1F27">
        <w:t>осуществление какой-либо другой соответствующей меры по смягчению последствий.</w:t>
      </w:r>
    </w:p>
    <w:p w14:paraId="012437BE" w14:textId="77777777" w:rsidR="003B1F27" w:rsidRPr="003B1F27" w:rsidRDefault="003B1F27" w:rsidP="003B1F27">
      <w:pPr>
        <w:pStyle w:val="para"/>
        <w:adjustRightInd w:val="0"/>
        <w:snapToGrid w:val="0"/>
        <w:spacing w:line="240" w:lineRule="auto"/>
        <w:ind w:firstLine="0"/>
        <w:rPr>
          <w:lang w:val="ru-RU"/>
        </w:rPr>
      </w:pPr>
      <w:r w:rsidRPr="003B1F27">
        <w:rPr>
          <w:lang w:val="ru-RU"/>
        </w:rPr>
        <w:tab/>
      </w:r>
      <w:r w:rsidRPr="003B1F27">
        <w:t xml:space="preserve">В частности, в случае официальных утверждений </w:t>
      </w:r>
      <w:r w:rsidRPr="003B1F27">
        <w:rPr>
          <w:lang w:val="ru-RU"/>
        </w:rPr>
        <w:t xml:space="preserve">типа, впервые предоставленных до 1 июля 2024 года, и каждого распространения таких официальных утверждений, </w:t>
      </w:r>
      <w:r w:rsidRPr="003B1F27">
        <w:t>изготовитель транспортного средства обеспечивает осуществление какой-либо другой соответствующей меры по смягчению последствий, если та или иная мера по смягчению последствий, упомянутая в части В или С приложения 5, технически неосуществима. Соответствующая оценка технической осуществимости предоставляется изготовителем органу по официальному утверждению</w:t>
      </w:r>
      <w:r w:rsidRPr="003B1F27">
        <w:rPr>
          <w:lang w:val="ru-RU"/>
        </w:rPr>
        <w:t>».</w:t>
      </w:r>
    </w:p>
    <w:p w14:paraId="657B2819" w14:textId="77777777" w:rsidR="003B1F27" w:rsidRPr="003B1F27" w:rsidRDefault="003B1F27" w:rsidP="003B1F27">
      <w:pPr>
        <w:pStyle w:val="SingleTxtG"/>
        <w:ind w:left="2268"/>
        <w:rPr>
          <w:i/>
        </w:rPr>
      </w:pPr>
      <w:r w:rsidRPr="003B1F27">
        <w:rPr>
          <w:i/>
          <w:iCs/>
        </w:rPr>
        <w:t>Разъяснение требования</w:t>
      </w:r>
    </w:p>
    <w:p w14:paraId="40BE2A24" w14:textId="77777777" w:rsidR="003B1F27" w:rsidRPr="003B1F27" w:rsidRDefault="003B1F27" w:rsidP="003B1F27">
      <w:pPr>
        <w:pStyle w:val="SingleTxtG"/>
        <w:ind w:left="2268"/>
      </w:pPr>
      <w:r w:rsidRPr="003B1F27">
        <w:t>Цель этого требования — обеспечить, чтобы изготовители транспортных средств принимали соответствующие меры по снижению риска в соответствии с результатами оценки рисков.</w:t>
      </w:r>
    </w:p>
    <w:p w14:paraId="5A636AF6" w14:textId="77777777" w:rsidR="003B1F27" w:rsidRPr="003B1F27" w:rsidRDefault="003B1F27" w:rsidP="003B1F27">
      <w:pPr>
        <w:pStyle w:val="SingleTxtG"/>
        <w:ind w:left="2268"/>
      </w:pPr>
      <w:r w:rsidRPr="003B1F27">
        <w:t>Изготовитель</w:t>
      </w:r>
      <w:r w:rsidRPr="003B1F27">
        <w:rPr>
          <w:lang w:val="en-US"/>
        </w:rPr>
        <w:t> </w:t>
      </w:r>
      <w:r w:rsidRPr="003B1F27">
        <w:t>…</w:t>
      </w:r>
      <w:r w:rsidRPr="003B1F27">
        <w:rPr>
          <w:lang w:val="en-US"/>
        </w:rPr>
        <w:t> </w:t>
      </w:r>
      <w:r w:rsidRPr="003B1F27">
        <w:t>взаимодействие внешних систем с транспортным средством.</w:t>
      </w:r>
    </w:p>
    <w:p w14:paraId="330B4EF0" w14:textId="77777777" w:rsidR="003B1F27" w:rsidRPr="003B1F27" w:rsidRDefault="003B1F27" w:rsidP="003B1F27">
      <w:pPr>
        <w:pStyle w:val="SingleTxtG"/>
        <w:ind w:left="2268"/>
      </w:pPr>
      <w:r w:rsidRPr="003B1F27">
        <w:t>Технические меры смягчения последствий … позволит ввести в практику новые или усовершенствованные технологии защиты.</w:t>
      </w:r>
    </w:p>
    <w:p w14:paraId="53E0126C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3B1F27">
        <w:rPr>
          <w:lang w:val="ru-RU"/>
        </w:rPr>
        <w:t>Если говорить о существующих архитектурах, разработанных еще до введения в действие Правил № 155 ООН, то в их случае, вероятно, не имелось возможности разработать архитектуру таким образом, чтобы обеспечить осуществление всех мер по смягчению последствий, о которых говорится в частях В и С приложения 5. Поэтому в случае официальных утверждений, впервые предоставленных до 1 июля 2024 года, допускаются</w:t>
      </w:r>
      <w:r w:rsidRPr="003B1F27">
        <w:rPr>
          <w:lang w:val="en-US"/>
        </w:rPr>
        <w:t> </w:t>
      </w:r>
      <w:r w:rsidRPr="003B1F27">
        <w:rPr>
          <w:lang w:val="ru-RU"/>
        </w:rPr>
        <w:t>— применительно к выявленным рискам в области кибербезопасности</w:t>
      </w:r>
      <w:r w:rsidRPr="003B1F27">
        <w:rPr>
          <w:lang w:val="en-US"/>
        </w:rPr>
        <w:t> </w:t>
      </w:r>
      <w:r w:rsidRPr="003B1F27">
        <w:rPr>
          <w:lang w:val="ru-RU"/>
        </w:rPr>
        <w:t>—</w:t>
      </w:r>
      <w:r w:rsidRPr="003B1F27">
        <w:rPr>
          <w:lang w:val="en-US"/>
        </w:rPr>
        <w:t> </w:t>
      </w:r>
      <w:r w:rsidRPr="003B1F27">
        <w:rPr>
          <w:lang w:val="ru-RU"/>
        </w:rPr>
        <w:t>другие соответствующие меры по смягчению последствий.</w:t>
      </w:r>
    </w:p>
    <w:p w14:paraId="562F8CC7" w14:textId="77777777" w:rsidR="003B1F27" w:rsidRPr="003B1F27" w:rsidRDefault="003B1F27" w:rsidP="003B1F27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3B1F27">
        <w:rPr>
          <w:lang w:val="ru-RU"/>
        </w:rPr>
        <w:t>Дальнейшие технические модификации/обновления, влекущие за собой распространение существующих официальных утверждений типа после 1 июля 2024 года, должны производиться, насколько это возможно, в соответствии с приложением 5. При этом надлежит учитывать факторы риска и подтвердить, что они по-прежнему должным образом устраняются или ограничиваются. В случае отклонения от положений приложения 5 следует представить соответствующее разъяснение и обоснование.</w:t>
      </w:r>
    </w:p>
    <w:p w14:paraId="79389C6F" w14:textId="77777777" w:rsidR="003B1F27" w:rsidRPr="003B1F27" w:rsidRDefault="003B1F27" w:rsidP="003B1F27">
      <w:pPr>
        <w:adjustRightInd w:val="0"/>
        <w:snapToGrid w:val="0"/>
        <w:spacing w:after="120" w:line="240" w:lineRule="auto"/>
        <w:ind w:left="2268" w:right="1134"/>
        <w:jc w:val="both"/>
      </w:pPr>
      <w:r w:rsidRPr="003B1F27">
        <w:t>Применительно к модификациям или обновлениям техническая служба/орган по официальному утверждению может подтвердить, что, по ее/его мнению, риски (включая любые отклонения) устраняются надлежащим образом и что распространения могут быть предоставлены после 1 июля 2024 года на основе метода и исходя из критериев, опубликованных ЕЭК ООН, в соответствии с главой 5 Правил № 155 ООН.</w:t>
      </w:r>
    </w:p>
    <w:p w14:paraId="0BD64EFB" w14:textId="77777777" w:rsidR="003B1F27" w:rsidRPr="003B1F27" w:rsidRDefault="003B1F27" w:rsidP="003B1F27">
      <w:pPr>
        <w:pStyle w:val="SingleTxtG"/>
        <w:ind w:left="2268"/>
      </w:pPr>
      <w:bookmarkStart w:id="0" w:name="_Hlk79496140"/>
      <w:r w:rsidRPr="003B1F27">
        <w:rPr>
          <w:i/>
          <w:iCs/>
        </w:rPr>
        <w:t>В этой связи необходимо принять к сведению следующее уточнение:</w:t>
      </w:r>
    </w:p>
    <w:p w14:paraId="37A0A204" w14:textId="77777777" w:rsidR="003B1F27" w:rsidRPr="003B1F27" w:rsidRDefault="003B1F27" w:rsidP="003B1F27">
      <w:pPr>
        <w:pStyle w:val="SingleTxtG"/>
        <w:ind w:left="2268"/>
      </w:pPr>
      <w:r w:rsidRPr="003B1F27">
        <w:t>a)</w:t>
      </w:r>
      <w:r w:rsidRPr="003B1F27">
        <w:tab/>
        <w:t>проектные решения изготовителя необходимо увязывать со стратегией оценки рисков и управления рисками. Изготовитель должен быть в состоянии обосновать ту стратегию, которую он использовал;</w:t>
      </w:r>
    </w:p>
    <w:p w14:paraId="28743B16" w14:textId="77777777" w:rsidR="003B1F27" w:rsidRPr="003B1F27" w:rsidRDefault="003B1F27" w:rsidP="003B1F27">
      <w:pPr>
        <w:pStyle w:val="SingleTxtG"/>
        <w:ind w:left="2268"/>
      </w:pPr>
      <w:r w:rsidRPr="003B1F27">
        <w:t>b)</w:t>
      </w:r>
      <w:r w:rsidRPr="003B1F27">
        <w:tab/>
        <w:t xml:space="preserve">термин «соразмерный» следует учитывать в процессе выбора требуемых вариантов: следует ли осуществлять смягчение последствий и какие именно меры следует принимать. Если данным видом риска </w:t>
      </w:r>
      <w:r w:rsidRPr="003B1F27">
        <w:lastRenderedPageBreak/>
        <w:t>можно пренебречь, то можно утверждать, что уменьшать его нет необходимости;</w:t>
      </w:r>
    </w:p>
    <w:p w14:paraId="0E0B8759" w14:textId="77777777" w:rsidR="003B1F27" w:rsidRPr="003B1F27" w:rsidRDefault="003B1F27" w:rsidP="003B1F27">
      <w:pPr>
        <w:pStyle w:val="SingleTxtG"/>
        <w:ind w:left="2268"/>
      </w:pPr>
      <w:r w:rsidRPr="003B1F27">
        <w:t>с)</w:t>
      </w:r>
      <w:r w:rsidRPr="003B1F27">
        <w:tab/>
        <w:t>защита от выявленных рисков означает снижение данного риска.</w:t>
      </w:r>
    </w:p>
    <w:p w14:paraId="6B541854" w14:textId="77777777" w:rsidR="003B1F27" w:rsidRPr="003B1F27" w:rsidRDefault="003B1F27" w:rsidP="003B1F27">
      <w:pPr>
        <w:pStyle w:val="SingleTxtG"/>
        <w:ind w:left="2268"/>
        <w:rPr>
          <w:i/>
          <w:iCs/>
        </w:rPr>
      </w:pPr>
      <w:r w:rsidRPr="003B1F27">
        <w:rPr>
          <w:i/>
          <w:iCs/>
        </w:rPr>
        <w:t>Примеры документов/доказательственных данных, которые могут быть предоставлены</w:t>
      </w:r>
    </w:p>
    <w:bookmarkEnd w:id="0"/>
    <w:p w14:paraId="143634CC" w14:textId="77777777" w:rsidR="003B1F27" w:rsidRPr="003B1F27" w:rsidRDefault="003B1F27" w:rsidP="003B1F27">
      <w:pPr>
        <w:keepNext/>
        <w:keepLines/>
        <w:snapToGrid w:val="0"/>
        <w:spacing w:after="120" w:line="240" w:lineRule="auto"/>
        <w:ind w:left="2268" w:right="1134"/>
        <w:jc w:val="both"/>
      </w:pPr>
      <w:r w:rsidRPr="003B1F27">
        <w:t xml:space="preserve">В этой связи могут применяться следующие стандарты: </w:t>
      </w:r>
    </w:p>
    <w:p w14:paraId="7E942755" w14:textId="77777777" w:rsidR="003B1F27" w:rsidRPr="003B1F27" w:rsidRDefault="003B1F27" w:rsidP="003B1F27">
      <w:pPr>
        <w:pStyle w:val="SingleTxtG"/>
        <w:keepNext/>
        <w:keepLines/>
        <w:ind w:left="2268"/>
      </w:pPr>
      <w:r w:rsidRPr="003B1F27">
        <w:t>…</w:t>
      </w:r>
    </w:p>
    <w:p w14:paraId="30A31366" w14:textId="20975322" w:rsidR="004561BE" w:rsidRPr="00B16C5A" w:rsidRDefault="003B1F27" w:rsidP="003B1F27">
      <w:pPr>
        <w:keepNext/>
        <w:keepLines/>
        <w:ind w:left="2268" w:right="1134"/>
        <w:jc w:val="both"/>
      </w:pPr>
      <w:r w:rsidRPr="003B1F27">
        <w:t>iii)</w:t>
      </w:r>
      <w:r w:rsidRPr="003B1F27">
        <w:tab/>
        <w:t>причина, если будет установлено, что в мерах по смягчению последствий нет нужды».</w:t>
      </w:r>
    </w:p>
    <w:p w14:paraId="64372B6B" w14:textId="78319B3F" w:rsidR="00E12C5F" w:rsidRPr="004561BE" w:rsidRDefault="004561BE" w:rsidP="004561BE">
      <w:pPr>
        <w:spacing w:before="240"/>
        <w:jc w:val="center"/>
        <w:rPr>
          <w:u w:val="single"/>
        </w:rPr>
      </w:pPr>
      <w:r w:rsidRPr="00B16C5A">
        <w:rPr>
          <w:u w:val="single"/>
        </w:rPr>
        <w:tab/>
      </w:r>
      <w:r w:rsidRPr="00B16C5A">
        <w:rPr>
          <w:u w:val="single"/>
        </w:rPr>
        <w:tab/>
      </w:r>
      <w:r w:rsidRPr="00B16C5A">
        <w:rPr>
          <w:u w:val="single"/>
        </w:rPr>
        <w:tab/>
      </w:r>
    </w:p>
    <w:sectPr w:rsidR="00E12C5F" w:rsidRPr="004561BE" w:rsidSect="00456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2EA5" w14:textId="77777777" w:rsidR="005B6B33" w:rsidRPr="00A312BC" w:rsidRDefault="005B6B33" w:rsidP="00A312BC"/>
  </w:endnote>
  <w:endnote w:type="continuationSeparator" w:id="0">
    <w:p w14:paraId="77FF1A56" w14:textId="77777777" w:rsidR="005B6B33" w:rsidRPr="00A312BC" w:rsidRDefault="005B6B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372" w14:textId="62DE3EA4" w:rsidR="004561BE" w:rsidRPr="004561BE" w:rsidRDefault="004561BE">
    <w:pPr>
      <w:pStyle w:val="a8"/>
    </w:pPr>
    <w:r w:rsidRPr="004561BE">
      <w:rPr>
        <w:b/>
        <w:sz w:val="18"/>
      </w:rPr>
      <w:fldChar w:fldCharType="begin"/>
    </w:r>
    <w:r w:rsidRPr="004561BE">
      <w:rPr>
        <w:b/>
        <w:sz w:val="18"/>
      </w:rPr>
      <w:instrText xml:space="preserve"> PAGE  \* MERGEFORMAT </w:instrText>
    </w:r>
    <w:r w:rsidRPr="004561BE">
      <w:rPr>
        <w:b/>
        <w:sz w:val="18"/>
      </w:rPr>
      <w:fldChar w:fldCharType="separate"/>
    </w:r>
    <w:r w:rsidRPr="004561BE">
      <w:rPr>
        <w:b/>
        <w:noProof/>
        <w:sz w:val="18"/>
      </w:rPr>
      <w:t>2</w:t>
    </w:r>
    <w:r w:rsidRPr="004561B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4AFF" w14:textId="32A9878A" w:rsidR="004561BE" w:rsidRPr="004561BE" w:rsidRDefault="004561BE" w:rsidP="004561BE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4561BE">
      <w:rPr>
        <w:b/>
        <w:sz w:val="18"/>
      </w:rPr>
      <w:fldChar w:fldCharType="begin"/>
    </w:r>
    <w:r w:rsidRPr="004561BE">
      <w:rPr>
        <w:b/>
        <w:sz w:val="18"/>
      </w:rPr>
      <w:instrText xml:space="preserve"> PAGE  \* MERGEFORMAT </w:instrText>
    </w:r>
    <w:r w:rsidRPr="004561BE">
      <w:rPr>
        <w:b/>
        <w:sz w:val="18"/>
      </w:rPr>
      <w:fldChar w:fldCharType="separate"/>
    </w:r>
    <w:r w:rsidRPr="004561BE">
      <w:rPr>
        <w:b/>
        <w:noProof/>
        <w:sz w:val="18"/>
      </w:rPr>
      <w:t>3</w:t>
    </w:r>
    <w:r w:rsidRPr="004561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7B3" w14:textId="5D620F18" w:rsidR="00042B72" w:rsidRPr="00825DCE" w:rsidRDefault="00825DCE" w:rsidP="00825DCE">
    <w:pPr>
      <w:pStyle w:val="a8"/>
      <w:tabs>
        <w:tab w:val="left" w:pos="3969"/>
      </w:tabs>
      <w:spacing w:before="120" w:line="240" w:lineRule="auto"/>
      <w:rPr>
        <w:sz w:val="20"/>
      </w:rPr>
    </w:pPr>
    <w:r>
      <w:rPr>
        <w:sz w:val="20"/>
      </w:rPr>
      <w:t>GE.22-01544  (R)</w:t>
    </w:r>
    <w:bookmarkStart w:id="1" w:name="_GoBack"/>
    <w:bookmarkEnd w:id="1"/>
    <w:r>
      <w:rPr>
        <w:sz w:val="20"/>
      </w:rPr>
      <w:tab/>
    </w:r>
    <w:r w:rsidRPr="00825DCE">
      <w:rPr>
        <w:b/>
        <w:noProof/>
        <w:sz w:val="20"/>
        <w:lang w:val="fr-CH" w:eastAsia="fr-CH"/>
      </w:rPr>
      <w:drawing>
        <wp:inline distT="0" distB="0" distL="0" distR="0" wp14:anchorId="0D60678F" wp14:editId="46717E1D">
          <wp:extent cx="2707200" cy="234000"/>
          <wp:effectExtent l="0" t="0" r="0" b="0"/>
          <wp:docPr id="1" name="Рисунок 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0014B00" wp14:editId="56645109">
          <wp:extent cx="641350" cy="641350"/>
          <wp:effectExtent l="0" t="0" r="635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602E" w14:textId="77777777" w:rsidR="005B6B33" w:rsidRPr="001075E9" w:rsidRDefault="005B6B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3238D2" w14:textId="77777777" w:rsidR="005B6B33" w:rsidRDefault="005B6B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ACB1D2" w14:textId="23016F97" w:rsidR="00D50D55" w:rsidRPr="002E2039" w:rsidRDefault="00D50D55" w:rsidP="00D50D55">
      <w:pPr>
        <w:pStyle w:val="ad"/>
      </w:pPr>
      <w:r>
        <w:tab/>
      </w:r>
      <w:r w:rsidRPr="00EA0F43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8D6B" w14:textId="182C33DD" w:rsidR="004561BE" w:rsidRPr="004561BE" w:rsidRDefault="000B53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B073" w14:textId="70D6E685" w:rsidR="004561BE" w:rsidRPr="004561BE" w:rsidRDefault="000B532E" w:rsidP="004561B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ECE/TRANS/WP.29/2022/55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FD63" w14:textId="77777777" w:rsidR="004561BE" w:rsidRDefault="004561BE" w:rsidP="004561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20"/>
    <w:rsid w:val="000000CD"/>
    <w:rsid w:val="00002F46"/>
    <w:rsid w:val="00033EE1"/>
    <w:rsid w:val="000345CB"/>
    <w:rsid w:val="00042B72"/>
    <w:rsid w:val="000558BD"/>
    <w:rsid w:val="00055FCA"/>
    <w:rsid w:val="000B532E"/>
    <w:rsid w:val="000B57E7"/>
    <w:rsid w:val="000B6373"/>
    <w:rsid w:val="000C6A17"/>
    <w:rsid w:val="000E4E5B"/>
    <w:rsid w:val="000F09DF"/>
    <w:rsid w:val="000F61B2"/>
    <w:rsid w:val="001075E9"/>
    <w:rsid w:val="0014152F"/>
    <w:rsid w:val="00173834"/>
    <w:rsid w:val="00180183"/>
    <w:rsid w:val="0018024D"/>
    <w:rsid w:val="0018649F"/>
    <w:rsid w:val="00196389"/>
    <w:rsid w:val="001A0620"/>
    <w:rsid w:val="001B3EF6"/>
    <w:rsid w:val="001C253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687"/>
    <w:rsid w:val="00381C24"/>
    <w:rsid w:val="00387CD4"/>
    <w:rsid w:val="003958D0"/>
    <w:rsid w:val="003A0D43"/>
    <w:rsid w:val="003A48CE"/>
    <w:rsid w:val="003B00E5"/>
    <w:rsid w:val="003B1F27"/>
    <w:rsid w:val="003E0B46"/>
    <w:rsid w:val="00407B78"/>
    <w:rsid w:val="00424203"/>
    <w:rsid w:val="00452493"/>
    <w:rsid w:val="00453318"/>
    <w:rsid w:val="00454AF2"/>
    <w:rsid w:val="00454E07"/>
    <w:rsid w:val="004561BE"/>
    <w:rsid w:val="00472C5C"/>
    <w:rsid w:val="004761E4"/>
    <w:rsid w:val="00485F8A"/>
    <w:rsid w:val="004B275C"/>
    <w:rsid w:val="004E05B7"/>
    <w:rsid w:val="0050108D"/>
    <w:rsid w:val="00513081"/>
    <w:rsid w:val="00517901"/>
    <w:rsid w:val="00526683"/>
    <w:rsid w:val="00526DB8"/>
    <w:rsid w:val="0054268B"/>
    <w:rsid w:val="00547A2C"/>
    <w:rsid w:val="005639C1"/>
    <w:rsid w:val="005709E0"/>
    <w:rsid w:val="00572E19"/>
    <w:rsid w:val="005961C8"/>
    <w:rsid w:val="005966F1"/>
    <w:rsid w:val="005B6B33"/>
    <w:rsid w:val="005D7914"/>
    <w:rsid w:val="005E2B41"/>
    <w:rsid w:val="005E78F5"/>
    <w:rsid w:val="005F0B42"/>
    <w:rsid w:val="00617A43"/>
    <w:rsid w:val="006345DB"/>
    <w:rsid w:val="00640F49"/>
    <w:rsid w:val="006763BE"/>
    <w:rsid w:val="00680D03"/>
    <w:rsid w:val="00681A10"/>
    <w:rsid w:val="006A1ED8"/>
    <w:rsid w:val="006C2031"/>
    <w:rsid w:val="006D461A"/>
    <w:rsid w:val="006F35EE"/>
    <w:rsid w:val="006F40C8"/>
    <w:rsid w:val="007021FF"/>
    <w:rsid w:val="00712895"/>
    <w:rsid w:val="00727491"/>
    <w:rsid w:val="00734ACB"/>
    <w:rsid w:val="00757357"/>
    <w:rsid w:val="00792497"/>
    <w:rsid w:val="007A67C2"/>
    <w:rsid w:val="007B2F1C"/>
    <w:rsid w:val="00806737"/>
    <w:rsid w:val="00825DCE"/>
    <w:rsid w:val="00825F8D"/>
    <w:rsid w:val="00834B71"/>
    <w:rsid w:val="0086445C"/>
    <w:rsid w:val="00880A60"/>
    <w:rsid w:val="00894693"/>
    <w:rsid w:val="008A08D7"/>
    <w:rsid w:val="008A37C8"/>
    <w:rsid w:val="008B6909"/>
    <w:rsid w:val="008D53B6"/>
    <w:rsid w:val="008E3C82"/>
    <w:rsid w:val="008F7609"/>
    <w:rsid w:val="00906890"/>
    <w:rsid w:val="00911BE4"/>
    <w:rsid w:val="00951972"/>
    <w:rsid w:val="009608F3"/>
    <w:rsid w:val="00972603"/>
    <w:rsid w:val="009A24AC"/>
    <w:rsid w:val="009B2941"/>
    <w:rsid w:val="009C59D7"/>
    <w:rsid w:val="009C6FE6"/>
    <w:rsid w:val="009D7E7D"/>
    <w:rsid w:val="009F44E6"/>
    <w:rsid w:val="00A14DA8"/>
    <w:rsid w:val="00A27B99"/>
    <w:rsid w:val="00A312BC"/>
    <w:rsid w:val="00A60CFC"/>
    <w:rsid w:val="00A84021"/>
    <w:rsid w:val="00A84D35"/>
    <w:rsid w:val="00A917B3"/>
    <w:rsid w:val="00AB4B51"/>
    <w:rsid w:val="00AD1BE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7886"/>
    <w:rsid w:val="00C92939"/>
    <w:rsid w:val="00CA1679"/>
    <w:rsid w:val="00CB151C"/>
    <w:rsid w:val="00CE5A1A"/>
    <w:rsid w:val="00CF161F"/>
    <w:rsid w:val="00CF55F6"/>
    <w:rsid w:val="00D33D63"/>
    <w:rsid w:val="00D4527D"/>
    <w:rsid w:val="00D50D55"/>
    <w:rsid w:val="00D5253A"/>
    <w:rsid w:val="00D873A8"/>
    <w:rsid w:val="00D90028"/>
    <w:rsid w:val="00D90138"/>
    <w:rsid w:val="00D9145B"/>
    <w:rsid w:val="00DC4587"/>
    <w:rsid w:val="00DD78D1"/>
    <w:rsid w:val="00DE32CD"/>
    <w:rsid w:val="00DF5767"/>
    <w:rsid w:val="00DF71B9"/>
    <w:rsid w:val="00E12C5F"/>
    <w:rsid w:val="00E73F76"/>
    <w:rsid w:val="00EA2C9F"/>
    <w:rsid w:val="00EA420E"/>
    <w:rsid w:val="00EB2414"/>
    <w:rsid w:val="00ED0BDA"/>
    <w:rsid w:val="00EE142A"/>
    <w:rsid w:val="00EF1360"/>
    <w:rsid w:val="00EF3220"/>
    <w:rsid w:val="00F2523A"/>
    <w:rsid w:val="00F43903"/>
    <w:rsid w:val="00F94155"/>
    <w:rsid w:val="00F9783F"/>
    <w:rsid w:val="00FA1F3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B57AA"/>
  <w15:docId w15:val="{A5BE9F86-BF1F-4591-840B-5A2C794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qFormat/>
    <w:rsid w:val="00C71E84"/>
    <w:pPr>
      <w:numPr>
        <w:numId w:val="21"/>
      </w:numPr>
      <w:tabs>
        <w:tab w:val="clear" w:pos="1491"/>
        <w:tab w:val="left" w:pos="1701"/>
        <w:tab w:val="left" w:pos="2268"/>
        <w:tab w:val="left" w:pos="2835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561BE"/>
    <w:rPr>
      <w:lang w:val="ru-RU" w:eastAsia="en-US"/>
    </w:rPr>
  </w:style>
  <w:style w:type="paragraph" w:customStyle="1" w:styleId="Level1">
    <w:name w:val="Level 1"/>
    <w:basedOn w:val="a"/>
    <w:rsid w:val="004561BE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4561BE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4561BE"/>
    <w:pPr>
      <w:ind w:left="720"/>
      <w:contextualSpacing/>
    </w:pPr>
    <w:rPr>
      <w:rFonts w:eastAsiaTheme="minorEastAsia" w:cs="Times New Roman"/>
      <w:szCs w:val="20"/>
      <w:lang w:val="en-GB"/>
    </w:rPr>
  </w:style>
  <w:style w:type="character" w:customStyle="1" w:styleId="H1GChar">
    <w:name w:val="_ H_1_G Char"/>
    <w:link w:val="H1G"/>
    <w:rsid w:val="004561BE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4561BE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4561BE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5671B-F98D-41CC-A44D-789605B23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710C7-E71B-4A04-B318-EABD3073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21287-970D-454A-BE80-B63D18324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6692</Characters>
  <Application>Microsoft Office Word</Application>
  <DocSecurity>0</DocSecurity>
  <Lines>150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ECE/TRANS/WP.29/2022/55</dc:title>
  <dc:subject/>
  <dc:creator>Shuvalova NATALIA</dc:creator>
  <cp:keywords/>
  <cp:lastModifiedBy>Ioulia Goussarova</cp:lastModifiedBy>
  <cp:revision>3</cp:revision>
  <cp:lastPrinted>2022-02-07T15:14:00Z</cp:lastPrinted>
  <dcterms:created xsi:type="dcterms:W3CDTF">2022-02-07T15:14:00Z</dcterms:created>
  <dcterms:modified xsi:type="dcterms:W3CDTF">2022-02-07T15:15:00Z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