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wmf" ContentType="image/x-emf"/>
  <Override PartName="/word/media/image3.wmf" ContentType="image/x-em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0E46748" w14:textId="77777777" w:rsidTr="000D1B89">
        <w:trPr>
          <w:cantSplit/>
          <w:trHeight w:hRule="exact" w:val="851"/>
        </w:trPr>
        <w:tc>
          <w:tcPr>
            <w:tcW w:w="1276" w:type="dxa"/>
            <w:tcBorders>
              <w:bottom w:val="single" w:sz="4" w:space="0" w:color="auto"/>
            </w:tcBorders>
            <w:vAlign w:val="bottom"/>
          </w:tcPr>
          <w:p w14:paraId="5BB77915" w14:textId="77777777" w:rsidR="00717266" w:rsidRDefault="00717266" w:rsidP="000D1B89">
            <w:pPr>
              <w:spacing w:after="80"/>
            </w:pPr>
          </w:p>
        </w:tc>
        <w:tc>
          <w:tcPr>
            <w:tcW w:w="2268" w:type="dxa"/>
            <w:tcBorders>
              <w:bottom w:val="single" w:sz="4" w:space="0" w:color="auto"/>
            </w:tcBorders>
            <w:vAlign w:val="bottom"/>
          </w:tcPr>
          <w:p w14:paraId="28AD13DD"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DFDB15" w14:textId="77777777" w:rsidR="00717266" w:rsidRPr="00D47EEA" w:rsidRDefault="00AD19E8" w:rsidP="00AD19E8">
            <w:pPr>
              <w:suppressAutoHyphens w:val="0"/>
              <w:spacing w:after="20"/>
              <w:jc w:val="right"/>
            </w:pPr>
            <w:r w:rsidRPr="00AD19E8">
              <w:rPr>
                <w:sz w:val="40"/>
              </w:rPr>
              <w:t>ECE</w:t>
            </w:r>
            <w:r>
              <w:t>/TRANS/WP.11/2020/1/Rev.2</w:t>
            </w:r>
          </w:p>
        </w:tc>
      </w:tr>
      <w:tr w:rsidR="00717266" w14:paraId="7FA09E77" w14:textId="77777777" w:rsidTr="000D1B89">
        <w:trPr>
          <w:cantSplit/>
          <w:trHeight w:hRule="exact" w:val="2835"/>
        </w:trPr>
        <w:tc>
          <w:tcPr>
            <w:tcW w:w="1276" w:type="dxa"/>
            <w:tcBorders>
              <w:top w:val="single" w:sz="4" w:space="0" w:color="auto"/>
              <w:bottom w:val="single" w:sz="12" w:space="0" w:color="auto"/>
            </w:tcBorders>
          </w:tcPr>
          <w:p w14:paraId="455B06E7" w14:textId="77777777" w:rsidR="00717266" w:rsidRDefault="00717266" w:rsidP="000D1B89">
            <w:pPr>
              <w:spacing w:before="120"/>
            </w:pPr>
            <w:r>
              <w:rPr>
                <w:noProof/>
                <w:lang w:val="fr-CH" w:eastAsia="fr-CH"/>
              </w:rPr>
              <w:drawing>
                <wp:inline distT="0" distB="0" distL="0" distR="0" wp14:anchorId="70A5ACF0" wp14:editId="1EE870F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24AC4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F1E9E6" w14:textId="77777777" w:rsidR="00717266" w:rsidRDefault="00AD19E8" w:rsidP="00AD19E8">
            <w:pPr>
              <w:spacing w:before="240"/>
            </w:pPr>
            <w:r>
              <w:t>Distr.: General</w:t>
            </w:r>
          </w:p>
          <w:p w14:paraId="40A6E8AF" w14:textId="2818D801" w:rsidR="00AD19E8" w:rsidRDefault="00AA727F" w:rsidP="00AD19E8">
            <w:pPr>
              <w:suppressAutoHyphens w:val="0"/>
            </w:pPr>
            <w:r>
              <w:t xml:space="preserve">10 </w:t>
            </w:r>
            <w:r w:rsidR="00AD19E8">
              <w:t>August 2021</w:t>
            </w:r>
          </w:p>
          <w:p w14:paraId="5E394A07" w14:textId="0F550DD5" w:rsidR="00AD19E8" w:rsidRDefault="00716F84" w:rsidP="00AD19E8">
            <w:pPr>
              <w:suppressAutoHyphens w:val="0"/>
            </w:pPr>
            <w:r>
              <w:t>English</w:t>
            </w:r>
          </w:p>
          <w:p w14:paraId="56D9E12F" w14:textId="4FABEA6B" w:rsidR="00AD19E8" w:rsidRDefault="00AD19E8" w:rsidP="00AD19E8">
            <w:pPr>
              <w:suppressAutoHyphens w:val="0"/>
            </w:pPr>
            <w:r>
              <w:t xml:space="preserve">Original: </w:t>
            </w:r>
            <w:r w:rsidR="00716F84">
              <w:t>French</w:t>
            </w:r>
          </w:p>
        </w:tc>
      </w:tr>
    </w:tbl>
    <w:p w14:paraId="5A7BAC13" w14:textId="77777777" w:rsidR="00716F84" w:rsidRDefault="00716F84">
      <w:pPr>
        <w:spacing w:before="120"/>
        <w:rPr>
          <w:b/>
          <w:sz w:val="28"/>
          <w:szCs w:val="28"/>
        </w:rPr>
      </w:pPr>
      <w:r>
        <w:rPr>
          <w:b/>
          <w:sz w:val="28"/>
          <w:szCs w:val="28"/>
        </w:rPr>
        <w:t>Economic Commission for Europe</w:t>
      </w:r>
    </w:p>
    <w:p w14:paraId="55854585" w14:textId="77777777" w:rsidR="00716F84" w:rsidRDefault="00716F84">
      <w:pPr>
        <w:spacing w:before="120"/>
        <w:rPr>
          <w:sz w:val="28"/>
          <w:szCs w:val="28"/>
        </w:rPr>
      </w:pPr>
      <w:r>
        <w:rPr>
          <w:sz w:val="28"/>
          <w:szCs w:val="28"/>
        </w:rPr>
        <w:t>Inland Transport Committee</w:t>
      </w:r>
    </w:p>
    <w:p w14:paraId="74C8D961" w14:textId="086B8BA7" w:rsidR="00716F84" w:rsidRDefault="00716F84">
      <w:pPr>
        <w:spacing w:before="120"/>
        <w:rPr>
          <w:b/>
          <w:sz w:val="24"/>
          <w:szCs w:val="24"/>
        </w:rPr>
      </w:pPr>
      <w:r>
        <w:rPr>
          <w:b/>
          <w:sz w:val="24"/>
          <w:szCs w:val="24"/>
        </w:rPr>
        <w:t>Working Party on the Transport of Perishable Foodstuffs</w:t>
      </w:r>
    </w:p>
    <w:p w14:paraId="6CEA0B05" w14:textId="77777777" w:rsidR="00716F84" w:rsidRPr="00243869" w:rsidRDefault="00716F84" w:rsidP="00716F84">
      <w:pPr>
        <w:spacing w:before="120"/>
        <w:rPr>
          <w:b/>
          <w:bCs/>
          <w:lang w:val="en-US"/>
        </w:rPr>
      </w:pPr>
      <w:r>
        <w:rPr>
          <w:b/>
          <w:bCs/>
        </w:rPr>
        <w:t>Seventy-seventh session</w:t>
      </w:r>
    </w:p>
    <w:p w14:paraId="69B5BDBE" w14:textId="77777777" w:rsidR="00716F84" w:rsidRPr="00243869" w:rsidRDefault="00716F84" w:rsidP="00716F84">
      <w:pPr>
        <w:rPr>
          <w:lang w:val="en-US"/>
        </w:rPr>
      </w:pPr>
      <w:r>
        <w:t>Geneva, 26–29 October 2021</w:t>
      </w:r>
    </w:p>
    <w:p w14:paraId="7C3D16D5" w14:textId="77777777" w:rsidR="00716F84" w:rsidRPr="00243869" w:rsidRDefault="00716F84" w:rsidP="00716F84">
      <w:pPr>
        <w:rPr>
          <w:lang w:val="en-US"/>
        </w:rPr>
      </w:pPr>
      <w:r>
        <w:t>Item 5 (a) of the provisional agenda</w:t>
      </w:r>
    </w:p>
    <w:p w14:paraId="4EA1F066" w14:textId="77777777" w:rsidR="00716F84" w:rsidRPr="00243869" w:rsidRDefault="00716F84" w:rsidP="00716F84">
      <w:pPr>
        <w:pStyle w:val="Standard"/>
        <w:rPr>
          <w:b/>
          <w:lang w:val="en-US"/>
        </w:rPr>
      </w:pPr>
      <w:r>
        <w:rPr>
          <w:b/>
          <w:bCs/>
          <w:lang w:val="en-GB"/>
        </w:rPr>
        <w:t>Proposals of amendments to ATP:</w:t>
      </w:r>
    </w:p>
    <w:p w14:paraId="35905F2F" w14:textId="77777777" w:rsidR="00716F84" w:rsidRPr="00243869" w:rsidRDefault="00716F84" w:rsidP="00716F84">
      <w:pPr>
        <w:rPr>
          <w:b/>
          <w:bCs/>
          <w:lang w:val="en-US"/>
        </w:rPr>
      </w:pPr>
      <w:r>
        <w:rPr>
          <w:b/>
          <w:bCs/>
        </w:rPr>
        <w:t>Pending proposals</w:t>
      </w:r>
    </w:p>
    <w:p w14:paraId="4BE3C201" w14:textId="77777777" w:rsidR="00716F84" w:rsidRPr="005A7D88" w:rsidRDefault="00716F84" w:rsidP="00716F84">
      <w:pPr>
        <w:pStyle w:val="HChG"/>
      </w:pPr>
      <w:r w:rsidRPr="005A7D88">
        <w:tab/>
      </w:r>
      <w:r w:rsidRPr="005A7D88">
        <w:tab/>
        <w:t>Definition of the independence of a unit taking into account mixed energy source technologies</w:t>
      </w:r>
    </w:p>
    <w:p w14:paraId="7B968F67" w14:textId="77777777" w:rsidR="00716F84" w:rsidRPr="005A7D88" w:rsidRDefault="00716F84" w:rsidP="00716F84">
      <w:pPr>
        <w:pStyle w:val="H1G"/>
      </w:pPr>
      <w:r w:rsidRPr="005A7D88">
        <w:tab/>
      </w:r>
      <w:r w:rsidRPr="005A7D88">
        <w:tab/>
      </w:r>
      <w:r w:rsidRPr="005A7D88">
        <w:tab/>
        <w:t>Transmitted by the Government of France</w:t>
      </w:r>
    </w:p>
    <w:p w14:paraId="5A0869F6" w14:textId="5EFDE793" w:rsidR="00716F84" w:rsidRDefault="00716F84" w:rsidP="00716F84">
      <w:pPr>
        <w:pStyle w:val="H23G"/>
      </w:pPr>
      <w:r w:rsidRPr="005A7D88">
        <w:tab/>
      </w:r>
      <w:r w:rsidRPr="005A7D88">
        <w:tab/>
        <w:t>Revision 2</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16F84" w14:paraId="484BEA8F" w14:textId="77777777" w:rsidTr="00716F84">
        <w:trPr>
          <w:jc w:val="center"/>
        </w:trPr>
        <w:tc>
          <w:tcPr>
            <w:tcW w:w="9637" w:type="dxa"/>
            <w:tcBorders>
              <w:bottom w:val="nil"/>
            </w:tcBorders>
          </w:tcPr>
          <w:p w14:paraId="486AE7D0" w14:textId="4335A312" w:rsidR="00716F84" w:rsidRPr="00F76169" w:rsidRDefault="00716F84" w:rsidP="00716F84">
            <w:pPr>
              <w:tabs>
                <w:tab w:val="left" w:pos="255"/>
              </w:tabs>
              <w:suppressAutoHyphens w:val="0"/>
              <w:spacing w:before="240" w:after="120"/>
              <w:rPr>
                <w:sz w:val="24"/>
                <w:szCs w:val="24"/>
              </w:rPr>
            </w:pPr>
            <w:r>
              <w:tab/>
            </w:r>
            <w:r w:rsidR="009A0C79" w:rsidRPr="00F76169">
              <w:rPr>
                <w:i/>
                <w:iCs/>
                <w:sz w:val="24"/>
                <w:szCs w:val="24"/>
              </w:rPr>
              <w:t>Executive s</w:t>
            </w:r>
            <w:r w:rsidRPr="00F76169">
              <w:rPr>
                <w:i/>
                <w:sz w:val="24"/>
                <w:szCs w:val="24"/>
              </w:rPr>
              <w:t>ummary</w:t>
            </w:r>
          </w:p>
        </w:tc>
      </w:tr>
      <w:tr w:rsidR="00716F84" w14:paraId="70551545" w14:textId="77777777" w:rsidTr="00716F84">
        <w:trPr>
          <w:jc w:val="center"/>
        </w:trPr>
        <w:tc>
          <w:tcPr>
            <w:tcW w:w="9637" w:type="dxa"/>
            <w:tcBorders>
              <w:top w:val="nil"/>
              <w:bottom w:val="nil"/>
            </w:tcBorders>
            <w:shd w:val="clear" w:color="auto" w:fill="auto"/>
          </w:tcPr>
          <w:p w14:paraId="23723B2E" w14:textId="38B100A3" w:rsidR="00716F84" w:rsidRDefault="009A0C79" w:rsidP="00DC156C">
            <w:pPr>
              <w:pStyle w:val="SingleTxtG"/>
              <w:ind w:left="2212" w:hanging="1928"/>
            </w:pPr>
            <w:r w:rsidRPr="006F1341">
              <w:rPr>
                <w:b/>
                <w:bCs/>
              </w:rPr>
              <w:t>Executive summary</w:t>
            </w:r>
            <w:r>
              <w:t>:</w:t>
            </w:r>
            <w:r>
              <w:tab/>
            </w:r>
            <w:r w:rsidR="00DC156C">
              <w:t>The purpose of this proposal is to put forward a definition of the concept of the independence of equipment according to the refrigeration source and the duration of refrigeration by that source.</w:t>
            </w:r>
          </w:p>
        </w:tc>
      </w:tr>
      <w:tr w:rsidR="00DC156C" w14:paraId="1F54FE7C" w14:textId="77777777" w:rsidTr="00716F84">
        <w:trPr>
          <w:jc w:val="center"/>
        </w:trPr>
        <w:tc>
          <w:tcPr>
            <w:tcW w:w="9637" w:type="dxa"/>
            <w:tcBorders>
              <w:top w:val="nil"/>
              <w:bottom w:val="nil"/>
            </w:tcBorders>
            <w:shd w:val="clear" w:color="auto" w:fill="auto"/>
          </w:tcPr>
          <w:p w14:paraId="7625B31B" w14:textId="6CDD3CBD" w:rsidR="00DC156C" w:rsidRPr="005A7D88" w:rsidRDefault="005F27CA" w:rsidP="00DC156C">
            <w:pPr>
              <w:pStyle w:val="SingleTxtG"/>
              <w:ind w:left="2212" w:hanging="1928"/>
            </w:pPr>
            <w:r w:rsidRPr="006F1341">
              <w:rPr>
                <w:b/>
                <w:bCs/>
              </w:rPr>
              <w:t>Action to be taken</w:t>
            </w:r>
            <w:r>
              <w:t>:</w:t>
            </w:r>
            <w:r>
              <w:tab/>
            </w:r>
            <w:r w:rsidRPr="005A7D88">
              <w:t>Amend the relevant part (annex 1) of the ATP Agreement.</w:t>
            </w:r>
          </w:p>
        </w:tc>
      </w:tr>
      <w:tr w:rsidR="00DC156C" w14:paraId="1FC284FE" w14:textId="77777777" w:rsidTr="00716F84">
        <w:trPr>
          <w:jc w:val="center"/>
        </w:trPr>
        <w:tc>
          <w:tcPr>
            <w:tcW w:w="9637" w:type="dxa"/>
            <w:tcBorders>
              <w:top w:val="nil"/>
              <w:bottom w:val="nil"/>
            </w:tcBorders>
            <w:shd w:val="clear" w:color="auto" w:fill="auto"/>
          </w:tcPr>
          <w:p w14:paraId="758C3B0E" w14:textId="359A3D16" w:rsidR="00DC156C" w:rsidRPr="005A7D88" w:rsidRDefault="005F27CA" w:rsidP="00DC156C">
            <w:pPr>
              <w:pStyle w:val="SingleTxtG"/>
              <w:ind w:left="2212" w:hanging="1928"/>
            </w:pPr>
            <w:r w:rsidRPr="006F1341">
              <w:rPr>
                <w:b/>
                <w:bCs/>
              </w:rPr>
              <w:t>Related documents</w:t>
            </w:r>
            <w:r>
              <w:t>:</w:t>
            </w:r>
            <w:r>
              <w:tab/>
              <w:t>None</w:t>
            </w:r>
          </w:p>
        </w:tc>
      </w:tr>
      <w:tr w:rsidR="00716F84" w14:paraId="176B6529" w14:textId="77777777" w:rsidTr="00716F84">
        <w:trPr>
          <w:jc w:val="center"/>
        </w:trPr>
        <w:tc>
          <w:tcPr>
            <w:tcW w:w="9637" w:type="dxa"/>
            <w:tcBorders>
              <w:top w:val="nil"/>
            </w:tcBorders>
          </w:tcPr>
          <w:p w14:paraId="0B1DF5CD" w14:textId="77777777" w:rsidR="00716F84" w:rsidRDefault="00716F84" w:rsidP="00716F84">
            <w:pPr>
              <w:suppressAutoHyphens w:val="0"/>
            </w:pPr>
          </w:p>
        </w:tc>
      </w:tr>
    </w:tbl>
    <w:p w14:paraId="3C6BEB6E" w14:textId="77777777" w:rsidR="00716F84" w:rsidRPr="005A7D88" w:rsidRDefault="00716F84" w:rsidP="005F27CA">
      <w:pPr>
        <w:pStyle w:val="HChG"/>
      </w:pPr>
      <w:r w:rsidRPr="005A7D88">
        <w:tab/>
      </w:r>
      <w:r w:rsidRPr="005A7D88">
        <w:tab/>
      </w:r>
      <w:r w:rsidRPr="005A7D88">
        <w:tab/>
        <w:t>Introduction</w:t>
      </w:r>
      <w:bookmarkStart w:id="0" w:name="OLE_LINK2"/>
      <w:bookmarkStart w:id="1" w:name="OLE_LINK1"/>
      <w:bookmarkEnd w:id="0"/>
      <w:bookmarkEnd w:id="1"/>
    </w:p>
    <w:p w14:paraId="1333B3D4" w14:textId="4B1FD763" w:rsidR="00716F84" w:rsidRPr="005A7D88" w:rsidRDefault="00716F84" w:rsidP="00716F84">
      <w:pPr>
        <w:pStyle w:val="SingleTxtG"/>
      </w:pPr>
      <w:r w:rsidRPr="005A7D88">
        <w:t>1.</w:t>
      </w:r>
      <w:r w:rsidRPr="005A7D88">
        <w:tab/>
        <w:t xml:space="preserve">Non-self-contained refrigeration units operated by mechanical vapour compression are driven by an external source of energy </w:t>
      </w:r>
      <w:r w:rsidR="001D213A">
        <w:t>–</w:t>
      </w:r>
      <w:r w:rsidRPr="005A7D88">
        <w:t xml:space="preserve"> electrical or mechanical </w:t>
      </w:r>
      <w:r w:rsidR="001D213A">
        <w:t>–</w:t>
      </w:r>
      <w:r w:rsidRPr="005A7D88">
        <w:t xml:space="preserve"> resulting from an energy conversion with an internal combustion engine operating.</w:t>
      </w:r>
    </w:p>
    <w:p w14:paraId="41868FD3" w14:textId="77777777" w:rsidR="00716F84" w:rsidRPr="005A7D88" w:rsidRDefault="00716F84" w:rsidP="00716F84">
      <w:pPr>
        <w:pStyle w:val="SingleTxtG"/>
      </w:pPr>
      <w:r w:rsidRPr="005A7D88">
        <w:t>2.</w:t>
      </w:r>
      <w:r w:rsidRPr="005A7D88">
        <w:tab/>
        <w:t>Self-contained compression units have an indirect, finite source of energy traditionally represented by the contents of the tank of fossil fuel to which they are connected. The tank is not part of the self-contained thermal unit but actually comprises a variable external component and is tested by the official testing station.</w:t>
      </w:r>
    </w:p>
    <w:p w14:paraId="62487A40" w14:textId="77777777" w:rsidR="00716F84" w:rsidRPr="005A7D88" w:rsidRDefault="00716F84" w:rsidP="00716F84">
      <w:pPr>
        <w:pStyle w:val="SingleTxtG"/>
      </w:pPr>
      <w:r w:rsidRPr="005A7D88">
        <w:t>3.</w:t>
      </w:r>
      <w:r w:rsidRPr="005A7D88">
        <w:tab/>
        <w:t>In both cases, the refrigeration process depends on tank capacity, the difference being whether the vehicle engine needs to be running or not.</w:t>
      </w:r>
    </w:p>
    <w:p w14:paraId="1186D8F9" w14:textId="77777777" w:rsidR="00716F84" w:rsidRPr="005A7D88" w:rsidRDefault="00716F84" w:rsidP="00716F84">
      <w:pPr>
        <w:pStyle w:val="SingleTxtG"/>
      </w:pPr>
      <w:r w:rsidRPr="005A7D88">
        <w:t>4.</w:t>
      </w:r>
      <w:r w:rsidRPr="005A7D88">
        <w:tab/>
        <w:t xml:space="preserve">It is now no longer possible for ATP to ignore the pressure from new technologies, and in particular equipment powered by electric storage batteries, dedicated or otherwise. Such batteries can even be charged while the vehicle engine is running and the refrigeration equipment is operating. There is no denying that electric storage batteries make for greater </w:t>
      </w:r>
      <w:r w:rsidRPr="005A7D88">
        <w:lastRenderedPageBreak/>
        <w:t>independence, but how are we to classify equipment of this kind, powered by mixed energy sources, which lies somewhere between the two traditional types of equipment that have shaped ATP? It is thus proposed that such equipment be called “hybrid equipment”.</w:t>
      </w:r>
    </w:p>
    <w:p w14:paraId="7D3E7543" w14:textId="77777777" w:rsidR="00716F84" w:rsidRPr="005A7D88" w:rsidRDefault="00716F84" w:rsidP="00716F84">
      <w:pPr>
        <w:pStyle w:val="SingleTxtG"/>
      </w:pPr>
      <w:r w:rsidRPr="005A7D88">
        <w:t>5.</w:t>
      </w:r>
      <w:r w:rsidRPr="005A7D88">
        <w:tab/>
        <w:t>The fact is that it is difficult to discuss the degree of independence of a refrigeration unit without considering the equipment where it is to be fitted, how it is to be used and the vehicle that is to carry the whole arrangement.</w:t>
      </w:r>
    </w:p>
    <w:p w14:paraId="60257D01" w14:textId="30510608" w:rsidR="00716F84" w:rsidRPr="005A7D88" w:rsidRDefault="00716F84" w:rsidP="00F76169">
      <w:pPr>
        <w:pStyle w:val="HChG"/>
      </w:pPr>
      <w:r w:rsidRPr="005A7D88">
        <w:tab/>
        <w:t>I.</w:t>
      </w:r>
      <w:r w:rsidRPr="005A7D88">
        <w:tab/>
        <w:t>Proposal</w:t>
      </w:r>
    </w:p>
    <w:p w14:paraId="19397E56" w14:textId="77777777" w:rsidR="00716F84" w:rsidRPr="005A7D88" w:rsidRDefault="00716F84" w:rsidP="00716F84">
      <w:pPr>
        <w:pStyle w:val="SingleTxtG"/>
      </w:pPr>
      <w:r w:rsidRPr="005A7D88">
        <w:t>6.</w:t>
      </w:r>
      <w:r w:rsidRPr="005A7D88">
        <w:tab/>
        <w:t>Definition of the independence of equipment:</w:t>
      </w:r>
    </w:p>
    <w:p w14:paraId="4DB05D18" w14:textId="77777777" w:rsidR="00716F84" w:rsidRPr="005A7D88" w:rsidRDefault="00716F84" w:rsidP="00716F84">
      <w:pPr>
        <w:pStyle w:val="SingleTxtG"/>
      </w:pPr>
      <w:r w:rsidRPr="005A7D88">
        <w:t>Equipment is independent when its refrigeration source operates independently of the operation of the vehicle and the duration of operation is independent of the vehicle, such that the equipment can be considered self-contained.</w:t>
      </w:r>
      <w:bookmarkStart w:id="2" w:name="_Hlk30687072"/>
      <w:bookmarkEnd w:id="2"/>
    </w:p>
    <w:p w14:paraId="01F02FE0" w14:textId="23392ACA" w:rsidR="00716F84" w:rsidRPr="00C80AF3" w:rsidRDefault="00316D77" w:rsidP="00716F84">
      <w:pPr>
        <w:pStyle w:val="SingleTxtG"/>
        <w:rPr>
          <w:b/>
          <w:bCs/>
        </w:rPr>
      </w:pPr>
      <w:r>
        <w:rPr>
          <w:b/>
          <w:bCs/>
        </w:rPr>
        <w:t>“</w:t>
      </w:r>
      <w:r w:rsidR="00716F84" w:rsidRPr="00C80AF3">
        <w:rPr>
          <w:b/>
          <w:bCs/>
        </w:rPr>
        <w:t>Equipment is self-contained if:</w:t>
      </w:r>
    </w:p>
    <w:p w14:paraId="766942CB" w14:textId="77777777" w:rsidR="00716F84" w:rsidRPr="00C80AF3" w:rsidRDefault="00716F84" w:rsidP="00716F84">
      <w:pPr>
        <w:pStyle w:val="SingleTxtG"/>
        <w:rPr>
          <w:b/>
          <w:bCs/>
        </w:rPr>
      </w:pPr>
      <w:r w:rsidRPr="00C80AF3">
        <w:rPr>
          <w:b/>
          <w:bCs/>
        </w:rPr>
        <w:t xml:space="preserve">Case 1 </w:t>
      </w:r>
    </w:p>
    <w:p w14:paraId="3F345C36" w14:textId="552C9462" w:rsidR="00716F84" w:rsidRPr="005A7D88" w:rsidRDefault="00716F84" w:rsidP="00C80AF3">
      <w:pPr>
        <w:pStyle w:val="Bullet1G"/>
      </w:pPr>
      <w:r w:rsidRPr="005A7D88">
        <w:t>The charge time for the energy reservoir is deemed negligible,</w:t>
      </w:r>
    </w:p>
    <w:p w14:paraId="56C254C3" w14:textId="3EF82263" w:rsidR="00716F84" w:rsidRPr="005A7D88" w:rsidRDefault="00716F84" w:rsidP="00C80AF3">
      <w:pPr>
        <w:pStyle w:val="Bullet1G"/>
      </w:pPr>
      <w:r w:rsidRPr="005A7D88">
        <w:t>The refrigeration or heating process relies on an energy source that:</w:t>
      </w:r>
    </w:p>
    <w:p w14:paraId="783AB22D" w14:textId="7B60B075" w:rsidR="00716F84" w:rsidRPr="005A7D88" w:rsidRDefault="00716F84" w:rsidP="00C80AF3">
      <w:pPr>
        <w:pStyle w:val="Bullet2G"/>
      </w:pPr>
      <w:r w:rsidRPr="005A7D88">
        <w:t>Is always available</w:t>
      </w:r>
    </w:p>
    <w:p w14:paraId="7ED2536B" w14:textId="0F661CC7" w:rsidR="00716F84" w:rsidRPr="005A7D88" w:rsidRDefault="00716F84" w:rsidP="00C80AF3">
      <w:pPr>
        <w:pStyle w:val="Bullet2G"/>
      </w:pPr>
      <w:r w:rsidRPr="005A7D88">
        <w:t>Cannot be interrupted, except where essential for the safety of property or persons</w:t>
      </w:r>
    </w:p>
    <w:p w14:paraId="65D71F70" w14:textId="66F19767" w:rsidR="00716F84" w:rsidRPr="005A7D88" w:rsidRDefault="00716F84" w:rsidP="00C80AF3">
      <w:pPr>
        <w:pStyle w:val="Bullet2G"/>
      </w:pPr>
      <w:r w:rsidRPr="005A7D88">
        <w:t>Is not shared, except for fuel used in internal combustion engines</w:t>
      </w:r>
    </w:p>
    <w:p w14:paraId="08DDF75D" w14:textId="30A94EF3" w:rsidR="00716F84" w:rsidRPr="005A7D88" w:rsidRDefault="00716F84" w:rsidP="00C80AF3">
      <w:pPr>
        <w:pStyle w:val="Bullet1G"/>
      </w:pPr>
      <w:r w:rsidRPr="005A7D88">
        <w:t>The refrigeration or heating process can run for 12 hours without recharging of the power source, in accordance with the class temperature of the equipment.</w:t>
      </w:r>
    </w:p>
    <w:p w14:paraId="46675EEF" w14:textId="77777777" w:rsidR="00716F84" w:rsidRPr="005A7D88" w:rsidRDefault="00716F84" w:rsidP="00C80AF3">
      <w:pPr>
        <w:pStyle w:val="SingleTxtG"/>
      </w:pPr>
      <w:r w:rsidRPr="005A7D88">
        <w:t xml:space="preserve">The equipment must satisfy the following requirement: </w:t>
      </w:r>
    </w:p>
    <w:p w14:paraId="06B1E0DA" w14:textId="77777777" w:rsidR="00716F84" w:rsidRPr="005A7D88" w:rsidRDefault="00090B6E" w:rsidP="00716F84">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num>
            <m:den>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P</m:t>
                      </m:r>
                    </m:e>
                    <m:sub>
                      <m:r>
                        <w:rPr>
                          <w:rFonts w:ascii="Cambria Math" w:hAnsi="Cambria Math"/>
                        </w:rPr>
                        <m:t>nominal</m:t>
                      </m:r>
                    </m:sub>
                  </m:sSub>
                </m:sub>
              </m:sSub>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nominal</m:t>
                  </m:r>
                </m:sub>
              </m:sSub>
            </m:num>
            <m:den>
              <m:r>
                <m:rPr>
                  <m:sty m:val="p"/>
                </m:rPr>
                <w:rPr>
                  <w:rFonts w:ascii="Cambria Math" w:hAnsi="Cambria Math"/>
                </w:rPr>
                <m:t xml:space="preserve">3600* 1,75* </m:t>
              </m:r>
              <m:sSub>
                <m:sSubPr>
                  <m:ctrlPr>
                    <w:rPr>
                      <w:rFonts w:ascii="Cambria Math" w:hAnsi="Cambria Math"/>
                    </w:rPr>
                  </m:ctrlPr>
                </m:sSubPr>
                <m:e>
                  <m:r>
                    <w:rPr>
                      <w:rFonts w:ascii="Cambria Math" w:hAnsi="Cambria Math"/>
                    </w:rPr>
                    <m:t>K</m:t>
                  </m:r>
                </m:e>
                <m:sub>
                  <m:r>
                    <w:rPr>
                      <w:rFonts w:ascii="Cambria Math" w:hAnsi="Cambria Math"/>
                    </w:rPr>
                    <m:t>body</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body</m:t>
                  </m:r>
                </m:sub>
              </m:sSub>
              <m:r>
                <m:rPr>
                  <m:sty m:val="p"/>
                </m:rPr>
                <w:rPr>
                  <w:rFonts w:ascii="Cambria Math" w:hAnsi="Cambria Math"/>
                </w:rPr>
                <m:t>* ∆</m:t>
              </m:r>
              <m:r>
                <w:rPr>
                  <w:rFonts w:ascii="Cambria Math" w:hAnsi="Cambria Math"/>
                </w:rPr>
                <m:t>T</m:t>
              </m:r>
            </m:den>
          </m:f>
          <m:r>
            <m:rPr>
              <m:sty m:val="p"/>
            </m:rPr>
            <w:rPr>
              <w:rFonts w:ascii="Cambria Math" w:hAnsi="Cambria Math"/>
            </w:rPr>
            <m:t>≥ 12</m:t>
          </m:r>
        </m:oMath>
      </m:oMathPara>
    </w:p>
    <w:p w14:paraId="710BBF7E" w14:textId="77777777" w:rsidR="00716F84" w:rsidRPr="005A7D88" w:rsidRDefault="00716F84" w:rsidP="00C80AF3">
      <w:pPr>
        <w:pStyle w:val="SingleTxtG"/>
      </w:pPr>
      <w:r w:rsidRPr="005A7D88">
        <w:t xml:space="preserve">Where: </w:t>
      </w:r>
    </w:p>
    <w:p w14:paraId="6ABE3CBB" w14:textId="77777777" w:rsidR="00716F84" w:rsidRPr="005A7D88" w:rsidRDefault="00716F84" w:rsidP="00C80AF3">
      <w:pPr>
        <w:pStyle w:val="SingleTxtG"/>
      </w:pPr>
      <w:proofErr w:type="spellStart"/>
      <w:r w:rsidRPr="005A7D88">
        <w:t>E</w:t>
      </w:r>
      <w:r w:rsidRPr="00874E98">
        <w:rPr>
          <w:vertAlign w:val="subscript"/>
        </w:rPr>
        <w:t>nominal.tank</w:t>
      </w:r>
      <w:proofErr w:type="spellEnd"/>
      <w:r w:rsidRPr="005A7D88">
        <w:t xml:space="preserve"> is the maximum energy that can normally be stored in the energy source [</w:t>
      </w:r>
      <w:proofErr w:type="spellStart"/>
      <w:r w:rsidRPr="005A7D88">
        <w:t>Wh</w:t>
      </w:r>
      <w:proofErr w:type="spellEnd"/>
      <w:r w:rsidRPr="005A7D88">
        <w:t>] or unit [X];</w:t>
      </w:r>
    </w:p>
    <w:p w14:paraId="1F2CCACC" w14:textId="77777777" w:rsidR="00716F84" w:rsidRPr="005A7D88" w:rsidRDefault="00716F84" w:rsidP="00C80AF3">
      <w:pPr>
        <w:pStyle w:val="SingleTxtG"/>
      </w:pPr>
      <w:proofErr w:type="spellStart"/>
      <w:r w:rsidRPr="005A7D88">
        <w:t>Q</w:t>
      </w:r>
      <w:r w:rsidRPr="00874E98">
        <w:rPr>
          <w:vertAlign w:val="subscript"/>
        </w:rPr>
        <w:t>Pnominal</w:t>
      </w:r>
      <w:proofErr w:type="spellEnd"/>
      <w:r w:rsidRPr="005A7D88">
        <w:t xml:space="preserve"> is the energy flow rate extracted by the cooling or heating system operating at full power [</w:t>
      </w:r>
      <w:proofErr w:type="spellStart"/>
      <w:r w:rsidRPr="005A7D88">
        <w:t>Wh</w:t>
      </w:r>
      <w:proofErr w:type="spellEnd"/>
      <w:r w:rsidRPr="005A7D88">
        <w:t>/s] or [X/s];</w:t>
      </w:r>
    </w:p>
    <w:p w14:paraId="146CA710" w14:textId="77777777" w:rsidR="00716F84" w:rsidRPr="005A7D88" w:rsidRDefault="00716F84" w:rsidP="00C80AF3">
      <w:pPr>
        <w:pStyle w:val="SingleTxtG"/>
      </w:pPr>
      <w:proofErr w:type="spellStart"/>
      <w:r w:rsidRPr="005A7D88">
        <w:t>K</w:t>
      </w:r>
      <w:r w:rsidRPr="00874E98">
        <w:rPr>
          <w:vertAlign w:val="subscript"/>
        </w:rPr>
        <w:t>body</w:t>
      </w:r>
      <w:proofErr w:type="spellEnd"/>
      <w:r w:rsidRPr="005A7D88">
        <w:t xml:space="preserve"> is the K value of the outer body [W/(m².K)];</w:t>
      </w:r>
    </w:p>
    <w:p w14:paraId="2751D812" w14:textId="77777777" w:rsidR="00716F84" w:rsidRPr="005A7D88" w:rsidRDefault="00716F84" w:rsidP="00C80AF3">
      <w:pPr>
        <w:pStyle w:val="SingleTxtG"/>
      </w:pPr>
      <w:proofErr w:type="spellStart"/>
      <w:r w:rsidRPr="005A7D88">
        <w:t>S</w:t>
      </w:r>
      <w:r w:rsidRPr="00874E98">
        <w:rPr>
          <w:vertAlign w:val="subscript"/>
        </w:rPr>
        <w:t>body</w:t>
      </w:r>
      <w:proofErr w:type="spellEnd"/>
      <w:r w:rsidRPr="005A7D88">
        <w:t xml:space="preserve"> is the geometric mean of the surface area of the body [m²];</w:t>
      </w:r>
    </w:p>
    <w:p w14:paraId="09DAFA6B" w14:textId="77777777" w:rsidR="00716F84" w:rsidRPr="005A7D88" w:rsidRDefault="00716F84" w:rsidP="00C80AF3">
      <w:pPr>
        <w:pStyle w:val="SingleTxtG"/>
      </w:pPr>
      <w:r w:rsidRPr="005A7D88">
        <w:t>ΔT is the temperature difference between the outside and inside of the body in mono-temperature operation [K];</w:t>
      </w:r>
    </w:p>
    <w:p w14:paraId="30C5801D" w14:textId="77777777" w:rsidR="00716F84" w:rsidRPr="005A7D88" w:rsidRDefault="00716F84" w:rsidP="00C80AF3">
      <w:pPr>
        <w:pStyle w:val="SingleTxtG"/>
      </w:pPr>
      <w:proofErr w:type="spellStart"/>
      <w:r w:rsidRPr="005A7D88">
        <w:t>P</w:t>
      </w:r>
      <w:r w:rsidRPr="00874E98">
        <w:rPr>
          <w:vertAlign w:val="subscript"/>
        </w:rPr>
        <w:t>nominal</w:t>
      </w:r>
      <w:proofErr w:type="spellEnd"/>
      <w:r w:rsidRPr="005A7D88">
        <w:t xml:space="preserve"> is the nominal refrigerating capacity of the refrigeration unit [W];</w:t>
      </w:r>
    </w:p>
    <w:p w14:paraId="142D6E88" w14:textId="77777777" w:rsidR="00716F84" w:rsidRPr="005A7D88" w:rsidRDefault="00716F84" w:rsidP="00E20BC2">
      <w:pPr>
        <w:pStyle w:val="SingleTxtG"/>
        <w:keepNext/>
        <w:keepLines/>
      </w:pPr>
      <w:r w:rsidRPr="005A7D88">
        <w:lastRenderedPageBreak/>
        <w:t>Entry in the ATP Handbook:</w:t>
      </w:r>
    </w:p>
    <w:p w14:paraId="2DF604D0" w14:textId="77777777" w:rsidR="00716F84" w:rsidRPr="005A7D88" w:rsidRDefault="00716F84" w:rsidP="00E20BC2">
      <w:pPr>
        <w:jc w:val="center"/>
      </w:pPr>
      <w:r w:rsidRPr="005A7D88">
        <w:rPr>
          <w:noProof/>
        </w:rPr>
        <w:drawing>
          <wp:inline distT="0" distB="0" distL="0" distR="0" wp14:anchorId="397F8CA9" wp14:editId="6D43FDB1">
            <wp:extent cx="4809960" cy="3589200"/>
            <wp:effectExtent l="0" t="0" r="0" b="0"/>
            <wp:docPr id="3"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809960" cy="3589200"/>
                    </a:xfrm>
                    <a:prstGeom prst="rect">
                      <a:avLst/>
                    </a:prstGeom>
                    <a:ln>
                      <a:noFill/>
                      <a:prstDash/>
                    </a:ln>
                  </pic:spPr>
                </pic:pic>
              </a:graphicData>
            </a:graphic>
          </wp:inline>
        </w:drawing>
      </w:r>
    </w:p>
    <w:p w14:paraId="52237C3F" w14:textId="77777777" w:rsidR="00716F84" w:rsidRPr="005A7D88" w:rsidRDefault="00716F84" w:rsidP="00E20BC2">
      <w:pPr>
        <w:pStyle w:val="SingleTxtG"/>
      </w:pPr>
      <w:r w:rsidRPr="005A7D88">
        <w:t>Negligible recharging time is deemed to be any operation lasting less than 20 minutes that allows for the recharging of the energy reservoir to its maximum, starting with no more than one quarter of its nominal capacity.</w:t>
      </w:r>
    </w:p>
    <w:p w14:paraId="3662712D" w14:textId="77777777" w:rsidR="00716F84" w:rsidRPr="005A7D88" w:rsidRDefault="00716F84" w:rsidP="00E20BC2">
      <w:pPr>
        <w:pStyle w:val="SingleTxtG"/>
      </w:pPr>
      <w:r w:rsidRPr="005A7D88">
        <w:t>The equipment must satisfy the following requirement:</w:t>
      </w:r>
    </w:p>
    <w:p w14:paraId="799CA196" w14:textId="77777777" w:rsidR="00716F84" w:rsidRPr="005A7D88" w:rsidRDefault="00090B6E" w:rsidP="001F00D8">
      <w:pPr>
        <w:pStyle w:val="SingleTxtG"/>
      </w:pPr>
      <m:oMathPara>
        <m:oMathParaPr>
          <m:jc m:val="center"/>
        </m:oMathParaPr>
        <m:oMath>
          <m:sSub>
            <m:sSubPr>
              <m:ctrlPr>
                <w:rPr>
                  <w:rFonts w:ascii="Cambria Math" w:hAnsi="Cambria Math"/>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tank</m:t>
              </m:r>
              <m:r>
                <m:rPr>
                  <m:sty m:val="p"/>
                </m:rPr>
                <w:rPr>
                  <w:rFonts w:ascii="Cambria Math" w:hAnsi="Cambria Math"/>
                </w:rPr>
                <m:t xml:space="preserve">,  </m:t>
              </m:r>
              <m:r>
                <w:rPr>
                  <w:rFonts w:ascii="Cambria Math" w:hAnsi="Cambria Math"/>
                </w:rPr>
                <m:t>t</m:t>
              </m:r>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oMath>
      </m:oMathPara>
    </w:p>
    <w:p w14:paraId="08EFFA52" w14:textId="77777777" w:rsidR="00716F84" w:rsidRPr="005A7D88" w:rsidRDefault="00090B6E" w:rsidP="001F00D8">
      <w:pPr>
        <w:pStyle w:val="SingleTxtG"/>
      </w:pPr>
      <m:oMathPara>
        <m:oMathParaPr>
          <m:jc m:val="center"/>
        </m:oMathParaP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tank</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r>
            <m:rPr>
              <m:sty m:val="p"/>
            </m:rPr>
            <w:rPr>
              <w:rFonts w:ascii="Cambria Math" w:hAnsi="Cambria Math"/>
            </w:rPr>
            <m:t xml:space="preserve"> </m:t>
          </m:r>
        </m:oMath>
      </m:oMathPara>
    </w:p>
    <w:p w14:paraId="7962D4F5" w14:textId="070B74B8" w:rsidR="00716F84" w:rsidRPr="0066502A" w:rsidRDefault="00716F84" w:rsidP="00AD1FD9">
      <w:pPr>
        <w:pStyle w:val="SingleTxtG"/>
        <w:tabs>
          <w:tab w:val="left" w:pos="3544"/>
        </w:tabs>
        <w:jc w:val="center"/>
        <w:rPr>
          <w:i/>
          <w:iCs/>
        </w:rPr>
      </w:pPr>
      <w:r w:rsidRPr="0066502A">
        <w:rPr>
          <w:i/>
          <w:iCs/>
        </w:rPr>
        <w:t>Δ</w:t>
      </w:r>
      <w:r w:rsidRPr="0066502A">
        <w:rPr>
          <w:rFonts w:ascii="Cambria Math" w:hAnsi="Cambria Math" w:cs="Cambria Math"/>
          <w:i/>
          <w:iCs/>
        </w:rPr>
        <w:t>𝑡</w:t>
      </w:r>
      <w:r w:rsidRPr="0066502A">
        <w:rPr>
          <w:i/>
          <w:iCs/>
        </w:rPr>
        <w:t xml:space="preserve">= </w:t>
      </w:r>
      <w:r w:rsidRPr="0066502A">
        <w:rPr>
          <w:rFonts w:ascii="Cambria Math" w:hAnsi="Cambria Math" w:cs="Cambria Math"/>
          <w:i/>
          <w:iCs/>
        </w:rPr>
        <w:t>𝑡</w:t>
      </w:r>
      <w:r w:rsidRPr="0066502A">
        <w:rPr>
          <w:i/>
          <w:iCs/>
        </w:rPr>
        <w:t>1-</w:t>
      </w:r>
      <w:r w:rsidRPr="0066502A">
        <w:rPr>
          <w:rFonts w:ascii="Cambria Math" w:hAnsi="Cambria Math" w:cs="Cambria Math"/>
          <w:i/>
          <w:iCs/>
        </w:rPr>
        <w:t>𝑡</w:t>
      </w:r>
      <w:r w:rsidRPr="0066502A">
        <w:rPr>
          <w:i/>
          <w:iCs/>
        </w:rPr>
        <w:t>0&lt;20</w:t>
      </w:r>
    </w:p>
    <w:p w14:paraId="5F90AB8B" w14:textId="1E52F6F0" w:rsidR="00716F84" w:rsidRPr="005A7D88" w:rsidRDefault="00716F84" w:rsidP="00255F25">
      <w:pPr>
        <w:pStyle w:val="SingleTxtG"/>
      </w:pPr>
      <w:r w:rsidRPr="005A7D88">
        <w:t>Where:</w:t>
      </w:r>
    </w:p>
    <w:p w14:paraId="4C11ED1B" w14:textId="77777777" w:rsidR="00716F84" w:rsidRPr="005A7D88" w:rsidRDefault="00716F84" w:rsidP="00255F25">
      <w:pPr>
        <w:pStyle w:val="SingleTxtG"/>
      </w:pPr>
      <w:proofErr w:type="spellStart"/>
      <w:r w:rsidRPr="00255F25">
        <w:rPr>
          <w:i/>
          <w:iCs/>
        </w:rPr>
        <w:t>E</w:t>
      </w:r>
      <w:r w:rsidRPr="00255F25">
        <w:rPr>
          <w:vertAlign w:val="subscript"/>
        </w:rPr>
        <w:t>nominal.tank</w:t>
      </w:r>
      <w:proofErr w:type="spellEnd"/>
      <w:r w:rsidRPr="005A7D88">
        <w:t xml:space="preserve"> is the maximum energy that can normally be stored in the energy source [</w:t>
      </w:r>
      <w:proofErr w:type="spellStart"/>
      <w:r w:rsidRPr="005A7D88">
        <w:t>Wh</w:t>
      </w:r>
      <w:proofErr w:type="spellEnd"/>
      <w:r w:rsidRPr="005A7D88">
        <w:t>] or unit [X];</w:t>
      </w:r>
    </w:p>
    <w:p w14:paraId="66C1F714" w14:textId="6621E4A7" w:rsidR="00716F84" w:rsidRPr="005A7D88" w:rsidRDefault="00716F84" w:rsidP="00255F25">
      <w:pPr>
        <w:pStyle w:val="SingleTxtG"/>
      </w:pPr>
      <w:r w:rsidRPr="00255F25">
        <w:rPr>
          <w:i/>
          <w:iCs/>
        </w:rPr>
        <w:t>t</w:t>
      </w:r>
      <w:r w:rsidRPr="005A7D88">
        <w:t xml:space="preserve">0 and </w:t>
      </w:r>
      <w:r w:rsidRPr="009F0816">
        <w:rPr>
          <w:i/>
          <w:iCs/>
        </w:rPr>
        <w:t>t</w:t>
      </w:r>
      <w:r w:rsidRPr="005A7D88">
        <w:t>1 represent, respectively, the start and end times for recharging the energy source [</w:t>
      </w:r>
      <w:proofErr w:type="spellStart"/>
      <w:r w:rsidRPr="005A7D88">
        <w:t>mn</w:t>
      </w:r>
      <w:proofErr w:type="spellEnd"/>
      <w:r w:rsidRPr="005A7D88">
        <w:t>];</w:t>
      </w:r>
    </w:p>
    <w:p w14:paraId="3A30A50A" w14:textId="77777777" w:rsidR="00716F84" w:rsidRPr="005A7D88" w:rsidRDefault="00716F84" w:rsidP="00255F25">
      <w:pPr>
        <w:pStyle w:val="SingleTxtG"/>
      </w:pPr>
      <w:proofErr w:type="spellStart"/>
      <w:r w:rsidRPr="00255F25">
        <w:rPr>
          <w:i/>
          <w:iCs/>
        </w:rPr>
        <w:t>E</w:t>
      </w:r>
      <w:r w:rsidRPr="009F0816">
        <w:rPr>
          <w:vertAlign w:val="subscript"/>
        </w:rPr>
        <w:t>tank</w:t>
      </w:r>
      <w:proofErr w:type="spellEnd"/>
      <w:r w:rsidRPr="005A7D88">
        <w:t xml:space="preserve">, </w:t>
      </w:r>
      <w:proofErr w:type="spellStart"/>
      <w:r w:rsidRPr="009F0816">
        <w:rPr>
          <w:i/>
          <w:iCs/>
        </w:rPr>
        <w:t>tx</w:t>
      </w:r>
      <w:proofErr w:type="spellEnd"/>
      <w:r w:rsidRPr="005A7D88">
        <w:t xml:space="preserve"> is the energy actually stored in the energy source at time </w:t>
      </w:r>
      <w:proofErr w:type="spellStart"/>
      <w:r w:rsidRPr="009F0816">
        <w:rPr>
          <w:i/>
          <w:iCs/>
        </w:rPr>
        <w:t>tx</w:t>
      </w:r>
      <w:proofErr w:type="spellEnd"/>
      <w:r w:rsidRPr="005A7D88">
        <w:t xml:space="preserve"> [</w:t>
      </w:r>
      <w:proofErr w:type="spellStart"/>
      <w:r w:rsidRPr="005A7D88">
        <w:t>Wh</w:t>
      </w:r>
      <w:proofErr w:type="spellEnd"/>
      <w:r w:rsidRPr="005A7D88">
        <w:t>] or unit [X];</w:t>
      </w:r>
    </w:p>
    <w:p w14:paraId="77384440" w14:textId="77777777" w:rsidR="00716F84" w:rsidRPr="005A7D88" w:rsidRDefault="00716F84" w:rsidP="00255F25">
      <w:pPr>
        <w:pStyle w:val="SingleTxtG"/>
      </w:pPr>
      <w:proofErr w:type="spellStart"/>
      <w:r w:rsidRPr="005A7D88">
        <w:t>Δ</w:t>
      </w:r>
      <w:r w:rsidRPr="009F0816">
        <w:rPr>
          <w:i/>
          <w:iCs/>
        </w:rPr>
        <w:t>t</w:t>
      </w:r>
      <w:proofErr w:type="spellEnd"/>
      <w:r w:rsidRPr="005A7D88">
        <w:t xml:space="preserve"> is the charging time of the energy source [</w:t>
      </w:r>
      <w:proofErr w:type="spellStart"/>
      <w:r w:rsidRPr="005A7D88">
        <w:t>mn</w:t>
      </w:r>
      <w:proofErr w:type="spellEnd"/>
      <w:r w:rsidRPr="005A7D88">
        <w:t>];</w:t>
      </w:r>
    </w:p>
    <w:p w14:paraId="449F405D" w14:textId="77777777" w:rsidR="00716F84" w:rsidRPr="009F0816" w:rsidRDefault="00716F84" w:rsidP="00255F25">
      <w:pPr>
        <w:pStyle w:val="SingleTxtG"/>
        <w:rPr>
          <w:b/>
          <w:bCs/>
        </w:rPr>
      </w:pPr>
      <w:r w:rsidRPr="009F0816">
        <w:rPr>
          <w:b/>
          <w:bCs/>
        </w:rPr>
        <w:t>Case 2</w:t>
      </w:r>
    </w:p>
    <w:p w14:paraId="2C750607" w14:textId="6D4000C9" w:rsidR="00716F84" w:rsidRPr="005A7D88" w:rsidRDefault="00716F84" w:rsidP="009F0816">
      <w:pPr>
        <w:pStyle w:val="Bullet1G"/>
      </w:pPr>
      <w:r w:rsidRPr="005A7D88">
        <w:t>Refrigeration or heating relies on an energy source that is permanently available, not shared and not interruptible;</w:t>
      </w:r>
    </w:p>
    <w:p w14:paraId="20751702" w14:textId="67C1DDA4" w:rsidR="00716F84" w:rsidRPr="005A7D88" w:rsidRDefault="00716F84" w:rsidP="009F0816">
      <w:pPr>
        <w:pStyle w:val="Bullet1G"/>
      </w:pPr>
      <w:r w:rsidRPr="005A7D88">
        <w:t>Refrigeration or heating can maintain the class temperature of the equipment without recharging of the power source for at least 12 hours. To be tested in accordance with annex 1, appendix 2, section 3 of ATP.</w:t>
      </w:r>
    </w:p>
    <w:p w14:paraId="470060BF" w14:textId="77777777" w:rsidR="00716F84" w:rsidRPr="009F0816" w:rsidRDefault="00716F84" w:rsidP="009F0816">
      <w:pPr>
        <w:pStyle w:val="SingleTxtG"/>
        <w:rPr>
          <w:b/>
          <w:bCs/>
        </w:rPr>
      </w:pPr>
      <w:r w:rsidRPr="009F0816">
        <w:rPr>
          <w:b/>
          <w:bCs/>
        </w:rPr>
        <w:t>Equipment is hybrid if:</w:t>
      </w:r>
    </w:p>
    <w:p w14:paraId="748C61FD" w14:textId="22B01260" w:rsidR="00716F84" w:rsidRPr="005A7D88" w:rsidRDefault="00716F84" w:rsidP="004905C5">
      <w:pPr>
        <w:pStyle w:val="Bullet1G"/>
      </w:pPr>
      <w:r w:rsidRPr="005A7D88">
        <w:t>The charge time for the energy reservoir is deemed negligible,</w:t>
      </w:r>
    </w:p>
    <w:p w14:paraId="4898289C" w14:textId="26047196" w:rsidR="00716F84" w:rsidRPr="005A7D88" w:rsidRDefault="00716F84" w:rsidP="004905C5">
      <w:pPr>
        <w:pStyle w:val="Bullet1G"/>
      </w:pPr>
      <w:r w:rsidRPr="005A7D88">
        <w:t>The refrigeration or heating process is dependent for energy on at least two energy sources, at least one of which:</w:t>
      </w:r>
    </w:p>
    <w:p w14:paraId="105AD2B3" w14:textId="2270ECA9" w:rsidR="00716F84" w:rsidRPr="005A7D88" w:rsidRDefault="00716F84" w:rsidP="004905C5">
      <w:pPr>
        <w:pStyle w:val="Bullet2G"/>
      </w:pPr>
      <w:r w:rsidRPr="005A7D88">
        <w:t>Is always available</w:t>
      </w:r>
    </w:p>
    <w:p w14:paraId="0751D155" w14:textId="1C96565B" w:rsidR="00716F84" w:rsidRPr="005A7D88" w:rsidRDefault="00716F84" w:rsidP="004905C5">
      <w:pPr>
        <w:pStyle w:val="Bullet2G"/>
      </w:pPr>
      <w:r w:rsidRPr="005A7D88">
        <w:lastRenderedPageBreak/>
        <w:t>Cannot be interrupted except where essential for the safety of property or persons</w:t>
      </w:r>
    </w:p>
    <w:p w14:paraId="68D8551C" w14:textId="4E7B99A1" w:rsidR="00716F84" w:rsidRPr="005A7D88" w:rsidRDefault="00716F84" w:rsidP="004905C5">
      <w:pPr>
        <w:pStyle w:val="Bullet1G"/>
      </w:pPr>
      <w:r w:rsidRPr="005A7D88">
        <w:tab/>
        <w:t>The refrigeration or heating process can run for four hours at full power with its energy source at its weakest capacity without requiring the recharging of the power source, in compliance with the class temperature of the equipment.</w:t>
      </w:r>
    </w:p>
    <w:p w14:paraId="4E460BF5" w14:textId="77777777" w:rsidR="00716F84" w:rsidRPr="005A7D88" w:rsidRDefault="00716F84" w:rsidP="009F0816">
      <w:pPr>
        <w:pStyle w:val="SingleTxtG"/>
      </w:pPr>
      <w:r w:rsidRPr="005A7D88">
        <w:t xml:space="preserve">The equipment must satisfy the following requirement: </w:t>
      </w:r>
    </w:p>
    <w:p w14:paraId="70458859" w14:textId="77777777" w:rsidR="00716F84" w:rsidRPr="005A7D88" w:rsidRDefault="00090B6E" w:rsidP="001F00D8">
      <w:pPr>
        <w:pStyle w:val="SingleTxtG"/>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small</m:t>
                  </m:r>
                  <m:r>
                    <m:rPr>
                      <m:sty m:val="p"/>
                    </m:rPr>
                    <w:rPr>
                      <w:rFonts w:ascii="Cambria Math" w:hAnsi="Cambria Math"/>
                    </w:rPr>
                    <m:t xml:space="preserve"> </m:t>
                  </m:r>
                  <m:r>
                    <w:rPr>
                      <w:rFonts w:ascii="Cambria Math" w:hAnsi="Cambria Math"/>
                    </w:rPr>
                    <m:t>tank</m:t>
                  </m:r>
                </m:sub>
              </m:sSub>
            </m:num>
            <m:den>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P</m:t>
                      </m:r>
                    </m:e>
                    <m:sub>
                      <m:r>
                        <w:rPr>
                          <w:rFonts w:ascii="Cambria Math" w:hAnsi="Cambria Math"/>
                        </w:rPr>
                        <m:t>nominal</m:t>
                      </m:r>
                    </m:sub>
                  </m:sSub>
                </m:sub>
              </m:sSub>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nominal</m:t>
                  </m:r>
                </m:sub>
              </m:sSub>
            </m:num>
            <m:den>
              <m:r>
                <m:rPr>
                  <m:sty m:val="p"/>
                </m:rPr>
                <w:rPr>
                  <w:rFonts w:ascii="Cambria Math" w:hAnsi="Cambria Math"/>
                </w:rPr>
                <m:t xml:space="preserve">3600*1,75* </m:t>
              </m:r>
              <m:sSub>
                <m:sSubPr>
                  <m:ctrlPr>
                    <w:rPr>
                      <w:rFonts w:ascii="Cambria Math" w:hAnsi="Cambria Math"/>
                    </w:rPr>
                  </m:ctrlPr>
                </m:sSubPr>
                <m:e>
                  <m:r>
                    <w:rPr>
                      <w:rFonts w:ascii="Cambria Math" w:hAnsi="Cambria Math"/>
                    </w:rPr>
                    <m:t>K</m:t>
                  </m:r>
                </m:e>
                <m:sub>
                  <m:r>
                    <w:rPr>
                      <w:rFonts w:ascii="Cambria Math" w:hAnsi="Cambria Math"/>
                    </w:rPr>
                    <m:t>body</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body</m:t>
                  </m:r>
                </m:sub>
              </m:sSub>
              <m:r>
                <m:rPr>
                  <m:sty m:val="p"/>
                </m:rPr>
                <w:rPr>
                  <w:rFonts w:ascii="Cambria Math" w:hAnsi="Cambria Math"/>
                </w:rPr>
                <m:t>* ∆</m:t>
              </m:r>
              <m:r>
                <w:rPr>
                  <w:rFonts w:ascii="Cambria Math" w:hAnsi="Cambria Math"/>
                </w:rPr>
                <m:t>T</m:t>
              </m:r>
              <m:r>
                <m:rPr>
                  <m:sty m:val="p"/>
                </m:rPr>
                <w:rPr>
                  <w:rFonts w:ascii="Cambria Math" w:hAnsi="Cambria Math"/>
                </w:rPr>
                <m:t xml:space="preserve"> </m:t>
              </m:r>
            </m:den>
          </m:f>
          <m:r>
            <m:rPr>
              <m:sty m:val="p"/>
            </m:rPr>
            <w:rPr>
              <w:rFonts w:ascii="Cambria Math" w:hAnsi="Cambria Math"/>
            </w:rPr>
            <m:t>≥ 4</m:t>
          </m:r>
        </m:oMath>
      </m:oMathPara>
    </w:p>
    <w:p w14:paraId="368CB013" w14:textId="77777777" w:rsidR="00716F84" w:rsidRPr="005A7D88" w:rsidRDefault="00716F84" w:rsidP="004905C5">
      <w:pPr>
        <w:pStyle w:val="SingleTxtG"/>
      </w:pPr>
      <w:r w:rsidRPr="005A7D88">
        <w:t xml:space="preserve">Where: </w:t>
      </w:r>
    </w:p>
    <w:p w14:paraId="4E4B988D" w14:textId="77777777" w:rsidR="00716F84" w:rsidRPr="005A7D88" w:rsidRDefault="00716F84" w:rsidP="004905C5">
      <w:pPr>
        <w:pStyle w:val="SingleTxtG"/>
      </w:pPr>
      <w:proofErr w:type="spellStart"/>
      <w:r w:rsidRPr="00C56309">
        <w:rPr>
          <w:i/>
          <w:iCs/>
        </w:rPr>
        <w:t>E</w:t>
      </w:r>
      <w:r w:rsidRPr="00C56309">
        <w:rPr>
          <w:vertAlign w:val="subscript"/>
        </w:rPr>
        <w:t>nominal.tank</w:t>
      </w:r>
      <w:proofErr w:type="spellEnd"/>
      <w:r w:rsidRPr="005A7D88">
        <w:t xml:space="preserve"> is the maximum energy that can normally be stored in the energy source [</w:t>
      </w:r>
      <w:proofErr w:type="spellStart"/>
      <w:r w:rsidRPr="005A7D88">
        <w:t>Wh</w:t>
      </w:r>
      <w:proofErr w:type="spellEnd"/>
      <w:r w:rsidRPr="005A7D88">
        <w:t>] or unit [X];</w:t>
      </w:r>
    </w:p>
    <w:p w14:paraId="45283649" w14:textId="77777777" w:rsidR="00716F84" w:rsidRPr="005A7D88" w:rsidRDefault="00716F84" w:rsidP="004905C5">
      <w:pPr>
        <w:pStyle w:val="SingleTxtG"/>
      </w:pPr>
      <w:proofErr w:type="spellStart"/>
      <w:r w:rsidRPr="003453D4">
        <w:rPr>
          <w:i/>
          <w:iCs/>
        </w:rPr>
        <w:t>Q</w:t>
      </w:r>
      <w:r w:rsidRPr="003453D4">
        <w:rPr>
          <w:vertAlign w:val="subscript"/>
        </w:rPr>
        <w:t>Pnominal</w:t>
      </w:r>
      <w:proofErr w:type="spellEnd"/>
      <w:r w:rsidRPr="005A7D88">
        <w:t xml:space="preserve"> is the energy flow rate extracted by the cooling or heating system operating at full power [</w:t>
      </w:r>
      <w:proofErr w:type="spellStart"/>
      <w:r w:rsidRPr="005A7D88">
        <w:t>Wh</w:t>
      </w:r>
      <w:proofErr w:type="spellEnd"/>
      <w:r w:rsidRPr="005A7D88">
        <w:t>/s] or [X/s];</w:t>
      </w:r>
    </w:p>
    <w:p w14:paraId="32B758ED" w14:textId="77777777" w:rsidR="00716F84" w:rsidRPr="005A7D88" w:rsidRDefault="00716F84" w:rsidP="004905C5">
      <w:pPr>
        <w:pStyle w:val="SingleTxtG"/>
      </w:pPr>
      <w:proofErr w:type="spellStart"/>
      <w:r w:rsidRPr="003453D4">
        <w:rPr>
          <w:i/>
          <w:iCs/>
        </w:rPr>
        <w:t>K</w:t>
      </w:r>
      <w:r w:rsidRPr="003453D4">
        <w:rPr>
          <w:vertAlign w:val="subscript"/>
        </w:rPr>
        <w:t>body</w:t>
      </w:r>
      <w:proofErr w:type="spellEnd"/>
      <w:r w:rsidRPr="005A7D88">
        <w:t xml:space="preserve"> is the K value of the outer body [W/(m².K)];</w:t>
      </w:r>
    </w:p>
    <w:p w14:paraId="3EDB3DBC" w14:textId="77777777" w:rsidR="00716F84" w:rsidRPr="005A7D88" w:rsidRDefault="00716F84" w:rsidP="004905C5">
      <w:pPr>
        <w:pStyle w:val="SingleTxtG"/>
      </w:pPr>
      <w:proofErr w:type="spellStart"/>
      <w:r w:rsidRPr="003453D4">
        <w:rPr>
          <w:i/>
          <w:iCs/>
        </w:rPr>
        <w:t>S</w:t>
      </w:r>
      <w:r w:rsidRPr="003453D4">
        <w:rPr>
          <w:vertAlign w:val="subscript"/>
        </w:rPr>
        <w:t>body</w:t>
      </w:r>
      <w:proofErr w:type="spellEnd"/>
      <w:r w:rsidRPr="005A7D88">
        <w:t xml:space="preserve"> is the geometric mean of the surface area of the body [m²];</w:t>
      </w:r>
    </w:p>
    <w:p w14:paraId="7BDC33A1" w14:textId="77777777" w:rsidR="00716F84" w:rsidRPr="005A7D88" w:rsidRDefault="00716F84" w:rsidP="004905C5">
      <w:pPr>
        <w:pStyle w:val="SingleTxtG"/>
      </w:pPr>
      <w:r w:rsidRPr="005A7D88">
        <w:t>Δ</w:t>
      </w:r>
      <w:r w:rsidRPr="005D4355">
        <w:rPr>
          <w:i/>
          <w:iCs/>
        </w:rPr>
        <w:t>T</w:t>
      </w:r>
      <w:r w:rsidRPr="005A7D88">
        <w:t xml:space="preserve"> is the temperature difference between the outside and inside of the body in mono-temperature operation [K];</w:t>
      </w:r>
    </w:p>
    <w:p w14:paraId="49B59BA0" w14:textId="77777777" w:rsidR="00716F84" w:rsidRPr="005A7D88" w:rsidRDefault="00716F84" w:rsidP="004905C5">
      <w:pPr>
        <w:pStyle w:val="SingleTxtG"/>
      </w:pPr>
      <w:proofErr w:type="spellStart"/>
      <w:r w:rsidRPr="00CB525A">
        <w:rPr>
          <w:i/>
          <w:iCs/>
        </w:rPr>
        <w:t>P</w:t>
      </w:r>
      <w:r w:rsidRPr="00CB525A">
        <w:rPr>
          <w:vertAlign w:val="subscript"/>
        </w:rPr>
        <w:t>nominal</w:t>
      </w:r>
      <w:proofErr w:type="spellEnd"/>
      <w:r w:rsidRPr="005A7D88">
        <w:t xml:space="preserve"> is the nominal refrigerating capacity of the refrigeration unit [W];</w:t>
      </w:r>
    </w:p>
    <w:p w14:paraId="572037F1" w14:textId="77777777" w:rsidR="00716F84" w:rsidRPr="005A7D88" w:rsidRDefault="00716F84" w:rsidP="004905C5">
      <w:pPr>
        <w:pStyle w:val="SingleTxtG"/>
      </w:pPr>
      <w:r w:rsidRPr="005A7D88">
        <w:t>Entry in the ATP Handbook:</w:t>
      </w:r>
    </w:p>
    <w:p w14:paraId="0A0F0B32" w14:textId="77777777" w:rsidR="00716F84" w:rsidRPr="005A7D88" w:rsidRDefault="00716F84" w:rsidP="00CB525A">
      <w:pPr>
        <w:pStyle w:val="SingleTxtG"/>
      </w:pPr>
      <w:r w:rsidRPr="005A7D88">
        <w:rPr>
          <w:noProof/>
        </w:rPr>
        <w:drawing>
          <wp:inline distT="0" distB="0" distL="0" distR="0" wp14:anchorId="64686862" wp14:editId="147965D3">
            <wp:extent cx="4751640" cy="3403440"/>
            <wp:effectExtent l="0" t="0" r="0" b="6510"/>
            <wp:docPr id="4"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751640" cy="3403440"/>
                    </a:xfrm>
                    <a:prstGeom prst="rect">
                      <a:avLst/>
                    </a:prstGeom>
                    <a:ln>
                      <a:noFill/>
                      <a:prstDash/>
                    </a:ln>
                  </pic:spPr>
                </pic:pic>
              </a:graphicData>
            </a:graphic>
          </wp:inline>
        </w:drawing>
      </w:r>
    </w:p>
    <w:p w14:paraId="7E2D2D31" w14:textId="77777777" w:rsidR="00716F84" w:rsidRPr="005A7D88" w:rsidRDefault="00716F84" w:rsidP="00CB525A">
      <w:pPr>
        <w:pStyle w:val="SingleTxtG"/>
      </w:pPr>
      <w:r w:rsidRPr="005A7D88">
        <w:t>Negligible recharging time is considered to be any operation that makes it possible, in less than three quarters of an hour, to increase the energy equal to at least half of the maximum energy capacity that can be stored in the energy reservoir in question.</w:t>
      </w:r>
    </w:p>
    <w:p w14:paraId="262B9B33" w14:textId="77777777" w:rsidR="00716F84" w:rsidRPr="005A7D88" w:rsidRDefault="00716F84" w:rsidP="00CB525A">
      <w:pPr>
        <w:pStyle w:val="SingleTxtG"/>
      </w:pPr>
      <w:r w:rsidRPr="005A7D88">
        <w:t>The equipment must satisfy the following requirement:</w:t>
      </w:r>
    </w:p>
    <w:p w14:paraId="71EDCAAB" w14:textId="77777777" w:rsidR="00716F84" w:rsidRPr="005A7D88" w:rsidRDefault="00090B6E" w:rsidP="001F00D8">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 0 ≤</m:t>
              </m:r>
              <m:r>
                <w:rPr>
                  <w:rFonts w:ascii="Cambria Math" w:hAnsi="Cambria Math"/>
                </w:rPr>
                <m:t>E</m:t>
              </m:r>
            </m:e>
            <m:sub>
              <m:r>
                <w:rPr>
                  <w:rFonts w:ascii="Cambria Math" w:hAnsi="Cambria Math"/>
                </w:rPr>
                <m:t>tank</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r>
            <m:rPr>
              <m:sty m:val="p"/>
            </m:rPr>
            <w:rPr>
              <w:rFonts w:ascii="Cambria Math" w:hAnsi="Cambria Math"/>
            </w:rPr>
            <m:t xml:space="preserve"> </m:t>
          </m:r>
        </m:oMath>
      </m:oMathPara>
    </w:p>
    <w:p w14:paraId="67644DC3" w14:textId="7B602678" w:rsidR="00716F84" w:rsidRPr="005A7D88" w:rsidRDefault="00090B6E" w:rsidP="001439E5">
      <w:pPr>
        <w:pStyle w:val="SingleTxtG"/>
      </w:pPr>
      <m:oMathPara>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 xml:space="preserve">: </m:t>
              </m:r>
              <m:r>
                <w:rPr>
                  <w:rFonts w:ascii="Cambria Math" w:hAnsi="Cambria Math"/>
                </w:rPr>
                <m:t>E</m:t>
              </m:r>
            </m:e>
            <m:sub>
              <m:r>
                <w:rPr>
                  <w:rFonts w:ascii="Cambria Math" w:hAnsi="Cambria Math"/>
                </w:rPr>
                <m:t>tank</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tank</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r>
            <m:rPr>
              <m:sty m:val="p"/>
            </m:rPr>
            <w:rPr>
              <w:rFonts w:ascii="Cambria Math" w:hAnsi="Cambria Math"/>
            </w:rPr>
            <m:t xml:space="preserve"> </m:t>
          </m:r>
        </m:oMath>
      </m:oMathPara>
    </w:p>
    <w:p w14:paraId="0E0826E2" w14:textId="77777777" w:rsidR="00716F84" w:rsidRPr="005A7D88" w:rsidRDefault="00716F84" w:rsidP="00716F84">
      <m:oMathPara>
        <m:oMathParaPr>
          <m:jc m:val="center"/>
        </m:oMathParaPr>
        <m:oMath>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&lt;45</m:t>
          </m:r>
        </m:oMath>
      </m:oMathPara>
    </w:p>
    <w:p w14:paraId="69C854EF" w14:textId="77777777" w:rsidR="00716F84" w:rsidRPr="005A7D88" w:rsidRDefault="00716F84" w:rsidP="001439E5">
      <w:pPr>
        <w:pStyle w:val="SingleTxtG"/>
      </w:pPr>
      <w:r w:rsidRPr="005A7D88">
        <w:lastRenderedPageBreak/>
        <w:t xml:space="preserve">Where: </w:t>
      </w:r>
    </w:p>
    <w:p w14:paraId="456F54CD" w14:textId="77777777" w:rsidR="00716F84" w:rsidRPr="005A7D88" w:rsidRDefault="00716F84" w:rsidP="001439E5">
      <w:pPr>
        <w:pStyle w:val="SingleTxtG"/>
      </w:pPr>
      <w:proofErr w:type="spellStart"/>
      <w:r w:rsidRPr="001439E5">
        <w:rPr>
          <w:i/>
          <w:iCs/>
        </w:rPr>
        <w:t>E</w:t>
      </w:r>
      <w:r w:rsidRPr="001439E5">
        <w:rPr>
          <w:vertAlign w:val="subscript"/>
        </w:rPr>
        <w:t>nominal.tank</w:t>
      </w:r>
      <w:proofErr w:type="spellEnd"/>
      <w:r w:rsidRPr="005A7D88">
        <w:t xml:space="preserve"> is the maximum energy that can normally be stored in the energy source [</w:t>
      </w:r>
      <w:proofErr w:type="spellStart"/>
      <w:r w:rsidRPr="005A7D88">
        <w:t>Wh</w:t>
      </w:r>
      <w:proofErr w:type="spellEnd"/>
      <w:r w:rsidRPr="005A7D88">
        <w:t>] or unit [X];</w:t>
      </w:r>
    </w:p>
    <w:p w14:paraId="5B151F9A" w14:textId="6EC267FF" w:rsidR="00716F84" w:rsidRPr="005A7D88" w:rsidRDefault="00716F84" w:rsidP="001439E5">
      <w:pPr>
        <w:pStyle w:val="SingleTxtG"/>
      </w:pPr>
      <w:r w:rsidRPr="001439E5">
        <w:rPr>
          <w:i/>
          <w:iCs/>
        </w:rPr>
        <w:t>t</w:t>
      </w:r>
      <w:r w:rsidRPr="005A7D88">
        <w:t xml:space="preserve">0 and </w:t>
      </w:r>
      <w:r w:rsidRPr="00CA2AD9">
        <w:rPr>
          <w:i/>
          <w:iCs/>
        </w:rPr>
        <w:t>t</w:t>
      </w:r>
      <w:r w:rsidRPr="005A7D88">
        <w:t>1 represent, respectively, the start and end times for recharging the energy source [</w:t>
      </w:r>
      <w:proofErr w:type="spellStart"/>
      <w:r w:rsidRPr="005A7D88">
        <w:t>mn</w:t>
      </w:r>
      <w:proofErr w:type="spellEnd"/>
      <w:r w:rsidRPr="005A7D88">
        <w:t>];</w:t>
      </w:r>
    </w:p>
    <w:p w14:paraId="546A3CB2" w14:textId="77777777" w:rsidR="00716F84" w:rsidRPr="005A7D88" w:rsidRDefault="00716F84" w:rsidP="001439E5">
      <w:pPr>
        <w:pStyle w:val="SingleTxtG"/>
      </w:pPr>
      <w:proofErr w:type="spellStart"/>
      <w:r w:rsidRPr="00CA2AD9">
        <w:rPr>
          <w:i/>
          <w:iCs/>
        </w:rPr>
        <w:t>E</w:t>
      </w:r>
      <w:r w:rsidRPr="00CA2AD9">
        <w:rPr>
          <w:vertAlign w:val="subscript"/>
        </w:rPr>
        <w:t>tank</w:t>
      </w:r>
      <w:proofErr w:type="spellEnd"/>
      <w:r w:rsidRPr="005A7D88">
        <w:t xml:space="preserve">, </w:t>
      </w:r>
      <w:proofErr w:type="spellStart"/>
      <w:r w:rsidRPr="00CA2AD9">
        <w:rPr>
          <w:i/>
          <w:iCs/>
        </w:rPr>
        <w:t>tx</w:t>
      </w:r>
      <w:proofErr w:type="spellEnd"/>
      <w:r w:rsidRPr="005A7D88">
        <w:t xml:space="preserve"> is the energy actually stored in the energy source at time </w:t>
      </w:r>
      <w:proofErr w:type="spellStart"/>
      <w:r w:rsidRPr="00CA2AD9">
        <w:rPr>
          <w:i/>
          <w:iCs/>
        </w:rPr>
        <w:t>tx</w:t>
      </w:r>
      <w:proofErr w:type="spellEnd"/>
      <w:r w:rsidRPr="005A7D88">
        <w:t xml:space="preserve"> [</w:t>
      </w:r>
      <w:proofErr w:type="spellStart"/>
      <w:r w:rsidRPr="005A7D88">
        <w:t>Wh</w:t>
      </w:r>
      <w:proofErr w:type="spellEnd"/>
      <w:r w:rsidRPr="005A7D88">
        <w:t>] or unit [X];</w:t>
      </w:r>
    </w:p>
    <w:p w14:paraId="0AA76C22" w14:textId="77777777" w:rsidR="00716F84" w:rsidRPr="005A7D88" w:rsidRDefault="00716F84" w:rsidP="001439E5">
      <w:pPr>
        <w:pStyle w:val="SingleTxtG"/>
      </w:pPr>
      <w:proofErr w:type="spellStart"/>
      <w:r w:rsidRPr="005A7D88">
        <w:t>Δ</w:t>
      </w:r>
      <w:r w:rsidRPr="00CA2AD9">
        <w:rPr>
          <w:i/>
          <w:iCs/>
        </w:rPr>
        <w:t>t</w:t>
      </w:r>
      <w:proofErr w:type="spellEnd"/>
      <w:r w:rsidRPr="005A7D88">
        <w:t xml:space="preserve"> is the charging time of the energy source [</w:t>
      </w:r>
      <w:proofErr w:type="spellStart"/>
      <w:r w:rsidRPr="005A7D88">
        <w:t>mn</w:t>
      </w:r>
      <w:proofErr w:type="spellEnd"/>
      <w:r w:rsidRPr="005A7D88">
        <w:t>];</w:t>
      </w:r>
    </w:p>
    <w:p w14:paraId="53EC044E" w14:textId="4FE775C1" w:rsidR="00716F84" w:rsidRPr="00CA2AD9" w:rsidRDefault="00716F84" w:rsidP="001439E5">
      <w:pPr>
        <w:pStyle w:val="SingleTxtG"/>
        <w:rPr>
          <w:b/>
          <w:bCs/>
        </w:rPr>
      </w:pPr>
      <w:r w:rsidRPr="00CA2AD9">
        <w:rPr>
          <w:b/>
          <w:bCs/>
        </w:rPr>
        <w:t>Equipment is neither self-contained nor hybrid in other cases.</w:t>
      </w:r>
      <w:r w:rsidR="00CA2AD9" w:rsidRPr="00CA2AD9">
        <w:rPr>
          <w:b/>
          <w:bCs/>
        </w:rPr>
        <w:t>”</w:t>
      </w:r>
    </w:p>
    <w:p w14:paraId="206E07C5" w14:textId="77777777" w:rsidR="00716F84" w:rsidRPr="005A7D88" w:rsidRDefault="00716F84" w:rsidP="00CA2AD9">
      <w:pPr>
        <w:pStyle w:val="HChG"/>
      </w:pPr>
      <w:r w:rsidRPr="005A7D88">
        <w:tab/>
        <w:t>II.</w:t>
      </w:r>
      <w:r w:rsidRPr="005A7D88">
        <w:tab/>
        <w:t>Justification</w:t>
      </w:r>
    </w:p>
    <w:p w14:paraId="382CC577" w14:textId="77777777" w:rsidR="00716F84" w:rsidRPr="005A7D88" w:rsidRDefault="00716F84" w:rsidP="001439E5">
      <w:pPr>
        <w:pStyle w:val="SingleTxtG"/>
      </w:pPr>
      <w:r w:rsidRPr="005A7D88">
        <w:t>7.</w:t>
      </w:r>
      <w:r w:rsidRPr="005A7D88">
        <w:tab/>
        <w:t>Technological developments in refrigeration equipment make it necessary to revise the concept of the independence of units in ATP.</w:t>
      </w:r>
    </w:p>
    <w:p w14:paraId="28A04936" w14:textId="77777777" w:rsidR="00716F84" w:rsidRPr="005A7D88" w:rsidRDefault="00716F84" w:rsidP="00CA2AD9">
      <w:pPr>
        <w:pStyle w:val="HChG"/>
      </w:pPr>
      <w:r w:rsidRPr="005A7D88">
        <w:tab/>
        <w:t>III.</w:t>
      </w:r>
      <w:r w:rsidRPr="005A7D88">
        <w:tab/>
        <w:t>Costs</w:t>
      </w:r>
    </w:p>
    <w:p w14:paraId="2825746F" w14:textId="77777777" w:rsidR="00716F84" w:rsidRPr="005A7D88" w:rsidRDefault="00716F84" w:rsidP="001439E5">
      <w:pPr>
        <w:pStyle w:val="SingleTxtG"/>
      </w:pPr>
      <w:r w:rsidRPr="005A7D88">
        <w:t>8.</w:t>
      </w:r>
      <w:r w:rsidRPr="005A7D88">
        <w:tab/>
        <w:t>No additional costs are expected for official ATP test stations, or even for manufacturers who will need to have available the additional parameters required by this proposal as part of their production management.</w:t>
      </w:r>
    </w:p>
    <w:p w14:paraId="3FF09BAB" w14:textId="77777777" w:rsidR="00716F84" w:rsidRPr="005A7D88" w:rsidRDefault="00716F84" w:rsidP="00CA2AD9">
      <w:pPr>
        <w:pStyle w:val="HChG"/>
      </w:pPr>
      <w:r w:rsidRPr="005A7D88">
        <w:tab/>
        <w:t>IV.</w:t>
      </w:r>
      <w:r w:rsidRPr="005A7D88">
        <w:tab/>
        <w:t>Feasibility</w:t>
      </w:r>
    </w:p>
    <w:p w14:paraId="0C90C4B1" w14:textId="77777777" w:rsidR="00716F84" w:rsidRPr="005A7D88" w:rsidRDefault="00716F84" w:rsidP="001439E5">
      <w:pPr>
        <w:pStyle w:val="SingleTxtG"/>
      </w:pPr>
      <w:r w:rsidRPr="005A7D88">
        <w:t>9.</w:t>
      </w:r>
      <w:r w:rsidRPr="005A7D88">
        <w:tab/>
        <w:t>There are no additional requirements for official ATP test stations.</w:t>
      </w:r>
    </w:p>
    <w:p w14:paraId="28D67E6A" w14:textId="7D9D40E1" w:rsidR="00716F84" w:rsidRPr="005A7D88" w:rsidRDefault="00716F84" w:rsidP="00CA2AD9">
      <w:pPr>
        <w:pStyle w:val="HChG"/>
      </w:pPr>
      <w:r w:rsidRPr="005A7D88">
        <w:tab/>
        <w:t>V.</w:t>
      </w:r>
      <w:r w:rsidRPr="005A7D88">
        <w:tab/>
        <w:t>Applicability</w:t>
      </w:r>
    </w:p>
    <w:p w14:paraId="47BC6041" w14:textId="77777777" w:rsidR="00716F84" w:rsidRPr="005A7D88" w:rsidRDefault="00716F84" w:rsidP="001439E5">
      <w:pPr>
        <w:pStyle w:val="SingleTxtG"/>
      </w:pPr>
      <w:r w:rsidRPr="005A7D88">
        <w:t>10.</w:t>
      </w:r>
      <w:r w:rsidRPr="005A7D88">
        <w:tab/>
        <w:t>No problems are foreseen in implementing the proposals.</w:t>
      </w:r>
    </w:p>
    <w:p w14:paraId="20C57CD9" w14:textId="77777777" w:rsidR="00716F84" w:rsidRPr="005A7D88" w:rsidRDefault="00716F84" w:rsidP="00CA2AD9">
      <w:pPr>
        <w:pStyle w:val="HChG"/>
      </w:pPr>
      <w:r w:rsidRPr="005A7D88">
        <w:tab/>
        <w:t>VI.</w:t>
      </w:r>
      <w:r w:rsidRPr="005A7D88">
        <w:tab/>
        <w:t>Introduction of the proposed amendment to ATP</w:t>
      </w:r>
    </w:p>
    <w:p w14:paraId="53536580" w14:textId="77777777" w:rsidR="00716F84" w:rsidRPr="005A7D88" w:rsidRDefault="00716F84" w:rsidP="001439E5">
      <w:pPr>
        <w:pStyle w:val="SingleTxtG"/>
      </w:pPr>
      <w:r w:rsidRPr="005A7D88">
        <w:t>11.</w:t>
      </w:r>
      <w:r w:rsidRPr="005A7D88">
        <w:tab/>
        <w:t>Part of ATP concerned: annex 1.</w:t>
      </w:r>
    </w:p>
    <w:p w14:paraId="4169C314" w14:textId="47BDAB6D" w:rsidR="00716F84" w:rsidRDefault="00716F84" w:rsidP="001439E5">
      <w:pPr>
        <w:pStyle w:val="SingleTxtG"/>
      </w:pPr>
      <w:r w:rsidRPr="005A7D88">
        <w:t xml:space="preserve">Addition of a definition of the independence of a unit in accordance with section I </w:t>
      </w:r>
      <w:r w:rsidR="00383542">
        <w:t>–</w:t>
      </w:r>
      <w:r w:rsidRPr="005A7D88">
        <w:t xml:space="preserve"> Proposal.</w:t>
      </w:r>
    </w:p>
    <w:p w14:paraId="5266533B" w14:textId="34640751" w:rsidR="00383542" w:rsidRPr="005A7D88" w:rsidRDefault="00383542" w:rsidP="00383542">
      <w:pPr>
        <w:spacing w:before="240"/>
        <w:jc w:val="center"/>
      </w:pPr>
      <w:r w:rsidRPr="003E5C6C">
        <w:rPr>
          <w:u w:val="single"/>
          <w:lang w:val="fr-CH"/>
        </w:rPr>
        <w:tab/>
      </w:r>
      <w:r w:rsidRPr="003E5C6C">
        <w:rPr>
          <w:u w:val="single"/>
          <w:lang w:val="fr-CH"/>
        </w:rPr>
        <w:tab/>
      </w:r>
      <w:r w:rsidRPr="003E5C6C">
        <w:rPr>
          <w:u w:val="single"/>
          <w:lang w:val="fr-CH"/>
        </w:rPr>
        <w:tab/>
      </w:r>
    </w:p>
    <w:sectPr w:rsidR="00383542" w:rsidRPr="005A7D88"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19AB7" w14:textId="77777777" w:rsidR="00935D96" w:rsidRPr="00FB1744" w:rsidRDefault="00935D96" w:rsidP="00FB1744">
      <w:pPr>
        <w:pStyle w:val="Footer"/>
      </w:pPr>
    </w:p>
  </w:endnote>
  <w:endnote w:type="continuationSeparator" w:id="0">
    <w:p w14:paraId="1654F1E9" w14:textId="77777777" w:rsidR="00935D96" w:rsidRPr="00FB1744" w:rsidRDefault="00935D9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3548" w14:textId="77777777" w:rsidR="00AD19E8" w:rsidRDefault="00AD19E8" w:rsidP="00AD19E8">
    <w:pPr>
      <w:pStyle w:val="Footer"/>
      <w:tabs>
        <w:tab w:val="right" w:pos="9638"/>
      </w:tabs>
    </w:pPr>
    <w:r w:rsidRPr="00AD19E8">
      <w:rPr>
        <w:b/>
        <w:bCs/>
        <w:sz w:val="18"/>
      </w:rPr>
      <w:fldChar w:fldCharType="begin"/>
    </w:r>
    <w:r w:rsidRPr="00AD19E8">
      <w:rPr>
        <w:b/>
        <w:bCs/>
        <w:sz w:val="18"/>
      </w:rPr>
      <w:instrText xml:space="preserve"> PAGE  \* MERGEFORMAT </w:instrText>
    </w:r>
    <w:r w:rsidRPr="00AD19E8">
      <w:rPr>
        <w:b/>
        <w:bCs/>
        <w:sz w:val="18"/>
      </w:rPr>
      <w:fldChar w:fldCharType="separate"/>
    </w:r>
    <w:r w:rsidRPr="00AD19E8">
      <w:rPr>
        <w:b/>
        <w:bCs/>
        <w:noProof/>
        <w:sz w:val="18"/>
      </w:rPr>
      <w:t>2</w:t>
    </w:r>
    <w:r w:rsidRPr="00AD19E8">
      <w:rPr>
        <w:b/>
        <w:bCs/>
        <w:sz w:val="18"/>
      </w:rPr>
      <w:fldChar w:fldCharType="end"/>
    </w:r>
    <w:r>
      <w:tab/>
      <w:t>GE.21-10957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8450" w14:textId="77777777" w:rsidR="00AD19E8" w:rsidRDefault="00AD19E8" w:rsidP="00AD19E8">
    <w:pPr>
      <w:pStyle w:val="Footer"/>
      <w:tabs>
        <w:tab w:val="right" w:pos="9638"/>
      </w:tabs>
    </w:pPr>
    <w:r>
      <w:t>GE.21-10957</w:t>
    </w:r>
    <w:r>
      <w:tab/>
    </w:r>
    <w:r w:rsidRPr="00AD19E8">
      <w:rPr>
        <w:b/>
        <w:bCs/>
        <w:sz w:val="18"/>
      </w:rPr>
      <w:fldChar w:fldCharType="begin"/>
    </w:r>
    <w:r w:rsidRPr="00AD19E8">
      <w:rPr>
        <w:b/>
        <w:bCs/>
        <w:sz w:val="18"/>
      </w:rPr>
      <w:instrText xml:space="preserve"> PAGE  \* MERGEFORMAT </w:instrText>
    </w:r>
    <w:r w:rsidRPr="00AD19E8">
      <w:rPr>
        <w:b/>
        <w:bCs/>
        <w:sz w:val="18"/>
      </w:rPr>
      <w:fldChar w:fldCharType="separate"/>
    </w:r>
    <w:r w:rsidRPr="00AD19E8">
      <w:rPr>
        <w:b/>
        <w:bCs/>
        <w:noProof/>
        <w:sz w:val="18"/>
      </w:rPr>
      <w:t>3</w:t>
    </w:r>
    <w:r w:rsidRPr="00AD19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9462" w14:textId="77777777" w:rsidR="00C448F7" w:rsidRDefault="00AD19E8">
    <w:pPr>
      <w:pStyle w:val="Footer"/>
      <w:rPr>
        <w:sz w:val="20"/>
      </w:rPr>
    </w:pPr>
    <w:r w:rsidRPr="0027112F">
      <w:rPr>
        <w:noProof/>
        <w:lang w:val="en-US"/>
      </w:rPr>
      <w:drawing>
        <wp:anchor distT="0" distB="0" distL="114300" distR="114300" simplePos="0" relativeHeight="251659264" behindDoc="0" locked="1" layoutInCell="1" allowOverlap="1" wp14:anchorId="25C4733B" wp14:editId="7C8576C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F922BC" w14:textId="79C38B1C" w:rsidR="00AD19E8" w:rsidRPr="00AD19E8" w:rsidRDefault="00AD19E8" w:rsidP="00AD19E8">
    <w:pPr>
      <w:pStyle w:val="Footer"/>
      <w:tabs>
        <w:tab w:val="right" w:pos="7370"/>
      </w:tabs>
      <w:rPr>
        <w:sz w:val="20"/>
      </w:rPr>
    </w:pPr>
    <w:r>
      <w:rPr>
        <w:sz w:val="20"/>
      </w:rPr>
      <w:t>GE.21-10957  (E)</w:t>
    </w:r>
    <w:r>
      <w:rPr>
        <w:noProof/>
        <w:sz w:val="20"/>
      </w:rPr>
      <w:drawing>
        <wp:anchor distT="0" distB="0" distL="114300" distR="114300" simplePos="0" relativeHeight="251660288" behindDoc="0" locked="0" layoutInCell="1" allowOverlap="1" wp14:anchorId="272A69B1" wp14:editId="2125642C">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69">
      <w:rPr>
        <w:sz w:val="20"/>
      </w:rPr>
      <w:t xml:space="preserve">    260821    </w:t>
    </w:r>
    <w:r w:rsidR="00C4775B">
      <w:rPr>
        <w:sz w:val="20"/>
      </w:rPr>
      <w:t>27</w:t>
    </w:r>
    <w:r w:rsidR="00F76169">
      <w:rPr>
        <w:sz w:val="20"/>
      </w:rP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89782" w14:textId="77777777" w:rsidR="00935D96" w:rsidRPr="00FB1744" w:rsidRDefault="00935D96" w:rsidP="00FB1744">
      <w:pPr>
        <w:tabs>
          <w:tab w:val="right" w:pos="2155"/>
        </w:tabs>
        <w:spacing w:after="80" w:line="240" w:lineRule="auto"/>
        <w:ind w:left="680"/>
      </w:pPr>
      <w:r>
        <w:rPr>
          <w:u w:val="single"/>
        </w:rPr>
        <w:tab/>
      </w:r>
    </w:p>
  </w:footnote>
  <w:footnote w:type="continuationSeparator" w:id="0">
    <w:p w14:paraId="0CF506C1" w14:textId="77777777" w:rsidR="00935D96" w:rsidRPr="00FB1744" w:rsidRDefault="00935D96"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27A3" w14:textId="77777777" w:rsidR="00AD19E8" w:rsidRDefault="00AD19E8" w:rsidP="00AD19E8">
    <w:pPr>
      <w:pStyle w:val="Header"/>
    </w:pPr>
    <w:r>
      <w:t>ECE/TRANS/WP.11/2020/1/Rev.2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73CB" w14:textId="77777777" w:rsidR="00AD19E8" w:rsidRDefault="00AD19E8" w:rsidP="00AD19E8">
    <w:pPr>
      <w:pStyle w:val="Header"/>
      <w:jc w:val="right"/>
    </w:pPr>
    <w:r>
      <w:t>ECE/TRANS/WP.11/2020/1/Rev.2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35D96"/>
    <w:rsid w:val="0004025B"/>
    <w:rsid w:val="00046E92"/>
    <w:rsid w:val="000D1B89"/>
    <w:rsid w:val="000F6E29"/>
    <w:rsid w:val="001170DC"/>
    <w:rsid w:val="001439E5"/>
    <w:rsid w:val="001D213A"/>
    <w:rsid w:val="001F00D8"/>
    <w:rsid w:val="00247E2C"/>
    <w:rsid w:val="00255F25"/>
    <w:rsid w:val="002D6C53"/>
    <w:rsid w:val="002F5595"/>
    <w:rsid w:val="00316D77"/>
    <w:rsid w:val="00334F6A"/>
    <w:rsid w:val="00342AC8"/>
    <w:rsid w:val="003453D4"/>
    <w:rsid w:val="00383542"/>
    <w:rsid w:val="003B4550"/>
    <w:rsid w:val="0043448D"/>
    <w:rsid w:val="00461253"/>
    <w:rsid w:val="004905C5"/>
    <w:rsid w:val="005042C2"/>
    <w:rsid w:val="00506C12"/>
    <w:rsid w:val="0056599A"/>
    <w:rsid w:val="00585AE1"/>
    <w:rsid w:val="00587690"/>
    <w:rsid w:val="005D4355"/>
    <w:rsid w:val="005F27CA"/>
    <w:rsid w:val="0066502A"/>
    <w:rsid w:val="00671529"/>
    <w:rsid w:val="006A5598"/>
    <w:rsid w:val="006F1341"/>
    <w:rsid w:val="00716F84"/>
    <w:rsid w:val="00717266"/>
    <w:rsid w:val="007268F9"/>
    <w:rsid w:val="007C52B0"/>
    <w:rsid w:val="007E17D3"/>
    <w:rsid w:val="00874E98"/>
    <w:rsid w:val="00935D96"/>
    <w:rsid w:val="009411B4"/>
    <w:rsid w:val="009A0C79"/>
    <w:rsid w:val="009D0139"/>
    <w:rsid w:val="009F0816"/>
    <w:rsid w:val="009F5CDC"/>
    <w:rsid w:val="00A429CD"/>
    <w:rsid w:val="00A775CF"/>
    <w:rsid w:val="00AA727F"/>
    <w:rsid w:val="00AB3C7E"/>
    <w:rsid w:val="00AD19E8"/>
    <w:rsid w:val="00AD1FD9"/>
    <w:rsid w:val="00B06045"/>
    <w:rsid w:val="00C35A27"/>
    <w:rsid w:val="00C448F7"/>
    <w:rsid w:val="00C4775B"/>
    <w:rsid w:val="00C56309"/>
    <w:rsid w:val="00C80AF3"/>
    <w:rsid w:val="00CA2AD9"/>
    <w:rsid w:val="00CB525A"/>
    <w:rsid w:val="00DC156C"/>
    <w:rsid w:val="00E02C2B"/>
    <w:rsid w:val="00E20BC2"/>
    <w:rsid w:val="00E665C4"/>
    <w:rsid w:val="00E67612"/>
    <w:rsid w:val="00E929D6"/>
    <w:rsid w:val="00ED6C48"/>
    <w:rsid w:val="00EF76C5"/>
    <w:rsid w:val="00F65F5D"/>
    <w:rsid w:val="00F76169"/>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BAA40"/>
  <w15:docId w15:val="{D7ABC1D6-81C5-45AA-B50B-EAF8F2C1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andard">
    <w:name w:val="Standard"/>
    <w:rsid w:val="00716F84"/>
    <w:pPr>
      <w:suppressAutoHyphens/>
      <w:autoSpaceDN w:val="0"/>
      <w:snapToGrid w:val="0"/>
      <w:spacing w:after="0" w:line="240" w:lineRule="atLeast"/>
      <w:textAlignment w:val="baseline"/>
    </w:pPr>
    <w:rPr>
      <w:rFonts w:ascii="Times New Roman" w:eastAsia="Calibri" w:hAnsi="Times New Roman" w:cs="Times New Roman"/>
      <w:kern w:val="3"/>
      <w:sz w:val="20"/>
      <w:szCs w:val="20"/>
      <w:lang w:val="fr-CH" w:eastAsia="en-US"/>
    </w:rPr>
  </w:style>
  <w:style w:type="character" w:styleId="CommentReference">
    <w:name w:val="annotation reference"/>
    <w:basedOn w:val="DefaultParagraphFont"/>
    <w:uiPriority w:val="99"/>
    <w:semiHidden/>
    <w:unhideWhenUsed/>
    <w:rsid w:val="00E67612"/>
    <w:rPr>
      <w:sz w:val="16"/>
      <w:szCs w:val="16"/>
    </w:rPr>
  </w:style>
  <w:style w:type="paragraph" w:styleId="CommentText">
    <w:name w:val="annotation text"/>
    <w:basedOn w:val="Normal"/>
    <w:link w:val="CommentTextChar"/>
    <w:uiPriority w:val="99"/>
    <w:semiHidden/>
    <w:unhideWhenUsed/>
    <w:rsid w:val="00E67612"/>
    <w:pPr>
      <w:spacing w:line="240" w:lineRule="auto"/>
    </w:pPr>
  </w:style>
  <w:style w:type="character" w:customStyle="1" w:styleId="CommentTextChar">
    <w:name w:val="Comment Text Char"/>
    <w:basedOn w:val="DefaultParagraphFont"/>
    <w:link w:val="CommentText"/>
    <w:uiPriority w:val="99"/>
    <w:semiHidden/>
    <w:rsid w:val="00E6761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67612"/>
    <w:rPr>
      <w:b/>
      <w:bCs/>
    </w:rPr>
  </w:style>
  <w:style w:type="character" w:customStyle="1" w:styleId="CommentSubjectChar">
    <w:name w:val="Comment Subject Char"/>
    <w:basedOn w:val="CommentTextChar"/>
    <w:link w:val="CommentSubject"/>
    <w:uiPriority w:val="99"/>
    <w:semiHidden/>
    <w:rsid w:val="00E6761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1213</Words>
  <Characters>6499</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ECE/TRANS/WP.11/2020/1/Rev.2</vt:lpstr>
    </vt:vector>
  </TitlesOfParts>
  <Company>DCM</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ECE/TRANS/WP.11/2020/1/Rev.2</dc:title>
  <dc:subject>2110957</dc:subject>
  <dc:creator>Giltsoff</dc:creator>
  <cp:keywords/>
  <dc:description/>
  <cp:lastModifiedBy>Una Philippa GILTSOFF</cp:lastModifiedBy>
  <cp:revision>2</cp:revision>
  <dcterms:created xsi:type="dcterms:W3CDTF">2021-08-27T06:26:00Z</dcterms:created>
  <dcterms:modified xsi:type="dcterms:W3CDTF">2021-08-27T06:26:00Z</dcterms:modified>
</cp:coreProperties>
</file>