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0EE7BE0" w14:textId="77777777" w:rsidTr="00387CD4">
        <w:trPr>
          <w:trHeight w:hRule="exact" w:val="851"/>
        </w:trPr>
        <w:tc>
          <w:tcPr>
            <w:tcW w:w="142" w:type="dxa"/>
            <w:tcBorders>
              <w:bottom w:val="single" w:sz="4" w:space="0" w:color="auto"/>
            </w:tcBorders>
          </w:tcPr>
          <w:p w14:paraId="4733EC2C" w14:textId="77777777" w:rsidR="002D5AAC" w:rsidRDefault="002D5AAC" w:rsidP="00614EF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DF83BF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72210E2" w14:textId="1B4671D0" w:rsidR="002D5AAC" w:rsidRDefault="00614EFC" w:rsidP="00614EFC">
            <w:pPr>
              <w:jc w:val="right"/>
            </w:pPr>
            <w:r w:rsidRPr="00614EFC">
              <w:rPr>
                <w:sz w:val="40"/>
              </w:rPr>
              <w:t>ECE</w:t>
            </w:r>
            <w:r>
              <w:t>/TRANS/2022/2</w:t>
            </w:r>
          </w:p>
        </w:tc>
      </w:tr>
      <w:tr w:rsidR="002D5AAC" w:rsidRPr="00C72145" w14:paraId="1F3BCF0C" w14:textId="77777777" w:rsidTr="00387CD4">
        <w:trPr>
          <w:trHeight w:hRule="exact" w:val="2835"/>
        </w:trPr>
        <w:tc>
          <w:tcPr>
            <w:tcW w:w="1280" w:type="dxa"/>
            <w:gridSpan w:val="2"/>
            <w:tcBorders>
              <w:top w:val="single" w:sz="4" w:space="0" w:color="auto"/>
              <w:bottom w:val="single" w:sz="12" w:space="0" w:color="auto"/>
            </w:tcBorders>
          </w:tcPr>
          <w:p w14:paraId="38132F0B" w14:textId="77777777" w:rsidR="002D5AAC" w:rsidRDefault="002E5067" w:rsidP="00387CD4">
            <w:pPr>
              <w:spacing w:before="120"/>
              <w:jc w:val="center"/>
            </w:pPr>
            <w:r>
              <w:rPr>
                <w:noProof/>
                <w:lang w:val="fr-CH" w:eastAsia="fr-CH"/>
              </w:rPr>
              <w:drawing>
                <wp:inline distT="0" distB="0" distL="0" distR="0" wp14:anchorId="4618F28E" wp14:editId="461E15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3009DB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40887F" w14:textId="77777777" w:rsidR="002D5AAC" w:rsidRDefault="00614EFC" w:rsidP="00387CD4">
            <w:pPr>
              <w:spacing w:before="240"/>
              <w:rPr>
                <w:lang w:val="en-US"/>
              </w:rPr>
            </w:pPr>
            <w:r>
              <w:rPr>
                <w:lang w:val="en-US"/>
              </w:rPr>
              <w:t>Distr.: General</w:t>
            </w:r>
          </w:p>
          <w:p w14:paraId="38875969" w14:textId="77777777" w:rsidR="00614EFC" w:rsidRDefault="00614EFC" w:rsidP="00614EFC">
            <w:pPr>
              <w:spacing w:line="240" w:lineRule="exact"/>
              <w:rPr>
                <w:lang w:val="en-US"/>
              </w:rPr>
            </w:pPr>
            <w:r>
              <w:rPr>
                <w:lang w:val="en-US"/>
              </w:rPr>
              <w:t>18 January 2022</w:t>
            </w:r>
          </w:p>
          <w:p w14:paraId="14A6E7D6" w14:textId="77777777" w:rsidR="00614EFC" w:rsidRDefault="00614EFC" w:rsidP="00614EFC">
            <w:pPr>
              <w:spacing w:line="240" w:lineRule="exact"/>
              <w:rPr>
                <w:lang w:val="en-US"/>
              </w:rPr>
            </w:pPr>
            <w:r>
              <w:rPr>
                <w:lang w:val="en-US"/>
              </w:rPr>
              <w:t>Russian</w:t>
            </w:r>
          </w:p>
          <w:p w14:paraId="59AEBAA9" w14:textId="674FCFF9" w:rsidR="00614EFC" w:rsidRPr="008D53B6" w:rsidRDefault="00614EFC" w:rsidP="00614EFC">
            <w:pPr>
              <w:spacing w:line="240" w:lineRule="exact"/>
              <w:rPr>
                <w:lang w:val="en-US"/>
              </w:rPr>
            </w:pPr>
            <w:r>
              <w:rPr>
                <w:lang w:val="en-US"/>
              </w:rPr>
              <w:t>Original: English</w:t>
            </w:r>
          </w:p>
        </w:tc>
      </w:tr>
    </w:tbl>
    <w:p w14:paraId="5482B72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8D370A5" w14:textId="77777777" w:rsidR="00614EFC" w:rsidRPr="001A6DBC" w:rsidRDefault="00614EFC" w:rsidP="00614EFC">
      <w:pPr>
        <w:spacing w:before="120"/>
        <w:rPr>
          <w:sz w:val="28"/>
          <w:szCs w:val="28"/>
        </w:rPr>
      </w:pPr>
      <w:r w:rsidRPr="001A6DBC">
        <w:rPr>
          <w:sz w:val="28"/>
          <w:szCs w:val="28"/>
        </w:rPr>
        <w:t>Комитет по внутреннему транспорту</w:t>
      </w:r>
    </w:p>
    <w:p w14:paraId="42954FB2" w14:textId="77777777" w:rsidR="00614EFC" w:rsidRPr="001A6DBC" w:rsidRDefault="00614EFC" w:rsidP="00614EFC">
      <w:pPr>
        <w:spacing w:before="120"/>
        <w:rPr>
          <w:b/>
          <w:bCs/>
        </w:rPr>
      </w:pPr>
      <w:r w:rsidRPr="001A6DBC">
        <w:rPr>
          <w:b/>
          <w:bCs/>
        </w:rPr>
        <w:t>Восемьдесят четвертая сессия</w:t>
      </w:r>
    </w:p>
    <w:p w14:paraId="751F2CC3" w14:textId="77777777" w:rsidR="00614EFC" w:rsidRPr="001A6DBC" w:rsidRDefault="00614EFC" w:rsidP="00614EFC">
      <w:r w:rsidRPr="001A6DBC">
        <w:t>Женева, 22–25 февраля 2022 года</w:t>
      </w:r>
    </w:p>
    <w:p w14:paraId="48053185" w14:textId="77777777" w:rsidR="00614EFC" w:rsidRPr="001A6DBC" w:rsidRDefault="00614EFC" w:rsidP="00614EFC">
      <w:r w:rsidRPr="001A6DBC">
        <w:t>Пункт 2 предварительной повестки дня</w:t>
      </w:r>
    </w:p>
    <w:p w14:paraId="70C62348" w14:textId="007700B6" w:rsidR="00614EFC" w:rsidRPr="001A6DBC" w:rsidRDefault="00614EFC" w:rsidP="00614EFC">
      <w:pPr>
        <w:rPr>
          <w:b/>
          <w:bCs/>
        </w:rPr>
      </w:pPr>
      <w:r w:rsidRPr="001A6DBC">
        <w:rPr>
          <w:b/>
          <w:bCs/>
        </w:rPr>
        <w:t xml:space="preserve">Семидесятипятилетие Комитета по внутреннему </w:t>
      </w:r>
      <w:r>
        <w:rPr>
          <w:b/>
          <w:bCs/>
        </w:rPr>
        <w:br/>
      </w:r>
      <w:r w:rsidRPr="001A6DBC">
        <w:rPr>
          <w:b/>
          <w:bCs/>
        </w:rPr>
        <w:t>транспорту:</w:t>
      </w:r>
      <w:r w:rsidRPr="00614EFC">
        <w:rPr>
          <w:b/>
          <w:bCs/>
        </w:rPr>
        <w:t xml:space="preserve"> </w:t>
      </w:r>
      <w:r>
        <w:rPr>
          <w:b/>
          <w:bCs/>
        </w:rPr>
        <w:t>О</w:t>
      </w:r>
      <w:r w:rsidRPr="001A6DBC">
        <w:rPr>
          <w:b/>
          <w:bCs/>
        </w:rPr>
        <w:t xml:space="preserve">беспечение транспортной связанности </w:t>
      </w:r>
      <w:r>
        <w:rPr>
          <w:b/>
          <w:bCs/>
        </w:rPr>
        <w:br/>
      </w:r>
      <w:r w:rsidRPr="001A6DBC">
        <w:rPr>
          <w:b/>
          <w:bCs/>
        </w:rPr>
        <w:t xml:space="preserve">между странами и содействие развитию </w:t>
      </w:r>
      <w:r>
        <w:rPr>
          <w:b/>
          <w:bCs/>
        </w:rPr>
        <w:br/>
      </w:r>
      <w:r w:rsidRPr="001A6DBC">
        <w:rPr>
          <w:b/>
          <w:bCs/>
        </w:rPr>
        <w:t>устойчивой мобильности</w:t>
      </w:r>
    </w:p>
    <w:p w14:paraId="7C447F55" w14:textId="77777777" w:rsidR="00614EFC" w:rsidRPr="001A6DBC" w:rsidRDefault="00614EFC" w:rsidP="00614EFC">
      <w:pPr>
        <w:pStyle w:val="HChG"/>
      </w:pPr>
      <w:r w:rsidRPr="001A6DBC">
        <w:tab/>
      </w:r>
      <w:r w:rsidRPr="001A6DBC">
        <w:tab/>
      </w:r>
      <w:r w:rsidRPr="001A6DBC">
        <w:rPr>
          <w:bCs/>
        </w:rPr>
        <w:t>Проект министерской резолюции, принятой по случаю празднования семьдесят пятой годовщины создания Комитета по внутреннему транспорту и озаглавленной «Вступая в десятилетие свершений в интересах устойчивого внутреннего транспорта и устойчивого развития»</w:t>
      </w:r>
      <w:r w:rsidRPr="00614EFC">
        <w:rPr>
          <w:rStyle w:val="aa"/>
          <w:b w:val="0"/>
          <w:bCs/>
          <w:sz w:val="20"/>
          <w:vertAlign w:val="baseline"/>
        </w:rPr>
        <w:footnoteReference w:customMarkFollows="1" w:id="1"/>
        <w:t>*</w:t>
      </w:r>
      <w:bookmarkStart w:id="0" w:name="_Toc75838516"/>
      <w:bookmarkStart w:id="1" w:name="_Toc75838517"/>
      <w:bookmarkEnd w:id="0"/>
      <w:bookmarkEnd w:id="1"/>
    </w:p>
    <w:p w14:paraId="6AD5DB95" w14:textId="77777777" w:rsidR="00614EFC" w:rsidRPr="001A6DBC" w:rsidRDefault="00614EFC" w:rsidP="00614EFC">
      <w:pPr>
        <w:pStyle w:val="SingleTxtG"/>
        <w:ind w:firstLine="567"/>
        <w:rPr>
          <w:rFonts w:asciiTheme="majorBidi" w:hAnsiTheme="majorBidi" w:cstheme="majorBidi"/>
          <w:i/>
          <w:iCs/>
        </w:rPr>
      </w:pPr>
      <w:r w:rsidRPr="001A6DBC">
        <w:rPr>
          <w:i/>
          <w:iCs/>
        </w:rPr>
        <w:t>Мы, министры и другие главы делегаций договаривающихся сторон конвенций Организации Объединенных Наций, относящихся к ведению Комитета по внутреннему транспорту, участвующие в его восемьдесят четвертой сессии, собравшиеся также для того, чтобы 22 февраля 2022 года отметить семьдесят пятую годовщину создания Комитета по внутреннему транспорту,</w:t>
      </w:r>
    </w:p>
    <w:p w14:paraId="2955DF23" w14:textId="77777777" w:rsidR="00614EFC" w:rsidRPr="001A6DBC" w:rsidRDefault="00614EFC" w:rsidP="00614EFC">
      <w:pPr>
        <w:pStyle w:val="SingleTxtG"/>
        <w:ind w:firstLine="567"/>
      </w:pPr>
      <w:r w:rsidRPr="001A6DBC">
        <w:rPr>
          <w:i/>
          <w:iCs/>
        </w:rPr>
        <w:t xml:space="preserve">признавая </w:t>
      </w:r>
      <w:r w:rsidRPr="001A6DBC">
        <w:t>уникальную роль, которую Комитет по внутреннему транспорту играл в течение последних 75 лет в качестве центра конвенций Организации Объединенных Наций, создавши</w:t>
      </w:r>
      <w:r>
        <w:t>х</w:t>
      </w:r>
      <w:r w:rsidRPr="001A6DBC">
        <w:t xml:space="preserve"> и продолжающ</w:t>
      </w:r>
      <w:r>
        <w:t>их</w:t>
      </w:r>
      <w:r w:rsidRPr="001A6DBC">
        <w:t xml:space="preserve"> формировать основополагающие международные нормативные рамки для внутреннего транспорта на региональном и мировом уровнях, и </w:t>
      </w:r>
      <w:r w:rsidRPr="00CB205F">
        <w:rPr>
          <w:i/>
          <w:iCs/>
          <w:color w:val="000000" w:themeColor="text1"/>
        </w:rPr>
        <w:t>признавая также</w:t>
      </w:r>
      <w:r w:rsidRPr="00CB205F">
        <w:rPr>
          <w:color w:val="000000" w:themeColor="text1"/>
        </w:rPr>
        <w:t xml:space="preserve">, </w:t>
      </w:r>
      <w:r w:rsidRPr="001A6DBC">
        <w:t>что 78 процентов государств — членов Организации Объединенных Наций являются договаривающимися сторонами по меньшей мере одной из этих конвенций,</w:t>
      </w:r>
    </w:p>
    <w:p w14:paraId="5E5E0CDE" w14:textId="5E2091C7" w:rsidR="00614EFC" w:rsidRPr="001A6DBC" w:rsidRDefault="00614EFC" w:rsidP="00614EFC">
      <w:pPr>
        <w:pStyle w:val="SingleTxtG"/>
        <w:ind w:firstLine="567"/>
      </w:pPr>
      <w:r w:rsidRPr="001A6DBC">
        <w:rPr>
          <w:i/>
          <w:iCs/>
        </w:rPr>
        <w:t xml:space="preserve">ссылаясь </w:t>
      </w:r>
      <w:r w:rsidRPr="001A6DBC">
        <w:t>на резолюции Генеральной Ассамблеи 70/1 от 25 сентября 2015 года, озаглавленную «Преобразование нашего мира: Повестка дня в области устойчивого развития на период до 2030 года», 69/213 от 19 декабря 2014 года и 70/197 от 22</w:t>
      </w:r>
      <w:r>
        <w:t> </w:t>
      </w:r>
      <w:r w:rsidRPr="001A6DBC">
        <w:t xml:space="preserve">декабря 2015 года о транспортной связанности и транзитных коридорах, 70/260 от 15 апреля 2016 года, 72/271 от 12 апреля 2018 года и 74/299 от 31 августа 2020 года, а также другие принимаемые на двухгодичной основе резолюции по вопросу о повышении безопасности дорожного движения во всем мире; 72/212 от 20 декабря 2017 года об укреплении связей между всеми видами транспорта для достижения целей в области устойчивого развития, 74/219 от 19 декабря 2019 года об охране </w:t>
      </w:r>
      <w:r w:rsidRPr="001A6DBC">
        <w:lastRenderedPageBreak/>
        <w:t xml:space="preserve">глобального климата, а также 74/306 и 74/307 от 11 сентября 2020 года о глобальных мерах реагирования на пандемию коронавирусной </w:t>
      </w:r>
      <w:r>
        <w:t>инфекции</w:t>
      </w:r>
      <w:r w:rsidRPr="001A6DBC">
        <w:t xml:space="preserve"> (COVID-19),</w:t>
      </w:r>
      <w:bookmarkStart w:id="2" w:name="Findy"/>
      <w:bookmarkEnd w:id="2"/>
    </w:p>
    <w:p w14:paraId="5920819B" w14:textId="77777777" w:rsidR="00614EFC" w:rsidRPr="001A6DBC" w:rsidRDefault="00614EFC" w:rsidP="00614EFC">
      <w:pPr>
        <w:pStyle w:val="SingleTxtG"/>
        <w:ind w:firstLine="567"/>
      </w:pPr>
      <w:r w:rsidRPr="001A6DBC">
        <w:rPr>
          <w:i/>
          <w:iCs/>
        </w:rPr>
        <w:t>ссылаясь также</w:t>
      </w:r>
      <w:r w:rsidRPr="001A6DBC">
        <w:t xml:space="preserve"> на Парижское соглашение</w:t>
      </w:r>
      <w:r>
        <w:t xml:space="preserve"> 2015 года</w:t>
      </w:r>
      <w:r w:rsidRPr="001A6DBC">
        <w:t xml:space="preserve"> об изменении климата и Венскую программу действий для развивающихся стран, не имеющих выхода к морю, на десятилетие 2014–2024 годов,</w:t>
      </w:r>
    </w:p>
    <w:p w14:paraId="4F18F2CC" w14:textId="77777777" w:rsidR="00614EFC" w:rsidRPr="001A6DBC" w:rsidRDefault="00614EFC" w:rsidP="00614EFC">
      <w:pPr>
        <w:pStyle w:val="SingleTxtG"/>
        <w:ind w:firstLine="567"/>
        <w:rPr>
          <w:rFonts w:cs="Calibri"/>
          <w:i/>
        </w:rPr>
      </w:pPr>
      <w:r w:rsidRPr="001A6DBC">
        <w:rPr>
          <w:i/>
          <w:iCs/>
        </w:rPr>
        <w:t xml:space="preserve">напоминая </w:t>
      </w:r>
      <w:r w:rsidRPr="001A6DBC">
        <w:t>о нашей приверженности выполнению министерских резолюций, одобренных Комитетом по внутреннему транспорту, а именно резолюции 2017 года о вступлении в новую эру устойчивого внутреннего транспорта и мобильности, резолюции 2019 года об укреплении сотрудничества, согласования и интеграции в эпоху цифровизации и автоматизации на транспорте и резолюции 2021 года о настоятельном призыве к согласованным действиям по укреплению надежной связанности внутреннего транспорта в чрезвычайных ситуациях,</w:t>
      </w:r>
    </w:p>
    <w:p w14:paraId="0B274DA3" w14:textId="77777777" w:rsidR="00614EFC" w:rsidRPr="001A6DBC" w:rsidRDefault="00614EFC" w:rsidP="00614EFC">
      <w:pPr>
        <w:pStyle w:val="SingleTxtG"/>
        <w:ind w:firstLine="567"/>
      </w:pPr>
      <w:r w:rsidRPr="001A6DBC">
        <w:rPr>
          <w:i/>
          <w:iCs/>
        </w:rPr>
        <w:t xml:space="preserve">подчеркивая </w:t>
      </w:r>
      <w:r w:rsidRPr="001A6DBC">
        <w:t xml:space="preserve">основополагающую роль Стратегии Комитета по внутреннему транспорту на период до 2030 года, усиливающей глобальное значение работы Комитета в качестве платформы Организации Объединенных Наций для внутреннего транспорта, в частности </w:t>
      </w:r>
      <w:r>
        <w:t>для</w:t>
      </w:r>
      <w:r w:rsidRPr="001A6DBC">
        <w:t xml:space="preserve"> продолжени</w:t>
      </w:r>
      <w:r>
        <w:t>я</w:t>
      </w:r>
      <w:r w:rsidRPr="001A6DBC">
        <w:t xml:space="preserve"> администрирования и разработки региональных и глобальных конвенций по внутреннему транспорту, поддержк</w:t>
      </w:r>
      <w:r>
        <w:t>и</w:t>
      </w:r>
      <w:r w:rsidRPr="001A6DBC">
        <w:t xml:space="preserve"> новых технологий и инноваций во внутреннем транспорте, ведени</w:t>
      </w:r>
      <w:r>
        <w:t>я</w:t>
      </w:r>
      <w:r w:rsidRPr="001A6DBC">
        <w:t xml:space="preserve"> регионального, межрегионального и глобального диалога по вопросам политики в области внутреннего транспорта и содействи</w:t>
      </w:r>
      <w:r>
        <w:t>я</w:t>
      </w:r>
      <w:r w:rsidRPr="001A6DBC">
        <w:t xml:space="preserve"> обеспечению устойчивой региональной и межрегиональной связанности и мобильности на внутреннем транспорте </w:t>
      </w:r>
      <w:r>
        <w:t>как</w:t>
      </w:r>
      <w:r w:rsidRPr="001A6DBC">
        <w:t xml:space="preserve"> важнейших шагов для устойчивого развития внутреннего транспорта,</w:t>
      </w:r>
    </w:p>
    <w:p w14:paraId="7DDA0B4D" w14:textId="77777777" w:rsidR="00614EFC" w:rsidRPr="001A6DBC" w:rsidRDefault="00614EFC" w:rsidP="00614EFC">
      <w:pPr>
        <w:pStyle w:val="SingleTxtG"/>
        <w:ind w:firstLine="567"/>
      </w:pPr>
      <w:r>
        <w:rPr>
          <w:i/>
          <w:iCs/>
        </w:rPr>
        <w:t>отмечая</w:t>
      </w:r>
      <w:r w:rsidRPr="001A6DBC">
        <w:t xml:space="preserve">, что годы, </w:t>
      </w:r>
      <w:r>
        <w:t>приходящиеся на</w:t>
      </w:r>
      <w:r w:rsidRPr="001A6DBC">
        <w:t xml:space="preserve"> период до 2030 года, были определены как десятилетие действий и свершений в</w:t>
      </w:r>
      <w:r>
        <w:t xml:space="preserve"> интересах</w:t>
      </w:r>
      <w:r w:rsidRPr="001A6DBC">
        <w:t xml:space="preserve"> устойчивого развития и что устойчивый внутренний транспорт является одним из основных </w:t>
      </w:r>
      <w:r>
        <w:t>условий</w:t>
      </w:r>
      <w:r w:rsidRPr="001A6DBC">
        <w:t xml:space="preserve"> для успешной реализации Повестки дня на период до 2030 года,</w:t>
      </w:r>
    </w:p>
    <w:p w14:paraId="30F085CE" w14:textId="77777777" w:rsidR="00614EFC" w:rsidRPr="001A6DBC" w:rsidRDefault="00614EFC" w:rsidP="00614EFC">
      <w:pPr>
        <w:pStyle w:val="SingleTxtG"/>
        <w:ind w:firstLine="567"/>
        <w:rPr>
          <w:i/>
        </w:rPr>
      </w:pPr>
      <w:r w:rsidRPr="001A6DBC">
        <w:rPr>
          <w:i/>
          <w:iCs/>
        </w:rPr>
        <w:t xml:space="preserve">осознавая </w:t>
      </w:r>
      <w:r w:rsidRPr="001A6DBC">
        <w:t>важное значение поддержки развивающихся стран и целенаправленной разработки стратегий и нормативных рамок для обеспечения того, чтобы никто не был забыт, в соответствии с задачами и устремлениями целей устойчивого развития, направленными на то, чтобы никто и нигде не был забыт,</w:t>
      </w:r>
    </w:p>
    <w:p w14:paraId="1649FAFE" w14:textId="5AF6B1B1" w:rsidR="00614EFC" w:rsidRPr="001A6DBC" w:rsidRDefault="00614EFC" w:rsidP="00614EFC">
      <w:pPr>
        <w:pStyle w:val="SingleTxtG"/>
        <w:ind w:firstLine="567"/>
        <w:rPr>
          <w:i/>
        </w:rPr>
      </w:pPr>
      <w:r w:rsidRPr="001A6DBC">
        <w:rPr>
          <w:i/>
          <w:iCs/>
        </w:rPr>
        <w:t>признавая</w:t>
      </w:r>
      <w:r w:rsidRPr="001A6DBC">
        <w:t>, что беспрецедентное сочетание глобальных чрезвычайных ситуаций и вызовов, включая изменение климата, безопасность дорожного движения и пандемию COVID-19, угрожает сорвать реализацию Повестки дня на период до 2030</w:t>
      </w:r>
      <w:r w:rsidR="006C544C">
        <w:t> </w:t>
      </w:r>
      <w:r w:rsidRPr="001A6DBC">
        <w:t xml:space="preserve">года и целей устойчивого развития, </w:t>
      </w:r>
      <w:bookmarkStart w:id="3" w:name="_Hlk82013678"/>
    </w:p>
    <w:p w14:paraId="2F2E9CDE" w14:textId="77777777" w:rsidR="00614EFC" w:rsidRPr="001A6DBC" w:rsidRDefault="00614EFC" w:rsidP="00614EFC">
      <w:pPr>
        <w:pStyle w:val="SingleTxtG"/>
        <w:ind w:firstLine="567"/>
        <w:rPr>
          <w:i/>
        </w:rPr>
      </w:pPr>
      <w:r w:rsidRPr="001A6DBC">
        <w:rPr>
          <w:i/>
          <w:iCs/>
        </w:rPr>
        <w:t xml:space="preserve">подтверждая </w:t>
      </w:r>
      <w:r w:rsidRPr="001A6DBC">
        <w:t>тем самым нашу решимость предпринимать шаги, необходимые для полно</w:t>
      </w:r>
      <w:r>
        <w:t>го</w:t>
      </w:r>
      <w:r w:rsidRPr="001A6DBC">
        <w:t xml:space="preserve"> и своевременно</w:t>
      </w:r>
      <w:r>
        <w:t>го осуществления</w:t>
      </w:r>
      <w:r w:rsidRPr="001A6DBC">
        <w:t xml:space="preserve"> Повестки дня на период до 2030 года, </w:t>
      </w:r>
    </w:p>
    <w:p w14:paraId="2A44CC23" w14:textId="77777777" w:rsidR="00614EFC" w:rsidRPr="001A6DBC" w:rsidRDefault="00614EFC" w:rsidP="00614EFC">
      <w:pPr>
        <w:pStyle w:val="SingleTxtG"/>
        <w:ind w:firstLine="567"/>
        <w:rPr>
          <w:i/>
          <w:iCs/>
        </w:rPr>
      </w:pPr>
      <w:r w:rsidRPr="001A6DBC">
        <w:rPr>
          <w:i/>
          <w:iCs/>
        </w:rPr>
        <w:t xml:space="preserve">подчеркивая </w:t>
      </w:r>
      <w:r w:rsidRPr="001A6DBC">
        <w:t xml:space="preserve">в этой связи </w:t>
      </w:r>
      <w:r>
        <w:t>важность</w:t>
      </w:r>
      <w:r w:rsidRPr="001A6DBC">
        <w:t xml:space="preserve"> расширения сотрудничества между рабочими группами и другими вспомогательными органами Комитета по внутреннему транспорту, а также усиления синергетического взаимодействия с соответствующими направлениями деятельности в рамках структур, проектов и инициатив Комиссии,</w:t>
      </w:r>
    </w:p>
    <w:p w14:paraId="2C582C3D" w14:textId="77777777" w:rsidR="00614EFC" w:rsidRPr="001A6DBC" w:rsidRDefault="00614EFC" w:rsidP="00614EFC">
      <w:pPr>
        <w:pStyle w:val="SingleTxtG"/>
        <w:ind w:firstLine="567"/>
      </w:pPr>
      <w:r>
        <w:rPr>
          <w:i/>
          <w:iCs/>
        </w:rPr>
        <w:t xml:space="preserve">обращая особое внимание </w:t>
      </w:r>
      <w:r w:rsidRPr="00C72145">
        <w:t>на то,</w:t>
      </w:r>
      <w:r w:rsidRPr="001A6DBC">
        <w:t xml:space="preserve"> что такое сотрудничество и синергетическо</w:t>
      </w:r>
      <w:r>
        <w:t>е</w:t>
      </w:r>
      <w:r w:rsidRPr="001A6DBC">
        <w:t xml:space="preserve"> взаимодействи</w:t>
      </w:r>
      <w:r>
        <w:t>е</w:t>
      </w:r>
      <w:r w:rsidRPr="001A6DBC">
        <w:t xml:space="preserve"> должны быть направлены на достижение практических результатов в </w:t>
      </w:r>
      <w:r>
        <w:t>реализации</w:t>
      </w:r>
      <w:r w:rsidRPr="001A6DBC">
        <w:t xml:space="preserve"> целей устойчивого развития путем пропагандирования преимуществ правовых документов Комитета по внутреннему транспорту; выявления и распространения передового опыта в области внутреннего транспорта, логистики, транспортной связанности и устойчивого развития городского транспорта; </w:t>
      </w:r>
      <w:r>
        <w:t>уделения первостепенного</w:t>
      </w:r>
      <w:r w:rsidRPr="001A6DBC">
        <w:t xml:space="preserve"> внимания инициатив</w:t>
      </w:r>
      <w:r>
        <w:t>ам</w:t>
      </w:r>
      <w:r w:rsidRPr="001A6DBC">
        <w:t>, направленны</w:t>
      </w:r>
      <w:r>
        <w:t>м</w:t>
      </w:r>
      <w:r w:rsidRPr="001A6DBC">
        <w:t xml:space="preserve"> на обеспечение непрерывной устойчивости, мультимодальности, безопасности и качества внутреннего транспорта; </w:t>
      </w:r>
      <w:r>
        <w:t>осуществления</w:t>
      </w:r>
      <w:r w:rsidRPr="001A6DBC">
        <w:t xml:space="preserve"> новых проектов и разработки правовых документов, направленных на </w:t>
      </w:r>
      <w:r w:rsidRPr="004F1205">
        <w:t>достижение</w:t>
      </w:r>
      <w:r w:rsidRPr="001A6DBC">
        <w:t xml:space="preserve"> </w:t>
      </w:r>
      <w:r>
        <w:t>четкого</w:t>
      </w:r>
      <w:r w:rsidRPr="001A6DBC">
        <w:t xml:space="preserve"> функционир</w:t>
      </w:r>
      <w:r>
        <w:t>ования</w:t>
      </w:r>
      <w:r w:rsidRPr="001A6DBC">
        <w:t xml:space="preserve"> и устойчиво</w:t>
      </w:r>
      <w:r>
        <w:t>сти</w:t>
      </w:r>
      <w:r w:rsidRPr="001A6DBC">
        <w:t xml:space="preserve"> внутреннего транспорта в регионе Европейской экономической комиссии; активного </w:t>
      </w:r>
      <w:r>
        <w:t>содействия обеспечению</w:t>
      </w:r>
      <w:r w:rsidRPr="001A6DBC">
        <w:t xml:space="preserve"> безопасности дорожного движения; и повышения осведомленности о Комитете и его работе как внутри, так и за пределами региона Европейской экономической комиссии, а также установления взаимовыгодных партнерских отношений,</w:t>
      </w:r>
    </w:p>
    <w:bookmarkEnd w:id="3"/>
    <w:p w14:paraId="4DA5EB9D" w14:textId="77777777" w:rsidR="00614EFC" w:rsidRPr="001A6DBC" w:rsidRDefault="00614EFC" w:rsidP="00614EFC">
      <w:pPr>
        <w:pStyle w:val="SingleTxtG"/>
        <w:ind w:firstLine="567"/>
      </w:pPr>
      <w:r w:rsidRPr="001A6DBC">
        <w:rPr>
          <w:i/>
          <w:iCs/>
        </w:rPr>
        <w:lastRenderedPageBreak/>
        <w:t xml:space="preserve">осознавая </w:t>
      </w:r>
      <w:r w:rsidRPr="001A6DBC">
        <w:t xml:space="preserve">важность </w:t>
      </w:r>
      <w:r>
        <w:t>создания</w:t>
      </w:r>
      <w:r w:rsidRPr="001A6DBC">
        <w:t xml:space="preserve"> надежных стратегий и нормативных рамок в развивающихся странах, а также рол</w:t>
      </w:r>
      <w:r>
        <w:t>и</w:t>
      </w:r>
      <w:r w:rsidRPr="001A6DBC">
        <w:t xml:space="preserve"> Комитета по внутреннему транспорту в содействии </w:t>
      </w:r>
      <w:r>
        <w:t>раз</w:t>
      </w:r>
      <w:r w:rsidRPr="001A6DBC">
        <w:t xml:space="preserve">работке рекомендаций </w:t>
      </w:r>
      <w:r>
        <w:t xml:space="preserve">по вопросам политики </w:t>
      </w:r>
      <w:r w:rsidRPr="001A6DBC">
        <w:t>для государств-членов, направленных на повышение безопасности дорожного движения для всех участников дорожного движения,</w:t>
      </w:r>
    </w:p>
    <w:p w14:paraId="714CBC80" w14:textId="77777777" w:rsidR="00614EFC" w:rsidRPr="001A6DBC" w:rsidRDefault="00614EFC" w:rsidP="00614EFC">
      <w:pPr>
        <w:pStyle w:val="SingleTxtG"/>
        <w:ind w:firstLine="567"/>
      </w:pPr>
      <w:r w:rsidRPr="001A6DBC">
        <w:rPr>
          <w:i/>
          <w:iCs/>
        </w:rPr>
        <w:t>отмечая</w:t>
      </w:r>
      <w:r w:rsidRPr="001A6DBC">
        <w:t xml:space="preserve">, что функции Комитета по внутреннему транспорту могут включать проведение по запросу детальных обзоров существующих стратегий в области безопасности дорожного движения, а также анализ и подготовку докладов по вопросам политики, </w:t>
      </w:r>
      <w:r>
        <w:t xml:space="preserve">что </w:t>
      </w:r>
      <w:r w:rsidRPr="001A6DBC">
        <w:t>Комитет может проводить открытые для общественности и СМИ совещания для повышения осведомленности о важных вопросах политики,</w:t>
      </w:r>
    </w:p>
    <w:p w14:paraId="27E86BDE" w14:textId="77777777" w:rsidR="00614EFC" w:rsidRPr="001A6DBC" w:rsidRDefault="00614EFC" w:rsidP="00614EFC">
      <w:pPr>
        <w:pStyle w:val="SingleTxtG"/>
        <w:ind w:firstLine="567"/>
      </w:pPr>
      <w:r w:rsidRPr="001A6DBC">
        <w:rPr>
          <w:i/>
          <w:iCs/>
        </w:rPr>
        <w:t xml:space="preserve">заявляя </w:t>
      </w:r>
      <w:r w:rsidRPr="001A6DBC">
        <w:t xml:space="preserve">о нашей неизменной убежденности в том, что обеспечение безопасных, чистых, </w:t>
      </w:r>
      <w:r>
        <w:t>надежных</w:t>
      </w:r>
      <w:r w:rsidRPr="001A6DBC">
        <w:t xml:space="preserve">, взаимосвязанных и эффективных видов транспорта для перевозки людей и грузов может быть в полной мере реализовано с помощью инклюзивных, согласованных и гибких международных нормативных рамок, </w:t>
      </w:r>
    </w:p>
    <w:p w14:paraId="1A7EF6BF" w14:textId="77777777" w:rsidR="00614EFC" w:rsidRPr="001A6DBC" w:rsidRDefault="00614EFC" w:rsidP="00614EFC">
      <w:pPr>
        <w:pStyle w:val="SingleTxtG"/>
        <w:ind w:firstLine="567"/>
      </w:pPr>
      <w:r w:rsidRPr="001A6DBC">
        <w:rPr>
          <w:i/>
          <w:iCs/>
        </w:rPr>
        <w:t xml:space="preserve">памятуя </w:t>
      </w:r>
      <w:r w:rsidRPr="001A6DBC">
        <w:t xml:space="preserve">о возросшей ответственности </w:t>
      </w:r>
      <w:r>
        <w:t>руководителей, занимающихся вопросами</w:t>
      </w:r>
      <w:r w:rsidRPr="001A6DBC">
        <w:t xml:space="preserve"> внутреннего транспорта</w:t>
      </w:r>
      <w:r>
        <w:t>,</w:t>
      </w:r>
      <w:r w:rsidRPr="001A6DBC">
        <w:t xml:space="preserve"> за </w:t>
      </w:r>
      <w:r>
        <w:t>изыскан</w:t>
      </w:r>
      <w:r w:rsidRPr="001A6DBC">
        <w:t xml:space="preserve">ие </w:t>
      </w:r>
      <w:r>
        <w:t xml:space="preserve">в срочном порядке </w:t>
      </w:r>
      <w:r w:rsidRPr="001A6DBC">
        <w:t>решений для ускоренного перехода к устойчивой мобильности,</w:t>
      </w:r>
    </w:p>
    <w:p w14:paraId="13CCC1B9" w14:textId="77777777" w:rsidR="00614EFC" w:rsidRPr="001A6DBC" w:rsidRDefault="00614EFC" w:rsidP="00614EFC">
      <w:pPr>
        <w:pStyle w:val="SingleTxtG"/>
        <w:ind w:firstLine="567"/>
        <w:rPr>
          <w:i/>
        </w:rPr>
      </w:pPr>
      <w:r w:rsidRPr="001A6DBC">
        <w:rPr>
          <w:i/>
          <w:iCs/>
        </w:rPr>
        <w:t>отмечая</w:t>
      </w:r>
      <w:r w:rsidRPr="001A6DBC">
        <w:t xml:space="preserve">, что глобальная чрезвычайная ситуация, вызванная пандемией COVID-19, привела к </w:t>
      </w:r>
      <w:r>
        <w:t>появлению</w:t>
      </w:r>
      <w:r w:rsidRPr="001A6DBC">
        <w:t xml:space="preserve"> уникальной возможности для восстановления на более совершенной и более устойчивой основе,</w:t>
      </w:r>
    </w:p>
    <w:p w14:paraId="3130A2DC" w14:textId="77777777" w:rsidR="00614EFC" w:rsidRPr="001A6DBC" w:rsidRDefault="00614EFC" w:rsidP="00614EFC">
      <w:pPr>
        <w:pStyle w:val="SingleTxtG"/>
        <w:ind w:firstLine="567"/>
        <w:rPr>
          <w:i/>
        </w:rPr>
      </w:pPr>
      <w:r w:rsidRPr="001A6DBC">
        <w:rPr>
          <w:i/>
          <w:iCs/>
        </w:rPr>
        <w:t xml:space="preserve">признавая </w:t>
      </w:r>
      <w:r w:rsidRPr="001A6DBC">
        <w:t>роль Комитета по внутреннему транспорту в содействии согласованию и созданию благоприят</w:t>
      </w:r>
      <w:r>
        <w:t>ны</w:t>
      </w:r>
      <w:r w:rsidRPr="001A6DBC">
        <w:t>х нормативных рамок в качестве ключевых элементов</w:t>
      </w:r>
      <w:r>
        <w:t>,</w:t>
      </w:r>
      <w:r w:rsidRPr="001A6DBC">
        <w:t xml:space="preserve"> для</w:t>
      </w:r>
      <w:r>
        <w:t xml:space="preserve"> того чтобы </w:t>
      </w:r>
      <w:r w:rsidRPr="001A6DBC">
        <w:t xml:space="preserve">в полной мере </w:t>
      </w:r>
      <w:r>
        <w:t xml:space="preserve">использовать </w:t>
      </w:r>
      <w:r w:rsidRPr="001A6DBC">
        <w:t>преимуществ</w:t>
      </w:r>
      <w:r>
        <w:t>а</w:t>
      </w:r>
      <w:r w:rsidRPr="001A6DBC">
        <w:t xml:space="preserve"> технологических инноваций во всех областях внутреннего транспорта, </w:t>
      </w:r>
    </w:p>
    <w:p w14:paraId="31E4A4CB" w14:textId="77777777" w:rsidR="00614EFC" w:rsidRPr="001A6DBC" w:rsidRDefault="00614EFC" w:rsidP="00614EFC">
      <w:pPr>
        <w:pStyle w:val="SingleTxtG"/>
        <w:ind w:firstLine="567"/>
        <w:rPr>
          <w:i/>
          <w:iCs/>
        </w:rPr>
      </w:pPr>
      <w:r w:rsidRPr="001A6DBC">
        <w:rPr>
          <w:i/>
          <w:iCs/>
        </w:rPr>
        <w:t xml:space="preserve">приветствуя </w:t>
      </w:r>
      <w:r w:rsidRPr="001A6DBC">
        <w:t xml:space="preserve">принятие Дорожной карты Европейской экономической комиссии по интеллектуальным транспортным системам на 2021–2025 годы в качестве важной вехи в деле интеграции в </w:t>
      </w:r>
      <w:r>
        <w:t>нормативную</w:t>
      </w:r>
      <w:r w:rsidRPr="001A6DBC">
        <w:t xml:space="preserve"> деятельность Комитета по внутреннему транспорту мер реагирования на технологические изменения</w:t>
      </w:r>
      <w:r>
        <w:t>, касающиеся</w:t>
      </w:r>
      <w:r w:rsidRPr="001A6DBC">
        <w:t xml:space="preserve"> интеллектуальных транспортных систем,</w:t>
      </w:r>
    </w:p>
    <w:p w14:paraId="2B92D58A" w14:textId="77777777" w:rsidR="00614EFC" w:rsidRPr="001A6DBC" w:rsidRDefault="00614EFC" w:rsidP="00614EFC">
      <w:pPr>
        <w:pStyle w:val="SingleTxtG"/>
        <w:ind w:firstLine="567"/>
        <w:rPr>
          <w:i/>
        </w:rPr>
      </w:pPr>
      <w:r w:rsidRPr="001A6DBC">
        <w:rPr>
          <w:i/>
          <w:iCs/>
        </w:rPr>
        <w:t xml:space="preserve">высоко оценивая </w:t>
      </w:r>
      <w:r w:rsidRPr="001A6DBC">
        <w:t xml:space="preserve">роль Комитета по внутреннему транспорту в содействии устойчивым перевозкам грузов и пассажиров на международном, региональном и национальном уровнях, оптимизации смешанных перевозок и поощрении развития общественного транспорта, экологических показателей, энергоэффективности и циклической экономики при одновременном стимулировании улучшений в области </w:t>
      </w:r>
      <w:r>
        <w:t>надежности</w:t>
      </w:r>
      <w:r w:rsidRPr="001A6DBC">
        <w:t xml:space="preserve"> и безопасности внутреннего транспорта, а также инфраструктуры для немоторизованного транспорта и эффективного предоставления услуг в транспортном секторе, </w:t>
      </w:r>
    </w:p>
    <w:p w14:paraId="3B16E826" w14:textId="77777777" w:rsidR="00614EFC" w:rsidRPr="001A6DBC" w:rsidRDefault="00614EFC" w:rsidP="00614EFC">
      <w:pPr>
        <w:pStyle w:val="SingleTxtG"/>
        <w:ind w:firstLine="567"/>
        <w:rPr>
          <w:i/>
        </w:rPr>
      </w:pPr>
      <w:r w:rsidRPr="001A6DBC">
        <w:rPr>
          <w:i/>
          <w:iCs/>
        </w:rPr>
        <w:t xml:space="preserve">приветствуя </w:t>
      </w:r>
      <w:r w:rsidRPr="00940D04">
        <w:t>итоги пятого Совещания высокого уровня по транспорту, окружающей среде и охране здоровья,</w:t>
      </w:r>
    </w:p>
    <w:p w14:paraId="78D4CB8C" w14:textId="31B610A2" w:rsidR="00614EFC" w:rsidRPr="001A6DBC" w:rsidRDefault="00614EFC" w:rsidP="00614EFC">
      <w:pPr>
        <w:pStyle w:val="SingleTxtG"/>
        <w:ind w:firstLine="567"/>
        <w:rPr>
          <w:i/>
          <w:iCs/>
        </w:rPr>
      </w:pPr>
      <w:r w:rsidRPr="001A6DBC">
        <w:rPr>
          <w:i/>
          <w:iCs/>
        </w:rPr>
        <w:t xml:space="preserve">подчеркивая </w:t>
      </w:r>
      <w:r w:rsidRPr="001A6DBC">
        <w:t>важное значение надежной связанности для пассажирских и грузовых перевозок и мобильности, которые являются краеугольным</w:t>
      </w:r>
      <w:r w:rsidR="001C4732">
        <w:t>и</w:t>
      </w:r>
      <w:r w:rsidRPr="001A6DBC">
        <w:t xml:space="preserve"> камнями экономической деятельности, доступ</w:t>
      </w:r>
      <w:r>
        <w:t>а</w:t>
      </w:r>
      <w:r w:rsidRPr="001A6DBC">
        <w:t xml:space="preserve"> и социальной ин</w:t>
      </w:r>
      <w:r>
        <w:t>теграц</w:t>
      </w:r>
      <w:r w:rsidRPr="001A6DBC">
        <w:t xml:space="preserve">ии для всех, </w:t>
      </w:r>
    </w:p>
    <w:p w14:paraId="1691C095" w14:textId="77777777" w:rsidR="00614EFC" w:rsidRPr="001A6DBC" w:rsidRDefault="00614EFC" w:rsidP="00614EFC">
      <w:pPr>
        <w:pStyle w:val="SingleTxtG"/>
        <w:ind w:firstLine="567"/>
        <w:rPr>
          <w:i/>
          <w:iCs/>
        </w:rPr>
      </w:pPr>
      <w:r w:rsidRPr="001A6DBC">
        <w:rPr>
          <w:i/>
          <w:iCs/>
        </w:rPr>
        <w:t xml:space="preserve">будучи глубоко обеспокоены </w:t>
      </w:r>
      <w:r w:rsidRPr="001A6DBC">
        <w:t>неравномерным распр</w:t>
      </w:r>
      <w:r>
        <w:t>остранением дестабилизирующих факторов</w:t>
      </w:r>
      <w:r w:rsidRPr="001A6DBC">
        <w:t>, вызванных пандемией COVID-19, сохраняющейся неопределенностью в отношении продолжительности и интенсивности последствий пандемии и принятыми на ранних этапах нескоординированными национальными мерами реагирования, которые привели к нарушению функционирования производственно-сбытовых цепочек и торговых потоков, а также поставок важнейших товаров,</w:t>
      </w:r>
    </w:p>
    <w:p w14:paraId="7095DE61" w14:textId="77777777" w:rsidR="00614EFC" w:rsidRPr="001A6DBC" w:rsidRDefault="00614EFC" w:rsidP="00614EFC">
      <w:pPr>
        <w:pStyle w:val="SingleTxtG"/>
        <w:ind w:firstLine="567"/>
        <w:rPr>
          <w:i/>
        </w:rPr>
      </w:pPr>
      <w:r w:rsidRPr="001C4732">
        <w:rPr>
          <w:i/>
          <w:iCs/>
          <w:color w:val="000000" w:themeColor="text1"/>
        </w:rPr>
        <w:t>признавая</w:t>
      </w:r>
      <w:r w:rsidRPr="001C4732">
        <w:rPr>
          <w:color w:val="000000" w:themeColor="text1"/>
        </w:rPr>
        <w:t xml:space="preserve">, что </w:t>
      </w:r>
      <w:r w:rsidRPr="001A6DBC">
        <w:t>цифровизация, в том числе транспортных и таможенных документов, и внедрение новых технологий повышают устойчивость и эффективность перевозок и поэтому</w:t>
      </w:r>
      <w:r>
        <w:t xml:space="preserve"> </w:t>
      </w:r>
      <w:r w:rsidRPr="001A6DBC">
        <w:t>должны быть ускорены,</w:t>
      </w:r>
    </w:p>
    <w:p w14:paraId="40812FAA" w14:textId="77777777" w:rsidR="00614EFC" w:rsidRPr="001A6DBC" w:rsidRDefault="00614EFC" w:rsidP="00614EFC">
      <w:pPr>
        <w:pStyle w:val="SingleTxtG"/>
        <w:ind w:firstLine="567"/>
        <w:rPr>
          <w:i/>
        </w:rPr>
      </w:pPr>
      <w:r>
        <w:rPr>
          <w:i/>
          <w:iCs/>
        </w:rPr>
        <w:lastRenderedPageBreak/>
        <w:t>отмеч</w:t>
      </w:r>
      <w:r w:rsidRPr="001A6DBC">
        <w:rPr>
          <w:i/>
          <w:iCs/>
        </w:rPr>
        <w:t>ая</w:t>
      </w:r>
      <w:r>
        <w:rPr>
          <w:i/>
          <w:iCs/>
        </w:rPr>
        <w:t xml:space="preserve"> с удовлетворением</w:t>
      </w:r>
      <w:r w:rsidRPr="001A6DBC">
        <w:t xml:space="preserve"> </w:t>
      </w:r>
      <w:r>
        <w:t>работу</w:t>
      </w:r>
      <w:r w:rsidRPr="001A6DBC">
        <w:t xml:space="preserve"> Комитета по внутреннему транспорту в области содействия обеспечению устойчивой и надежной транспортной связанности, в частности посредством согласованного на международном уровне развития инфраструктуры внутреннего транспорта, многостранового инвестиционного планирования для обеспечения нынешних и будущих торговых и грузовых потоков и беспрепятственного пересечения границ, а также использования его значительного экспертного опыта в сфере транспорта для </w:t>
      </w:r>
      <w:r w:rsidRPr="00A738E3">
        <w:t>активизации</w:t>
      </w:r>
      <w:r w:rsidRPr="001A6DBC">
        <w:t xml:space="preserve"> межсекторального сотрудничества, </w:t>
      </w:r>
    </w:p>
    <w:p w14:paraId="370E737C" w14:textId="77777777" w:rsidR="00614EFC" w:rsidRPr="001A6DBC" w:rsidRDefault="00614EFC" w:rsidP="00614EFC">
      <w:pPr>
        <w:pStyle w:val="SingleTxtG"/>
        <w:ind w:firstLine="567"/>
        <w:rPr>
          <w:i/>
        </w:rPr>
      </w:pPr>
      <w:r w:rsidRPr="001A6DBC">
        <w:rPr>
          <w:i/>
          <w:iCs/>
        </w:rPr>
        <w:t>признавая</w:t>
      </w:r>
      <w:r w:rsidRPr="001A6DBC">
        <w:t>, что конвенции Организации Объединенных Наций по транспорту, относящиеся к ведению Комитета по внутреннему транспорту, обеспечивают проверенные временем функциональные международные нормативные рамки для систем внутреннего транспорта их договаривающихся сторон, которые могут среди прочего развиваться в целях содействия повышению готовности и принятию согласованных мер реагирования на чрезвычайные ситуации,</w:t>
      </w:r>
    </w:p>
    <w:p w14:paraId="40713703" w14:textId="77777777" w:rsidR="00614EFC" w:rsidRPr="001A6DBC" w:rsidRDefault="00614EFC" w:rsidP="00614EFC">
      <w:pPr>
        <w:pStyle w:val="SingleTxtG"/>
        <w:ind w:firstLine="567"/>
        <w:rPr>
          <w:i/>
        </w:rPr>
      </w:pPr>
      <w:r w:rsidRPr="001A6DBC">
        <w:rPr>
          <w:i/>
          <w:iCs/>
        </w:rPr>
        <w:t>подчеркивая</w:t>
      </w:r>
      <w:r w:rsidRPr="001A6DBC">
        <w:t>, что транспорт и мобильность мо</w:t>
      </w:r>
      <w:r>
        <w:t>жно</w:t>
      </w:r>
      <w:r w:rsidRPr="001A6DBC">
        <w:t xml:space="preserve"> считать устойчивыми только после того, как будет преодолен глобальный кризис в области безопасности дорожного движения,</w:t>
      </w:r>
    </w:p>
    <w:p w14:paraId="52583532" w14:textId="77777777" w:rsidR="00614EFC" w:rsidRPr="001A6DBC" w:rsidRDefault="00614EFC" w:rsidP="00614EFC">
      <w:pPr>
        <w:pStyle w:val="SingleTxtG"/>
        <w:ind w:firstLine="567"/>
        <w:rPr>
          <w:i/>
        </w:rPr>
      </w:pPr>
      <w:r w:rsidRPr="001A6DBC">
        <w:rPr>
          <w:i/>
          <w:iCs/>
        </w:rPr>
        <w:t>отмечая с сожалением</w:t>
      </w:r>
      <w:r w:rsidRPr="001A6DBC">
        <w:t xml:space="preserve">, что задача 3.6 в рамках </w:t>
      </w:r>
      <w:r>
        <w:t>ц</w:t>
      </w:r>
      <w:r w:rsidRPr="001A6DBC">
        <w:t xml:space="preserve">ели 3 в области устойчивого развития, направленная на то, чтобы вдвое сократить к 2020 году во всем мире число смертей и травм в результате дорожно-транспортных происшествий, не была </w:t>
      </w:r>
      <w:r>
        <w:t>выполн</w:t>
      </w:r>
      <w:r w:rsidRPr="001A6DBC">
        <w:t>ена,</w:t>
      </w:r>
    </w:p>
    <w:p w14:paraId="1CFDA777" w14:textId="77777777" w:rsidR="00614EFC" w:rsidRPr="001A6DBC" w:rsidRDefault="00614EFC" w:rsidP="00614EFC">
      <w:pPr>
        <w:pStyle w:val="SingleTxtG"/>
        <w:ind w:firstLine="567"/>
        <w:rPr>
          <w:i/>
        </w:rPr>
      </w:pPr>
      <w:r w:rsidRPr="001A6DBC">
        <w:rPr>
          <w:i/>
          <w:iCs/>
        </w:rPr>
        <w:t xml:space="preserve">приветствуя </w:t>
      </w:r>
      <w:r w:rsidRPr="001A6DBC">
        <w:t>провозглашение Генеральной Ассамблеей в ее резолюции 74/299 от 31 августа 2020 года периода 2021–2030 годов вторым Десятилетием действий по обеспечению безопасности дорожного движения и разработку глобального плана действий на второе Десятилетие, который станет руководящим документом, направленным на поддержку решения государствами-членами своих задач,</w:t>
      </w:r>
    </w:p>
    <w:p w14:paraId="4A0E5413" w14:textId="77777777" w:rsidR="00614EFC" w:rsidRPr="001A6DBC" w:rsidRDefault="00614EFC" w:rsidP="00614EFC">
      <w:pPr>
        <w:pStyle w:val="SingleTxtG"/>
        <w:ind w:firstLine="567"/>
        <w:rPr>
          <w:i/>
        </w:rPr>
      </w:pPr>
      <w:r>
        <w:rPr>
          <w:i/>
          <w:iCs/>
        </w:rPr>
        <w:t>признавая</w:t>
      </w:r>
      <w:r w:rsidRPr="001A6DBC">
        <w:rPr>
          <w:i/>
          <w:iCs/>
        </w:rPr>
        <w:t xml:space="preserve"> </w:t>
      </w:r>
      <w:r>
        <w:t>возросшую</w:t>
      </w:r>
      <w:r w:rsidRPr="001A6DBC">
        <w:t xml:space="preserve"> рол</w:t>
      </w:r>
      <w:r>
        <w:t>ь</w:t>
      </w:r>
      <w:r w:rsidRPr="001A6DBC">
        <w:t xml:space="preserve"> Комитета по внутреннему транспорту как платформы Организации Объединенных Наций для внутреннего транспорта в углублении понимания во всем мире основополагающих элементов </w:t>
      </w:r>
      <w:r w:rsidRPr="00F46E18">
        <w:t>системного подхода к обеспечению безопасности,</w:t>
      </w:r>
      <w:r w:rsidRPr="001A6DBC">
        <w:t xml:space="preserve"> охватывающего пользователей, транспортные средства, инфраструктуру и управление,</w:t>
      </w:r>
    </w:p>
    <w:p w14:paraId="22BC408F" w14:textId="77777777" w:rsidR="00614EFC" w:rsidRPr="001A6DBC" w:rsidRDefault="00614EFC" w:rsidP="00614EFC">
      <w:pPr>
        <w:pStyle w:val="SingleTxtG"/>
        <w:ind w:firstLine="567"/>
      </w:pPr>
      <w:r w:rsidRPr="001A6DBC">
        <w:rPr>
          <w:i/>
          <w:iCs/>
        </w:rPr>
        <w:t xml:space="preserve">приветствуя </w:t>
      </w:r>
      <w:r w:rsidRPr="001A6DBC">
        <w:t>в этой связи принятие Рекомендаций Комитета по внутреннему транспорту по укреплению национальных систем безопасности дорожного движения и их роль катализатора в содействии преодолению кризиса в области безопасности дорожного движения и защите всех участников дорожного движения, особенно в странах с низким и средним уровнем дохода,</w:t>
      </w:r>
    </w:p>
    <w:p w14:paraId="2B0577C1" w14:textId="036745CD" w:rsidR="00614EFC" w:rsidRPr="001A6DBC" w:rsidRDefault="00614EFC" w:rsidP="00614EFC">
      <w:pPr>
        <w:pStyle w:val="SingleTxtG"/>
        <w:ind w:firstLine="567"/>
      </w:pPr>
      <w:r w:rsidRPr="001A6DBC">
        <w:rPr>
          <w:i/>
          <w:iCs/>
        </w:rPr>
        <w:t>высоко оценивая</w:t>
      </w:r>
      <w:r w:rsidRPr="001A6DBC">
        <w:t xml:space="preserve"> работу в поддержку безопасности дорожного движения, проводимую </w:t>
      </w:r>
      <w:r w:rsidR="00CB205F" w:rsidRPr="00CB205F">
        <w:rPr>
          <w:color w:val="000000" w:themeColor="text1"/>
        </w:rPr>
        <w:t xml:space="preserve">Специальным </w:t>
      </w:r>
      <w:r w:rsidRPr="00CB205F">
        <w:rPr>
          <w:color w:val="000000" w:themeColor="text1"/>
        </w:rPr>
        <w:t xml:space="preserve">посланником </w:t>
      </w:r>
      <w:r w:rsidRPr="001A6DBC">
        <w:t xml:space="preserve">Генерального секретаря по безопасности дорожного движения и Фондом Организации Объединенных Наций по безопасности дорожного движения, </w:t>
      </w:r>
    </w:p>
    <w:p w14:paraId="0BCFFDBC" w14:textId="77777777" w:rsidR="00614EFC" w:rsidRPr="001A6DBC" w:rsidRDefault="00614EFC" w:rsidP="00614EFC">
      <w:pPr>
        <w:pStyle w:val="SingleTxtG"/>
        <w:ind w:firstLine="567"/>
        <w:rPr>
          <w:i/>
        </w:rPr>
      </w:pPr>
      <w:r w:rsidRPr="001A6DBC">
        <w:rPr>
          <w:i/>
          <w:iCs/>
        </w:rPr>
        <w:t xml:space="preserve">будучи уверенными </w:t>
      </w:r>
      <w:r w:rsidRPr="00C72145">
        <w:t>в том,</w:t>
      </w:r>
      <w:r w:rsidRPr="001A6DBC">
        <w:t xml:space="preserve"> что улучшение и повышение уровня автоматизации в сочетании с «умным» мониторингом транспортных систем повысит как безопасность, так и устойчивость движения,</w:t>
      </w:r>
    </w:p>
    <w:p w14:paraId="4545C7E0" w14:textId="77777777" w:rsidR="00614EFC" w:rsidRPr="001A6DBC" w:rsidRDefault="00614EFC" w:rsidP="00614EFC">
      <w:pPr>
        <w:pStyle w:val="SingleTxtG"/>
        <w:ind w:firstLine="567"/>
      </w:pPr>
      <w:r>
        <w:rPr>
          <w:i/>
          <w:iCs/>
        </w:rPr>
        <w:t>признавая</w:t>
      </w:r>
      <w:r w:rsidRPr="001A6DBC">
        <w:rPr>
          <w:i/>
          <w:iCs/>
        </w:rPr>
        <w:t xml:space="preserve"> </w:t>
      </w:r>
      <w:r w:rsidRPr="001A6DBC">
        <w:t>важную работу, проделанную Комитетом по внутреннему транспорту Европейской экономической комиссии в рамках его Всемирного форума для согласования правил в области транспортных средств</w:t>
      </w:r>
      <w:r>
        <w:t>,</w:t>
      </w:r>
      <w:r w:rsidRPr="001A6DBC">
        <w:t xml:space="preserve"> и в частности </w:t>
      </w:r>
      <w:r>
        <w:t>путем</w:t>
      </w:r>
      <w:r w:rsidRPr="001A6DBC">
        <w:t xml:space="preserve"> управления и </w:t>
      </w:r>
      <w:r>
        <w:t>администрирования</w:t>
      </w:r>
      <w:r w:rsidRPr="001A6DBC">
        <w:t xml:space="preserve"> Соглашени</w:t>
      </w:r>
      <w:r>
        <w:t>я</w:t>
      </w:r>
      <w:r w:rsidRPr="001A6DBC">
        <w:t xml:space="preserve">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Соглашени</w:t>
      </w:r>
      <w:r>
        <w:t>я</w:t>
      </w:r>
      <w:r w:rsidRPr="001A6DBC">
        <w:t xml:space="preserve">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Соглашени</w:t>
      </w:r>
      <w:r>
        <w:t>я</w:t>
      </w:r>
      <w:r w:rsidRPr="001A6DBC">
        <w:t xml:space="preserve"> о принятии единообразных условий для периодических </w:t>
      </w:r>
      <w:r w:rsidRPr="001A6DBC">
        <w:lastRenderedPageBreak/>
        <w:t>технических осмотров колесных транспортных средств и о взаимном признании таких осмотров,</w:t>
      </w:r>
    </w:p>
    <w:p w14:paraId="2111A728" w14:textId="77777777" w:rsidR="00614EFC" w:rsidRPr="001A6DBC" w:rsidRDefault="00614EFC" w:rsidP="00614EFC">
      <w:pPr>
        <w:pStyle w:val="SingleTxtG"/>
        <w:ind w:firstLine="567"/>
        <w:rPr>
          <w:i/>
        </w:rPr>
      </w:pPr>
      <w:r w:rsidRPr="001A6DBC">
        <w:rPr>
          <w:i/>
          <w:iCs/>
        </w:rPr>
        <w:t>напоминая</w:t>
      </w:r>
      <w:r w:rsidRPr="001A6DBC">
        <w:t xml:space="preserve">, что Всемирный форум для согласования правил в области транспортных средств, который существует уже более 50 лет и привлекает участников со всего мира, служит уникальной платформой для разработки согласованных на </w:t>
      </w:r>
      <w:r>
        <w:t>глобальн</w:t>
      </w:r>
      <w:r w:rsidRPr="001A6DBC">
        <w:t>ом уровне правил</w:t>
      </w:r>
      <w:r>
        <w:t>, касающихся</w:t>
      </w:r>
      <w:r w:rsidRPr="001A6DBC">
        <w:t xml:space="preserve"> транспортных средств, выгоды от которых ощутимы в </w:t>
      </w:r>
      <w:r>
        <w:t>сфере</w:t>
      </w:r>
      <w:r w:rsidRPr="001A6DBC">
        <w:t xml:space="preserve"> безопасности дорожного движения, охраны окружающей среды и торговли,</w:t>
      </w:r>
    </w:p>
    <w:p w14:paraId="3D4667A6" w14:textId="77777777" w:rsidR="00614EFC" w:rsidRPr="001A6DBC" w:rsidRDefault="00614EFC" w:rsidP="00614EFC">
      <w:pPr>
        <w:pStyle w:val="SingleTxtG"/>
        <w:ind w:firstLine="567"/>
        <w:rPr>
          <w:i/>
          <w:iCs/>
        </w:rPr>
      </w:pPr>
      <w:r w:rsidRPr="001A6DBC">
        <w:rPr>
          <w:i/>
          <w:iCs/>
        </w:rPr>
        <w:t xml:space="preserve">признавая </w:t>
      </w:r>
      <w:r w:rsidRPr="001A6DBC">
        <w:t xml:space="preserve">роль, которую играет Европейская экономическая комиссия в согласовании на </w:t>
      </w:r>
      <w:r>
        <w:t>глобальн</w:t>
      </w:r>
      <w:r w:rsidRPr="001A6DBC">
        <w:t xml:space="preserve">ом уровне критериев классификации </w:t>
      </w:r>
      <w:r w:rsidRPr="002460D9">
        <w:t xml:space="preserve">опасности и средств </w:t>
      </w:r>
      <w:r>
        <w:t>информирования об опасности</w:t>
      </w:r>
      <w:r w:rsidRPr="001A6DBC">
        <w:t>, а также условий перевозки опасных грузов для всех видов транспорта в тесном сотрудничестве с другими структурами системы Организации Объединенных Наций, такими как Международная организация гражданской авиации, Международная морская организация и Международное агентство по атомной энергии,</w:t>
      </w:r>
    </w:p>
    <w:p w14:paraId="51031509" w14:textId="77777777" w:rsidR="00614EFC" w:rsidRPr="001A6DBC" w:rsidRDefault="00614EFC" w:rsidP="00614EFC">
      <w:pPr>
        <w:pStyle w:val="SingleTxtG"/>
        <w:ind w:firstLine="567"/>
        <w:rPr>
          <w:i/>
          <w:iCs/>
        </w:rPr>
      </w:pPr>
      <w:r w:rsidRPr="001A6DBC">
        <w:rPr>
          <w:i/>
          <w:iCs/>
        </w:rPr>
        <w:t xml:space="preserve">подчеркивая </w:t>
      </w:r>
      <w:r w:rsidRPr="001A6DBC">
        <w:t xml:space="preserve">важное значение деятельности Комитета по внутреннему транспорту и его вспомогательных органов для осуществления Типовых правил перевозки опасных грузов на </w:t>
      </w:r>
      <w:r>
        <w:t>таких</w:t>
      </w:r>
      <w:r w:rsidRPr="001A6DBC">
        <w:t xml:space="preserve"> видах внутреннего транспорта</w:t>
      </w:r>
      <w:r>
        <w:t xml:space="preserve">, как </w:t>
      </w:r>
      <w:r w:rsidRPr="001A6DBC">
        <w:t>автомобильн</w:t>
      </w:r>
      <w:r>
        <w:t>ый</w:t>
      </w:r>
      <w:r w:rsidRPr="001A6DBC">
        <w:t>, железнодорожн</w:t>
      </w:r>
      <w:r>
        <w:t>ый</w:t>
      </w:r>
      <w:r w:rsidRPr="001A6DBC">
        <w:t xml:space="preserve"> и внутренн</w:t>
      </w:r>
      <w:r>
        <w:t>ий</w:t>
      </w:r>
      <w:r w:rsidRPr="001A6DBC">
        <w:t xml:space="preserve"> водн</w:t>
      </w:r>
      <w:r>
        <w:t>ый</w:t>
      </w:r>
      <w:r w:rsidRPr="001A6DBC">
        <w:t xml:space="preserve"> транспорт,</w:t>
      </w:r>
    </w:p>
    <w:p w14:paraId="7E4AC9EA" w14:textId="77777777" w:rsidR="00614EFC" w:rsidRPr="001A6DBC" w:rsidRDefault="00614EFC" w:rsidP="00614EFC">
      <w:pPr>
        <w:pStyle w:val="SingleTxtG"/>
        <w:ind w:firstLine="567"/>
        <w:rPr>
          <w:i/>
        </w:rPr>
      </w:pPr>
      <w:r>
        <w:rPr>
          <w:i/>
          <w:iCs/>
        </w:rPr>
        <w:t>признавая</w:t>
      </w:r>
      <w:r w:rsidRPr="001A6DBC">
        <w:t xml:space="preserve">, что Соглашение о международной дорожной перевозке опасных грузов и Европейское соглашение о международной перевозке опасных грузов по внутренним водным путям являются важными инструментами для облегчения международной торговли опасными грузами и их трансграничной перевозки </w:t>
      </w:r>
      <w:r>
        <w:t>в условиях</w:t>
      </w:r>
      <w:r w:rsidRPr="001A6DBC">
        <w:t xml:space="preserve"> высок</w:t>
      </w:r>
      <w:r>
        <w:t>ого</w:t>
      </w:r>
      <w:r w:rsidRPr="001A6DBC">
        <w:t xml:space="preserve"> уровн</w:t>
      </w:r>
      <w:r>
        <w:t>я</w:t>
      </w:r>
      <w:r w:rsidRPr="001A6DBC">
        <w:t xml:space="preserve"> безопасности,</w:t>
      </w:r>
    </w:p>
    <w:p w14:paraId="1631196F" w14:textId="77777777" w:rsidR="00614EFC" w:rsidRPr="001A6DBC" w:rsidRDefault="00614EFC" w:rsidP="00614EFC">
      <w:pPr>
        <w:pStyle w:val="SingleTxtG"/>
        <w:ind w:firstLine="567"/>
        <w:rPr>
          <w:i/>
        </w:rPr>
      </w:pPr>
      <w:r w:rsidRPr="001A6DBC">
        <w:rPr>
          <w:i/>
          <w:iCs/>
        </w:rPr>
        <w:t xml:space="preserve">будучи встревожены </w:t>
      </w:r>
      <w:r w:rsidRPr="001A6DBC">
        <w:t xml:space="preserve">той срочностью, с которой наша планета нуждается в защите от климатических и экологических угроз, которые </w:t>
      </w:r>
      <w:r>
        <w:t>нарушают</w:t>
      </w:r>
      <w:r w:rsidRPr="001A6DBC">
        <w:t xml:space="preserve"> социально-экономическ</w:t>
      </w:r>
      <w:r>
        <w:t>ие процессы и</w:t>
      </w:r>
      <w:r w:rsidRPr="001A6DBC">
        <w:t xml:space="preserve"> непропорционально сильно затрагива</w:t>
      </w:r>
      <w:r>
        <w:t>ю</w:t>
      </w:r>
      <w:r w:rsidRPr="001A6DBC">
        <w:t>т малые островные развивающиеся государства, наименее развитые страны и развивающиеся страны, не имеющие выхода к морю,</w:t>
      </w:r>
    </w:p>
    <w:p w14:paraId="74A981E0" w14:textId="77777777" w:rsidR="00614EFC" w:rsidRPr="001A6DBC" w:rsidRDefault="00614EFC" w:rsidP="00614EFC">
      <w:pPr>
        <w:pStyle w:val="SingleTxtG"/>
        <w:ind w:firstLine="567"/>
      </w:pPr>
      <w:r w:rsidRPr="001A6DBC">
        <w:rPr>
          <w:i/>
          <w:iCs/>
        </w:rPr>
        <w:t>сознавая</w:t>
      </w:r>
      <w:r w:rsidRPr="001A6DBC">
        <w:t>, что внутренний транспорт оказывает влияние на эти нарушения и с</w:t>
      </w:r>
      <w:r>
        <w:t>ерьез</w:t>
      </w:r>
      <w:r w:rsidRPr="001A6DBC">
        <w:t>но страдает от них, что сопряжено с глубокими экономическими и социальными последствиями на мировом уровне,</w:t>
      </w:r>
    </w:p>
    <w:p w14:paraId="25E86450" w14:textId="77777777" w:rsidR="00614EFC" w:rsidRPr="001A6DBC" w:rsidRDefault="00614EFC" w:rsidP="00614EFC">
      <w:pPr>
        <w:pStyle w:val="SingleTxtG"/>
        <w:ind w:firstLine="567"/>
      </w:pPr>
      <w:r w:rsidRPr="001A6DBC">
        <w:rPr>
          <w:i/>
          <w:iCs/>
        </w:rPr>
        <w:t xml:space="preserve">признавая </w:t>
      </w:r>
      <w:r w:rsidRPr="001A6DBC">
        <w:t>ключевую роль Комитета по внутреннему транспорту в улучшении экологических показателей автомобильного транспорта, поддержке энергетического перехода в этом секторе, ускорении перехода к использованию экологически более чистых видов транспорта и решении проблемы роста уязвимости инфраструктуры внутреннего транспорта и мобильности,</w:t>
      </w:r>
    </w:p>
    <w:p w14:paraId="5F5D274E" w14:textId="77777777" w:rsidR="00614EFC" w:rsidRPr="001A6DBC" w:rsidRDefault="00614EFC" w:rsidP="00614EFC">
      <w:pPr>
        <w:pStyle w:val="SingleTxtG"/>
        <w:ind w:firstLine="567"/>
      </w:pPr>
      <w:r w:rsidRPr="001A6DBC">
        <w:rPr>
          <w:i/>
          <w:iCs/>
        </w:rPr>
        <w:t>сознавая</w:t>
      </w:r>
      <w:r w:rsidRPr="001A6DBC">
        <w:t>, что все изменения, необходимые для вступления в новую эру свершений в интересах устойчивого внутреннего транспорта и мобильности, требуют глобальной приверженности и участия членов Комитета по внутреннему транспорту и договаривающихся сторон,</w:t>
      </w:r>
    </w:p>
    <w:p w14:paraId="13B9B7CD" w14:textId="77777777" w:rsidR="00614EFC" w:rsidRPr="001A6DBC" w:rsidRDefault="00614EFC" w:rsidP="00614EFC">
      <w:pPr>
        <w:pStyle w:val="SingleTxtG"/>
        <w:ind w:firstLine="567"/>
        <w:rPr>
          <w:i/>
          <w:iCs/>
        </w:rPr>
      </w:pPr>
      <w:r w:rsidRPr="001A6DBC">
        <w:rPr>
          <w:i/>
          <w:iCs/>
        </w:rPr>
        <w:t>постановляем:</w:t>
      </w:r>
      <w:r w:rsidRPr="001A6DBC">
        <w:t xml:space="preserve"> </w:t>
      </w:r>
    </w:p>
    <w:p w14:paraId="56CCEC7E" w14:textId="77777777" w:rsidR="00614EFC" w:rsidRPr="001A6DBC" w:rsidRDefault="00614EFC" w:rsidP="00614EFC">
      <w:pPr>
        <w:pStyle w:val="SingleTxtG"/>
        <w:ind w:firstLine="567"/>
        <w:rPr>
          <w:iCs/>
        </w:rPr>
      </w:pPr>
      <w:r w:rsidRPr="001A6DBC">
        <w:t>a)</w:t>
      </w:r>
      <w:r w:rsidRPr="001A6DBC">
        <w:tab/>
      </w:r>
      <w:r w:rsidRPr="001A6DBC">
        <w:rPr>
          <w:i/>
          <w:iCs/>
        </w:rPr>
        <w:t>рекомендовать</w:t>
      </w:r>
      <w:r w:rsidRPr="001A6DBC">
        <w:t xml:space="preserve"> тем государствам </w:t>
      </w:r>
      <w:r>
        <w:t>—</w:t>
      </w:r>
      <w:r w:rsidRPr="001A6DBC">
        <w:t xml:space="preserve"> членам Организации Объединенных Наций, которые еще не сделали этого, рассмотреть вопрос о том, чтобы стать договаривающимися сторонами конвенций Организации Объединенных Наций, относящихся к ведению Комитета по внутреннему транспорту;</w:t>
      </w:r>
    </w:p>
    <w:p w14:paraId="0E998062" w14:textId="77777777" w:rsidR="00614EFC" w:rsidRPr="001A6DBC" w:rsidRDefault="00614EFC" w:rsidP="00614EFC">
      <w:pPr>
        <w:pStyle w:val="SingleTxtG"/>
        <w:ind w:firstLine="567"/>
        <w:rPr>
          <w:iCs/>
        </w:rPr>
      </w:pPr>
      <w:r w:rsidRPr="001A6DBC">
        <w:t>b)</w:t>
      </w:r>
      <w:r w:rsidRPr="001A6DBC">
        <w:tab/>
      </w:r>
      <w:r w:rsidRPr="001A6DBC">
        <w:rPr>
          <w:i/>
          <w:iCs/>
        </w:rPr>
        <w:t xml:space="preserve">ускорить </w:t>
      </w:r>
      <w:r w:rsidRPr="001A6DBC">
        <w:t xml:space="preserve">дальнейшее развитие и регулярное обновление правовых документов Комитета по внутреннему транспорту, </w:t>
      </w:r>
      <w:r>
        <w:t xml:space="preserve">с тем </w:t>
      </w:r>
      <w:r w:rsidRPr="001A6DBC">
        <w:t>чтобы</w:t>
      </w:r>
      <w:r>
        <w:t xml:space="preserve"> сократить фрагментарность </w:t>
      </w:r>
      <w:r w:rsidRPr="001A6DBC">
        <w:t>нормативны</w:t>
      </w:r>
      <w:r>
        <w:t>х</w:t>
      </w:r>
      <w:r w:rsidRPr="001A6DBC">
        <w:t xml:space="preserve"> рам</w:t>
      </w:r>
      <w:r>
        <w:t>ок</w:t>
      </w:r>
      <w:r w:rsidRPr="001A6DBC">
        <w:t xml:space="preserve"> и </w:t>
      </w:r>
      <w:r>
        <w:t>повысить их</w:t>
      </w:r>
      <w:r w:rsidRPr="001A6DBC">
        <w:t xml:space="preserve"> согласованн</w:t>
      </w:r>
      <w:r>
        <w:t>ость</w:t>
      </w:r>
      <w:r w:rsidRPr="001A6DBC">
        <w:t>, актуаль</w:t>
      </w:r>
      <w:r>
        <w:t>ность</w:t>
      </w:r>
      <w:r w:rsidRPr="001A6DBC">
        <w:t xml:space="preserve"> и </w:t>
      </w:r>
      <w:r>
        <w:t>эффективность</w:t>
      </w:r>
      <w:r w:rsidRPr="001A6DBC">
        <w:t xml:space="preserve"> с учетом быстро меняющегося стратегического ландшафта путем полноценной интеграции и поощрения технологических изменений на всех видах внутреннего транспорта, особенно в отношении интеллектуальных транспортных систем, автономных и подключенных транспортных средств, автоматизированного </w:t>
      </w:r>
      <w:r w:rsidRPr="001A6DBC">
        <w:lastRenderedPageBreak/>
        <w:t xml:space="preserve">вождения и цифровизации транспортной документации и процедур в сфере международных перевозок; </w:t>
      </w:r>
    </w:p>
    <w:p w14:paraId="31DEE494" w14:textId="7648AA9C" w:rsidR="00614EFC" w:rsidRPr="001A6DBC" w:rsidRDefault="00614EFC" w:rsidP="00614EFC">
      <w:pPr>
        <w:pStyle w:val="SingleTxtG"/>
        <w:ind w:firstLine="567"/>
      </w:pPr>
      <w:r w:rsidRPr="001A6DBC">
        <w:t>c)</w:t>
      </w:r>
      <w:r w:rsidRPr="001A6DBC">
        <w:tab/>
      </w:r>
      <w:r w:rsidRPr="001A6DBC">
        <w:rPr>
          <w:i/>
          <w:iCs/>
        </w:rPr>
        <w:t>призвать</w:t>
      </w:r>
      <w:r w:rsidRPr="001A6DBC">
        <w:t xml:space="preserve"> государства — члены Организации Объединенных Наций, являющиеся договаривающимися сторонами, расширить свое участие в работе Комитета и его вспомогательных органов в соответствии с</w:t>
      </w:r>
      <w:r>
        <w:t>о своими</w:t>
      </w:r>
      <w:r w:rsidRPr="001A6DBC">
        <w:t xml:space="preserve"> установленными правами, </w:t>
      </w:r>
      <w:r>
        <w:t xml:space="preserve">с тем </w:t>
      </w:r>
      <w:r w:rsidRPr="001A6DBC">
        <w:t>чтобы ускорить разработку и активизировать внедрение нормативных рамок и тем самым поддержать достижение целей устойчивого развития</w:t>
      </w:r>
      <w:r w:rsidR="00884C44">
        <w:t>;</w:t>
      </w:r>
      <w:r w:rsidRPr="001A6DBC">
        <w:t xml:space="preserve"> </w:t>
      </w:r>
    </w:p>
    <w:p w14:paraId="4EF3C55A" w14:textId="77777777" w:rsidR="00614EFC" w:rsidRPr="001A6DBC" w:rsidRDefault="00614EFC" w:rsidP="00614EFC">
      <w:pPr>
        <w:pStyle w:val="SingleTxtG"/>
        <w:ind w:firstLine="567"/>
      </w:pPr>
      <w:r w:rsidRPr="001A6DBC">
        <w:t>d)</w:t>
      </w:r>
      <w:r w:rsidRPr="001A6DBC">
        <w:tab/>
      </w:r>
      <w:r w:rsidRPr="001A6DBC">
        <w:rPr>
          <w:i/>
          <w:iCs/>
        </w:rPr>
        <w:t xml:space="preserve">поручить </w:t>
      </w:r>
      <w:r w:rsidRPr="001A6DBC">
        <w:t xml:space="preserve">секретариату оценить эффективность существующих соглашений и резолюций в свете меняющихся условий и задач, а также разработать варианты развития механизмов для усиления мониторинга выполнения ключевых конвенций и представить Комитету по внутреннему транспорту всеобъемлющий документ </w:t>
      </w:r>
      <w:r>
        <w:t xml:space="preserve">по вопросам политики </w:t>
      </w:r>
      <w:r w:rsidRPr="001A6DBC">
        <w:t>для рассмотрения на его восемьдесят пятой сессии;</w:t>
      </w:r>
    </w:p>
    <w:p w14:paraId="78E6E163" w14:textId="77777777" w:rsidR="00614EFC" w:rsidRPr="001A6DBC" w:rsidRDefault="00614EFC" w:rsidP="00614EFC">
      <w:pPr>
        <w:pStyle w:val="SingleTxtG"/>
        <w:ind w:firstLine="567"/>
      </w:pPr>
      <w:r w:rsidRPr="001A6DBC">
        <w:t>e)</w:t>
      </w:r>
      <w:r w:rsidRPr="001A6DBC">
        <w:tab/>
      </w:r>
      <w:r w:rsidRPr="001A6DBC">
        <w:rPr>
          <w:i/>
          <w:iCs/>
        </w:rPr>
        <w:t xml:space="preserve">рекомендовать </w:t>
      </w:r>
      <w:r w:rsidRPr="001A6DBC">
        <w:t xml:space="preserve">договаривающимся сторонам Соглашения о международной дорожной перевозке опасных грузов использовать </w:t>
      </w:r>
      <w:r w:rsidRPr="00326206">
        <w:t>средства телематики</w:t>
      </w:r>
      <w:r w:rsidRPr="001A6DBC">
        <w:t xml:space="preserve"> при перевозке опасных грузов; </w:t>
      </w:r>
    </w:p>
    <w:p w14:paraId="4C618F0C" w14:textId="77777777" w:rsidR="00614EFC" w:rsidRPr="001A6DBC" w:rsidRDefault="00614EFC" w:rsidP="00614EFC">
      <w:pPr>
        <w:pStyle w:val="SingleTxtG"/>
        <w:ind w:firstLine="567"/>
      </w:pPr>
      <w:r w:rsidRPr="001A6DBC">
        <w:t>f)</w:t>
      </w:r>
      <w:r w:rsidRPr="001A6DBC">
        <w:tab/>
      </w:r>
      <w:r>
        <w:rPr>
          <w:i/>
          <w:iCs/>
        </w:rPr>
        <w:t>призвать</w:t>
      </w:r>
      <w:r w:rsidRPr="001A6DBC">
        <w:rPr>
          <w:i/>
          <w:iCs/>
        </w:rPr>
        <w:t xml:space="preserve"> </w:t>
      </w:r>
      <w:r w:rsidRPr="001A6DBC">
        <w:t>договаривающи</w:t>
      </w:r>
      <w:r>
        <w:t>е</w:t>
      </w:r>
      <w:r w:rsidRPr="001A6DBC">
        <w:t>ся сторон</w:t>
      </w:r>
      <w:r>
        <w:t>ы</w:t>
      </w:r>
      <w:r w:rsidRPr="001A6DBC">
        <w:t xml:space="preserve"> Таможенной конвенции о международной перевозке грузов с применением книжки МДП (Конвенци</w:t>
      </w:r>
      <w:r>
        <w:t>я</w:t>
      </w:r>
      <w:r w:rsidRPr="001A6DBC">
        <w:t xml:space="preserve"> МДП) ускорить подключени</w:t>
      </w:r>
      <w:r>
        <w:t>е сво</w:t>
      </w:r>
      <w:r w:rsidRPr="001A6DBC">
        <w:t>их национальны</w:t>
      </w:r>
      <w:r>
        <w:t>х</w:t>
      </w:r>
      <w:r w:rsidRPr="001A6DBC">
        <w:t xml:space="preserve"> таможенны</w:t>
      </w:r>
      <w:r>
        <w:t>х</w:t>
      </w:r>
      <w:r w:rsidRPr="001A6DBC">
        <w:t xml:space="preserve"> систем </w:t>
      </w:r>
      <w:r>
        <w:t>к</w:t>
      </w:r>
      <w:r w:rsidRPr="001A6DBC">
        <w:t xml:space="preserve"> международной систем</w:t>
      </w:r>
      <w:r>
        <w:t>е</w:t>
      </w:r>
      <w:r w:rsidRPr="001A6DBC">
        <w:t xml:space="preserve"> eTIR и в первоочередном порядке начать использование электронных гарантий, а договаривающи</w:t>
      </w:r>
      <w:r>
        <w:t>е</w:t>
      </w:r>
      <w:r w:rsidRPr="001A6DBC">
        <w:t>ся сторон</w:t>
      </w:r>
      <w:r>
        <w:t>ы</w:t>
      </w:r>
      <w:r w:rsidRPr="001A6DBC">
        <w:t xml:space="preserve"> Дополнительного протокола к Конвенции о договоре международной дорожной перевозки грузов, касающегося электронной накладной, достичь согласия в отношении концепций и функционирования системы, предусмотренной в Дополнительном протоколе, что </w:t>
      </w:r>
      <w:r>
        <w:t xml:space="preserve">позволит </w:t>
      </w:r>
      <w:r w:rsidRPr="001A6DBC">
        <w:t>обеспечит</w:t>
      </w:r>
      <w:r>
        <w:t>ь</w:t>
      </w:r>
      <w:r w:rsidRPr="001A6DBC">
        <w:t xml:space="preserve"> плавный и эффективный переход от пилотных проектов к </w:t>
      </w:r>
      <w:r w:rsidRPr="00FD5B5F">
        <w:t>реальному использованию</w:t>
      </w:r>
      <w:r w:rsidRPr="001A6DBC">
        <w:t>;</w:t>
      </w:r>
    </w:p>
    <w:p w14:paraId="55B99168" w14:textId="77777777" w:rsidR="00614EFC" w:rsidRPr="001A6DBC" w:rsidRDefault="00614EFC" w:rsidP="00614EFC">
      <w:pPr>
        <w:pStyle w:val="SingleTxtG"/>
        <w:ind w:firstLine="567"/>
      </w:pPr>
      <w:r w:rsidRPr="001A6DBC">
        <w:t>g)</w:t>
      </w:r>
      <w:r w:rsidRPr="001A6DBC">
        <w:tab/>
      </w:r>
      <w:r w:rsidRPr="001A6DBC">
        <w:rPr>
          <w:i/>
          <w:iCs/>
        </w:rPr>
        <w:t xml:space="preserve">рекомендовать </w:t>
      </w:r>
      <w:r w:rsidRPr="001A6DBC">
        <w:t>член</w:t>
      </w:r>
      <w:r>
        <w:t>ам</w:t>
      </w:r>
      <w:r w:rsidRPr="001A6DBC">
        <w:t xml:space="preserve"> Комитета по внутреннему транспорту ускорить процесс назначения координаторов, </w:t>
      </w:r>
      <w:r>
        <w:t xml:space="preserve">с тем </w:t>
      </w:r>
      <w:r w:rsidRPr="001A6DBC">
        <w:t xml:space="preserve">чтобы в полной мере воспользоваться общественными благами и инновационными услугами, которые предлагает </w:t>
      </w:r>
      <w:r>
        <w:t>функционирующая</w:t>
      </w:r>
      <w:r w:rsidRPr="001A6DBC">
        <w:t xml:space="preserve"> в полном объеме Международн</w:t>
      </w:r>
      <w:r>
        <w:t>ая обсерватория для</w:t>
      </w:r>
      <w:r w:rsidRPr="001A6DBC">
        <w:t xml:space="preserve"> мониторинга транспортной инфраструктуры, занимающ</w:t>
      </w:r>
      <w:r>
        <w:t>ая</w:t>
      </w:r>
      <w:r w:rsidRPr="001A6DBC">
        <w:t>ся цифровизацией инфраструктурных соглашений Организации Объединенных Наций и способству</w:t>
      </w:r>
      <w:r>
        <w:t>ющая</w:t>
      </w:r>
      <w:r w:rsidRPr="001A6DBC">
        <w:t xml:space="preserve"> дальнейшему улучшению межрегиональной транспортной связанности и увеличению финансирования транспортной инфраструктуры;</w:t>
      </w:r>
    </w:p>
    <w:p w14:paraId="4B0C18A6" w14:textId="77777777" w:rsidR="00614EFC" w:rsidRPr="001A6DBC" w:rsidRDefault="00614EFC" w:rsidP="00614EFC">
      <w:pPr>
        <w:pStyle w:val="SingleTxtG"/>
        <w:ind w:firstLine="567"/>
      </w:pPr>
      <w:r w:rsidRPr="001A6DBC">
        <w:t>h)</w:t>
      </w:r>
      <w:r w:rsidRPr="001A6DBC">
        <w:tab/>
      </w:r>
      <w:r w:rsidRPr="001A6DBC">
        <w:rPr>
          <w:i/>
          <w:iCs/>
        </w:rPr>
        <w:t xml:space="preserve">укреплять </w:t>
      </w:r>
      <w:r w:rsidRPr="001A6DBC">
        <w:t>партнерские отношения, используя платформу, предоставляемую Комитетом по внутреннему транспорту, со всеми соответствующими заинтересованными сторонами</w:t>
      </w:r>
      <w:r>
        <w:t>,</w:t>
      </w:r>
      <w:r w:rsidRPr="001A6DBC">
        <w:t xml:space="preserve"> </w:t>
      </w:r>
      <w:r>
        <w:t>будь то государства или нет,</w:t>
      </w:r>
      <w:r w:rsidRPr="001A6DBC">
        <w:t xml:space="preserve"> для преодоления вызовов, связанных с устойчивым развитием внутреннего транспорта, и </w:t>
      </w:r>
      <w:r>
        <w:t>кардинального изменения ситуации</w:t>
      </w:r>
      <w:r w:rsidRPr="001A6DBC">
        <w:t xml:space="preserve"> с достижением целей устойчивого развития</w:t>
      </w:r>
      <w:r>
        <w:t xml:space="preserve"> и</w:t>
      </w:r>
      <w:r w:rsidRPr="001A6DBC">
        <w:t xml:space="preserve"> </w:t>
      </w:r>
      <w:r w:rsidRPr="00CB205F">
        <w:rPr>
          <w:i/>
          <w:iCs/>
          <w:color w:val="000000" w:themeColor="text1"/>
        </w:rPr>
        <w:t>поручить</w:t>
      </w:r>
      <w:r w:rsidRPr="001A6DBC">
        <w:rPr>
          <w:i/>
          <w:iCs/>
        </w:rPr>
        <w:t xml:space="preserve"> </w:t>
      </w:r>
      <w:r w:rsidRPr="001A6DBC">
        <w:t xml:space="preserve">секретариату в тесном сотрудничестве с Бюро Комитета подготовить предложения для </w:t>
      </w:r>
      <w:r>
        <w:t>разработки</w:t>
      </w:r>
      <w:r w:rsidRPr="001A6DBC">
        <w:t xml:space="preserve"> инициатив по взаимному сотрудничеству и соответствующи</w:t>
      </w:r>
      <w:r>
        <w:t>х</w:t>
      </w:r>
      <w:r w:rsidRPr="001A6DBC">
        <w:t xml:space="preserve"> мероприяти</w:t>
      </w:r>
      <w:r>
        <w:t>й</w:t>
      </w:r>
      <w:r w:rsidRPr="001A6DBC">
        <w:t xml:space="preserve"> с другими региональными комиссиями;</w:t>
      </w:r>
    </w:p>
    <w:p w14:paraId="2A1A784A" w14:textId="77777777" w:rsidR="00614EFC" w:rsidRPr="001A6DBC" w:rsidRDefault="00614EFC" w:rsidP="00614EFC">
      <w:pPr>
        <w:pStyle w:val="SingleTxtG"/>
        <w:ind w:firstLine="567"/>
      </w:pPr>
      <w:r w:rsidRPr="001A6DBC">
        <w:t>i)</w:t>
      </w:r>
      <w:r w:rsidRPr="001A6DBC">
        <w:tab/>
      </w:r>
      <w:r w:rsidRPr="001A6DBC">
        <w:rPr>
          <w:i/>
          <w:iCs/>
        </w:rPr>
        <w:t xml:space="preserve">работать </w:t>
      </w:r>
      <w:r w:rsidRPr="001A6DBC">
        <w:t>над улучшением региональной и межрегиональной транспортной связанности путем обеспечения устойчивости, эффективности, доступности, пропускной способности, безопасности и надежности международных транспортных коридоров</w:t>
      </w:r>
      <w:r>
        <w:t>, а также</w:t>
      </w:r>
      <w:r w:rsidRPr="001A6DBC">
        <w:t xml:space="preserve"> путем поддержки соответствующих инфраструктурных соглашений и проектов </w:t>
      </w:r>
      <w:r>
        <w:t>с использованием</w:t>
      </w:r>
      <w:r w:rsidRPr="001A6DBC">
        <w:t xml:space="preserve"> платформы, предоставляемой Комитетом по внутреннему транспорту; </w:t>
      </w:r>
    </w:p>
    <w:p w14:paraId="54857C82" w14:textId="77777777" w:rsidR="00614EFC" w:rsidRPr="001A6DBC" w:rsidRDefault="00614EFC" w:rsidP="00614EFC">
      <w:pPr>
        <w:pStyle w:val="SingleTxtG"/>
        <w:ind w:firstLine="567"/>
      </w:pPr>
      <w:r w:rsidRPr="001A6DBC">
        <w:t>j)</w:t>
      </w:r>
      <w:r w:rsidRPr="001A6DBC">
        <w:tab/>
      </w:r>
      <w:r>
        <w:rPr>
          <w:i/>
          <w:iCs/>
        </w:rPr>
        <w:t>призвать</w:t>
      </w:r>
      <w:r w:rsidRPr="001A6DBC">
        <w:rPr>
          <w:i/>
          <w:iCs/>
        </w:rPr>
        <w:t xml:space="preserve"> </w:t>
      </w:r>
      <w:r w:rsidRPr="001A6DBC">
        <w:t>государства-член</w:t>
      </w:r>
      <w:r>
        <w:t>ы</w:t>
      </w:r>
      <w:r w:rsidRPr="001A6DBC">
        <w:t xml:space="preserve"> и основны</w:t>
      </w:r>
      <w:r>
        <w:t>е</w:t>
      </w:r>
      <w:r w:rsidRPr="001A6DBC">
        <w:t xml:space="preserve"> заинтересованны</w:t>
      </w:r>
      <w:r>
        <w:t>е</w:t>
      </w:r>
      <w:r w:rsidRPr="001A6DBC">
        <w:t xml:space="preserve"> сторон</w:t>
      </w:r>
      <w:r>
        <w:t>ы</w:t>
      </w:r>
      <w:r w:rsidRPr="001A6DBC">
        <w:t xml:space="preserve"> шаг за шагом создавать, </w:t>
      </w:r>
      <w:r>
        <w:t>дорабатыва</w:t>
      </w:r>
      <w:r w:rsidRPr="001A6DBC">
        <w:t>ть или укреплять национальные системы обеспечения безопасности дорожного движения для успешного решения задач второго Десятилетия действий по обеспечению безопасности дорожного движения;</w:t>
      </w:r>
    </w:p>
    <w:p w14:paraId="200667F6" w14:textId="77777777" w:rsidR="00614EFC" w:rsidRPr="001A6DBC" w:rsidRDefault="00614EFC" w:rsidP="00614EFC">
      <w:pPr>
        <w:pStyle w:val="SingleTxtG"/>
        <w:ind w:firstLine="567"/>
      </w:pPr>
      <w:r w:rsidRPr="001A6DBC">
        <w:t>k)</w:t>
      </w:r>
      <w:r w:rsidRPr="001A6DBC">
        <w:tab/>
      </w:r>
      <w:r w:rsidRPr="001A6DBC">
        <w:rPr>
          <w:i/>
          <w:iCs/>
        </w:rPr>
        <w:t xml:space="preserve">поручить </w:t>
      </w:r>
      <w:r w:rsidRPr="001A6DBC">
        <w:t>секретариату на основе процесса оценки системы обеспечения безопасности дорожного движения, одобренного Комитетом по внутреннему транспорту на его восемьдесят второй сессии, разработать инструмент оценки, который позволит расширить оперативные возможности национальных администраций</w:t>
      </w:r>
      <w:r>
        <w:t>,</w:t>
      </w:r>
      <w:r w:rsidRPr="001A6DBC">
        <w:t xml:space="preserve"> особенно в странах с низким и средним уровнем дохода</w:t>
      </w:r>
      <w:r>
        <w:t>,</w:t>
      </w:r>
      <w:r w:rsidRPr="001A6DBC">
        <w:t xml:space="preserve"> </w:t>
      </w:r>
      <w:r>
        <w:t>для</w:t>
      </w:r>
      <w:r w:rsidRPr="001A6DBC">
        <w:t xml:space="preserve"> </w:t>
      </w:r>
      <w:r w:rsidRPr="001A6DBC">
        <w:lastRenderedPageBreak/>
        <w:t>систематическо</w:t>
      </w:r>
      <w:r>
        <w:t>го</w:t>
      </w:r>
      <w:r w:rsidRPr="001A6DBC">
        <w:t xml:space="preserve"> и эффективно</w:t>
      </w:r>
      <w:r>
        <w:t>го</w:t>
      </w:r>
      <w:r w:rsidRPr="001A6DBC">
        <w:t xml:space="preserve"> выявлени</w:t>
      </w:r>
      <w:r>
        <w:t>я</w:t>
      </w:r>
      <w:r w:rsidRPr="001A6DBC">
        <w:t xml:space="preserve"> пробелов в </w:t>
      </w:r>
      <w:r>
        <w:t>сво</w:t>
      </w:r>
      <w:r w:rsidRPr="001A6DBC">
        <w:t xml:space="preserve">их национальных системах обеспечения безопасности дорожного движения в соответствии с </w:t>
      </w:r>
      <w:r w:rsidRPr="00DF3157">
        <w:t>принципами системного подхода к обеспечению безопасности</w:t>
      </w:r>
      <w:r w:rsidRPr="001A6DBC">
        <w:t>, лежащими в основе рекомендаций по укреплению национальных систем безопасности дорожного движения;</w:t>
      </w:r>
    </w:p>
    <w:p w14:paraId="30CF0EF3" w14:textId="77777777" w:rsidR="00614EFC" w:rsidRPr="001A6DBC" w:rsidRDefault="00614EFC" w:rsidP="00614EFC">
      <w:pPr>
        <w:pStyle w:val="SingleTxtG"/>
        <w:ind w:firstLine="567"/>
      </w:pPr>
      <w:r w:rsidRPr="001A6DBC">
        <w:t>l)</w:t>
      </w:r>
      <w:r w:rsidRPr="001A6DBC">
        <w:tab/>
      </w:r>
      <w:r w:rsidRPr="001A6DBC">
        <w:rPr>
          <w:i/>
          <w:iCs/>
        </w:rPr>
        <w:t>задействовать в срочном порядке</w:t>
      </w:r>
      <w:r w:rsidRPr="001A6DBC">
        <w:t xml:space="preserve"> соответствующие функции Комитета по внутреннему транспорту в области регулирования и </w:t>
      </w:r>
      <w:r>
        <w:t>выработки</w:t>
      </w:r>
      <w:r w:rsidRPr="001A6DBC">
        <w:t xml:space="preserve"> рекомендаций по вопросам политики в целях сокращения вредных выбросов и энергопотребления, особенно на автомобильном транспорте, для поощрения интермодальности и согласованных решений в отношении климатических проблем и ухудшения состояния окружающей среды</w:t>
      </w:r>
      <w:r>
        <w:t xml:space="preserve">, а также для </w:t>
      </w:r>
      <w:r w:rsidRPr="001A6DBC">
        <w:t xml:space="preserve">оптимизации </w:t>
      </w:r>
      <w:r>
        <w:t>комбинированного использования видов транспорта в ходе</w:t>
      </w:r>
      <w:r w:rsidRPr="001A6DBC">
        <w:t xml:space="preserve"> </w:t>
      </w:r>
      <w:r>
        <w:t xml:space="preserve">пассажирских и грузовых </w:t>
      </w:r>
      <w:r w:rsidRPr="001A6DBC">
        <w:t>перевоз</w:t>
      </w:r>
      <w:r>
        <w:t>ок</w:t>
      </w:r>
      <w:r w:rsidRPr="001A6DBC">
        <w:t xml:space="preserve">, </w:t>
      </w:r>
      <w:r>
        <w:t xml:space="preserve">с тем </w:t>
      </w:r>
      <w:r w:rsidRPr="001A6DBC">
        <w:t xml:space="preserve">чтобы повысить вклад сектора внутреннего транспорта в реализацию целей и задач Рамочной конвенции Организации Объединенных Наций об изменении климата и Парижского соглашения, уделяя при этом особое внимание потребностям малых островных развивающихся государств, наименее развитых стран и развивающихся стран, не имеющих выхода к морю, </w:t>
      </w:r>
      <w:r>
        <w:t>для</w:t>
      </w:r>
      <w:r w:rsidRPr="001A6DBC">
        <w:t xml:space="preserve"> </w:t>
      </w:r>
      <w:r>
        <w:t>достижения их целей</w:t>
      </w:r>
      <w:r w:rsidRPr="001A6DBC">
        <w:t xml:space="preserve"> в области устойчив</w:t>
      </w:r>
      <w:r>
        <w:t>ых</w:t>
      </w:r>
      <w:r w:rsidRPr="001A6DBC">
        <w:t xml:space="preserve"> транспорт</w:t>
      </w:r>
      <w:r>
        <w:t>ных систем</w:t>
      </w:r>
      <w:r w:rsidRPr="001A6DBC">
        <w:t xml:space="preserve"> с низким уровнем выбросов; </w:t>
      </w:r>
    </w:p>
    <w:p w14:paraId="127D5E2A" w14:textId="77777777" w:rsidR="00614EFC" w:rsidRPr="001A6DBC" w:rsidRDefault="00614EFC" w:rsidP="00614EFC">
      <w:pPr>
        <w:pStyle w:val="SingleTxtG"/>
        <w:ind w:firstLine="567"/>
      </w:pPr>
      <w:r w:rsidRPr="001A6DBC">
        <w:t>m)</w:t>
      </w:r>
      <w:r w:rsidRPr="001A6DBC">
        <w:tab/>
      </w:r>
      <w:r w:rsidRPr="001A6DBC">
        <w:rPr>
          <w:i/>
          <w:iCs/>
        </w:rPr>
        <w:t xml:space="preserve">предложить </w:t>
      </w:r>
      <w:r w:rsidRPr="001A6DBC">
        <w:t xml:space="preserve">государствам-членам активно участвовать в работе Комитета по внутреннему транспорту и его вспомогательных органов по повышению устойчивости транспортных систем к нынешним и будущим последствиям изменения климата и </w:t>
      </w:r>
      <w:r>
        <w:t>сопутствующим</w:t>
      </w:r>
      <w:r w:rsidRPr="001A6DBC">
        <w:t xml:space="preserve"> экстремальны</w:t>
      </w:r>
      <w:r>
        <w:t>м</w:t>
      </w:r>
      <w:r w:rsidRPr="001A6DBC">
        <w:t xml:space="preserve"> погодны</w:t>
      </w:r>
      <w:r>
        <w:t>м</w:t>
      </w:r>
      <w:r w:rsidRPr="001A6DBC">
        <w:t xml:space="preserve"> явлени</w:t>
      </w:r>
      <w:r>
        <w:t>ям</w:t>
      </w:r>
      <w:r w:rsidRPr="001A6DBC">
        <w:t xml:space="preserve">, тем самым способствуя обеспечению надлежащего уровня осведомленности и знаний о способах учета соображений, </w:t>
      </w:r>
      <w:r>
        <w:t>касающихся</w:t>
      </w:r>
      <w:r w:rsidRPr="001A6DBC">
        <w:t xml:space="preserve"> изменени</w:t>
      </w:r>
      <w:r>
        <w:t>я</w:t>
      </w:r>
      <w:r w:rsidRPr="001A6DBC">
        <w:t xml:space="preserve"> климата, в процессах планирования перевозок и связанной с </w:t>
      </w:r>
      <w:r>
        <w:t>ними</w:t>
      </w:r>
      <w:r w:rsidRPr="001A6DBC">
        <w:t xml:space="preserve"> оперативной деятельности;</w:t>
      </w:r>
    </w:p>
    <w:p w14:paraId="6E923B96" w14:textId="77777777" w:rsidR="00614EFC" w:rsidRPr="001A6DBC" w:rsidRDefault="00614EFC" w:rsidP="00614EFC">
      <w:pPr>
        <w:pStyle w:val="SingleTxtG"/>
        <w:ind w:firstLine="567"/>
      </w:pPr>
      <w:r w:rsidRPr="001A6DBC">
        <w:t>n)</w:t>
      </w:r>
      <w:r w:rsidRPr="001A6DBC">
        <w:tab/>
      </w:r>
      <w:r w:rsidRPr="001A6DBC">
        <w:rPr>
          <w:i/>
          <w:iCs/>
        </w:rPr>
        <w:t>укреп</w:t>
      </w:r>
      <w:r>
        <w:rPr>
          <w:i/>
          <w:iCs/>
        </w:rPr>
        <w:t>и</w:t>
      </w:r>
      <w:r w:rsidRPr="001A6DBC">
        <w:rPr>
          <w:i/>
          <w:iCs/>
        </w:rPr>
        <w:t xml:space="preserve">ть </w:t>
      </w:r>
      <w:r w:rsidRPr="001A6DBC">
        <w:t xml:space="preserve">нормативные рамки для устойчивых интермодальных перевозок путем </w:t>
      </w:r>
      <w:r>
        <w:t>поощрения</w:t>
      </w:r>
      <w:r w:rsidRPr="001A6DBC">
        <w:t xml:space="preserve"> правовых и политических решений в области железнодорожного, внутреннего водного и интермодального транспорта и логистики с целью снижения воздействия транспорта на окружающую среду, расширения доступности и повышения эффективности;</w:t>
      </w:r>
    </w:p>
    <w:p w14:paraId="7B04CA85" w14:textId="77777777" w:rsidR="00614EFC" w:rsidRPr="001A6DBC" w:rsidRDefault="00614EFC" w:rsidP="00614EFC">
      <w:pPr>
        <w:pStyle w:val="SingleTxtG"/>
        <w:ind w:firstLine="567"/>
      </w:pPr>
      <w:r w:rsidRPr="001A6DBC">
        <w:t xml:space="preserve">o) </w:t>
      </w:r>
      <w:r w:rsidRPr="001A6DBC">
        <w:tab/>
      </w:r>
      <w:r w:rsidRPr="001A6DBC">
        <w:rPr>
          <w:i/>
          <w:iCs/>
        </w:rPr>
        <w:t>укреп</w:t>
      </w:r>
      <w:r>
        <w:rPr>
          <w:i/>
          <w:iCs/>
        </w:rPr>
        <w:t>и</w:t>
      </w:r>
      <w:r w:rsidRPr="001A6DBC">
        <w:rPr>
          <w:i/>
          <w:iCs/>
        </w:rPr>
        <w:t>ть также</w:t>
      </w:r>
      <w:r w:rsidRPr="001A6DBC">
        <w:t xml:space="preserve"> межсектор</w:t>
      </w:r>
      <w:r>
        <w:t>альну</w:t>
      </w:r>
      <w:r w:rsidRPr="001A6DBC">
        <w:t>ю деятельность в рамках правовых документов Комитета по внутреннему транспорту и с другими отраслевыми комитетами Европейской экономической комиссии для дальнейше</w:t>
      </w:r>
      <w:r>
        <w:t>го</w:t>
      </w:r>
      <w:r w:rsidRPr="001A6DBC">
        <w:t xml:space="preserve"> </w:t>
      </w:r>
      <w:r>
        <w:t>развития</w:t>
      </w:r>
      <w:r w:rsidRPr="001A6DBC">
        <w:t xml:space="preserve"> </w:t>
      </w:r>
      <w:r>
        <w:t xml:space="preserve">практических результатов работы </w:t>
      </w:r>
      <w:r w:rsidRPr="001A6DBC">
        <w:t>в поддержку циклической экономики в соответствии с решениями, принятыми на шестьдесят девятой сессии Европейской экономической комиссии</w:t>
      </w:r>
      <w:r>
        <w:t>, обращая особое внимание на то</w:t>
      </w:r>
      <w:r w:rsidRPr="001A6DBC">
        <w:t xml:space="preserve">, что цикличность </w:t>
      </w:r>
      <w:r>
        <w:t>является важнейш</w:t>
      </w:r>
      <w:r w:rsidRPr="001A6DBC">
        <w:t>им вопросом</w:t>
      </w:r>
      <w:r>
        <w:t>,</w:t>
      </w:r>
      <w:r w:rsidRPr="001A6DBC">
        <w:t xml:space="preserve"> приобретающим все большее значение, в отношении которого новые или обновленные правовые документы могли бы принести значительную пользу;</w:t>
      </w:r>
    </w:p>
    <w:p w14:paraId="01DA5937" w14:textId="77777777" w:rsidR="00614EFC" w:rsidRPr="001A6DBC" w:rsidRDefault="00614EFC" w:rsidP="00614EFC">
      <w:pPr>
        <w:pStyle w:val="SingleTxtG"/>
        <w:ind w:firstLine="567"/>
        <w:rPr>
          <w:iCs/>
        </w:rPr>
      </w:pPr>
      <w:r w:rsidRPr="001A6DBC">
        <w:t>p)</w:t>
      </w:r>
      <w:r w:rsidRPr="001A6DBC">
        <w:tab/>
      </w:r>
      <w:r w:rsidRPr="001A6DBC">
        <w:rPr>
          <w:i/>
          <w:iCs/>
        </w:rPr>
        <w:t>заявить о готовности</w:t>
      </w:r>
      <w:r w:rsidRPr="001A6DBC">
        <w:t xml:space="preserve"> поддерживать </w:t>
      </w:r>
      <w:r>
        <w:t>осуществление</w:t>
      </w:r>
      <w:r w:rsidRPr="001A6DBC">
        <w:t xml:space="preserve"> Стратегии Комитета по внутреннему транспорту на период до 2030 года, уделяя должное внимание важности мобилизации ресурсов и согласованию финансовых потоков с задачами</w:t>
      </w:r>
      <w:r>
        <w:t xml:space="preserve"> в области</w:t>
      </w:r>
      <w:r w:rsidRPr="001A6DBC">
        <w:t xml:space="preserve"> устойчивого развития, в интересах предоставления Комитету возможности полностью выполнить свою расширенную программу работы и удовлетвор</w:t>
      </w:r>
      <w:r>
        <w:t>я</w:t>
      </w:r>
      <w:r w:rsidRPr="001A6DBC">
        <w:t>ть потребности внутреннего транспорта</w:t>
      </w:r>
      <w:r>
        <w:t xml:space="preserve"> на</w:t>
      </w:r>
      <w:r w:rsidRPr="00DB6DB2">
        <w:t xml:space="preserve"> </w:t>
      </w:r>
      <w:r w:rsidRPr="001A6DBC">
        <w:t>регионально</w:t>
      </w:r>
      <w:r>
        <w:t xml:space="preserve">м </w:t>
      </w:r>
      <w:r w:rsidRPr="001A6DBC">
        <w:t>и глобально</w:t>
      </w:r>
      <w:r>
        <w:t>м уровнях</w:t>
      </w:r>
      <w:r w:rsidRPr="001A6DBC">
        <w:t xml:space="preserve">. </w:t>
      </w:r>
    </w:p>
    <w:p w14:paraId="4A94821A" w14:textId="6D490119" w:rsidR="00E12C5F" w:rsidRPr="008D53B6" w:rsidRDefault="00614EFC" w:rsidP="00614EFC">
      <w:pPr>
        <w:spacing w:before="240"/>
        <w:jc w:val="center"/>
      </w:pPr>
      <w:r w:rsidRPr="003734F2">
        <w:rPr>
          <w:u w:val="single"/>
        </w:rPr>
        <w:tab/>
      </w:r>
      <w:r w:rsidRPr="003734F2">
        <w:rPr>
          <w:u w:val="single"/>
        </w:rPr>
        <w:tab/>
      </w:r>
      <w:r w:rsidRPr="003734F2">
        <w:rPr>
          <w:u w:val="single"/>
        </w:rPr>
        <w:tab/>
      </w:r>
    </w:p>
    <w:sectPr w:rsidR="00E12C5F" w:rsidRPr="008D53B6" w:rsidSect="00614EF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DD6E" w14:textId="77777777" w:rsidR="00D2460F" w:rsidRPr="00A312BC" w:rsidRDefault="00D2460F" w:rsidP="00A312BC"/>
  </w:endnote>
  <w:endnote w:type="continuationSeparator" w:id="0">
    <w:p w14:paraId="7D3EC4E5" w14:textId="77777777" w:rsidR="00D2460F" w:rsidRPr="00A312BC" w:rsidRDefault="00D246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C46" w14:textId="4747C1B3" w:rsidR="00614EFC" w:rsidRPr="00614EFC" w:rsidRDefault="00614EFC">
    <w:pPr>
      <w:pStyle w:val="a8"/>
    </w:pPr>
    <w:r w:rsidRPr="00614EFC">
      <w:rPr>
        <w:b/>
        <w:sz w:val="18"/>
      </w:rPr>
      <w:fldChar w:fldCharType="begin"/>
    </w:r>
    <w:r w:rsidRPr="00614EFC">
      <w:rPr>
        <w:b/>
        <w:sz w:val="18"/>
      </w:rPr>
      <w:instrText xml:space="preserve"> PAGE  \* MERGEFORMAT </w:instrText>
    </w:r>
    <w:r w:rsidRPr="00614EFC">
      <w:rPr>
        <w:b/>
        <w:sz w:val="18"/>
      </w:rPr>
      <w:fldChar w:fldCharType="separate"/>
    </w:r>
    <w:r w:rsidRPr="00614EFC">
      <w:rPr>
        <w:b/>
        <w:noProof/>
        <w:sz w:val="18"/>
      </w:rPr>
      <w:t>2</w:t>
    </w:r>
    <w:r w:rsidRPr="00614EFC">
      <w:rPr>
        <w:b/>
        <w:sz w:val="18"/>
      </w:rPr>
      <w:fldChar w:fldCharType="end"/>
    </w:r>
    <w:r>
      <w:rPr>
        <w:b/>
        <w:sz w:val="18"/>
      </w:rPr>
      <w:tab/>
    </w:r>
    <w:r>
      <w:t>GE.22-00585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BADA" w14:textId="3BF0BCFA" w:rsidR="00614EFC" w:rsidRPr="00614EFC" w:rsidRDefault="00614EFC" w:rsidP="00614EFC">
    <w:pPr>
      <w:pStyle w:val="a8"/>
      <w:tabs>
        <w:tab w:val="clear" w:pos="9639"/>
        <w:tab w:val="right" w:pos="9638"/>
      </w:tabs>
      <w:rPr>
        <w:b/>
        <w:sz w:val="18"/>
      </w:rPr>
    </w:pPr>
    <w:r>
      <w:t>GE.22-00585</w:t>
    </w:r>
    <w:r>
      <w:tab/>
    </w:r>
    <w:r w:rsidRPr="00614EFC">
      <w:rPr>
        <w:b/>
        <w:sz w:val="18"/>
      </w:rPr>
      <w:fldChar w:fldCharType="begin"/>
    </w:r>
    <w:r w:rsidRPr="00614EFC">
      <w:rPr>
        <w:b/>
        <w:sz w:val="18"/>
      </w:rPr>
      <w:instrText xml:space="preserve"> PAGE  \* MERGEFORMAT </w:instrText>
    </w:r>
    <w:r w:rsidRPr="00614EFC">
      <w:rPr>
        <w:b/>
        <w:sz w:val="18"/>
      </w:rPr>
      <w:fldChar w:fldCharType="separate"/>
    </w:r>
    <w:r w:rsidRPr="00614EFC">
      <w:rPr>
        <w:b/>
        <w:noProof/>
        <w:sz w:val="18"/>
      </w:rPr>
      <w:t>3</w:t>
    </w:r>
    <w:r w:rsidRPr="00614E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F7BF" w14:textId="120EA6B2" w:rsidR="00042B72" w:rsidRPr="00614EFC" w:rsidRDefault="00614EFC" w:rsidP="00614EF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429446C" wp14:editId="79A346F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22-00585  (R)</w:t>
    </w:r>
    <w:r>
      <w:rPr>
        <w:noProof/>
      </w:rPr>
      <w:drawing>
        <wp:anchor distT="0" distB="0" distL="114300" distR="114300" simplePos="0" relativeHeight="251659264" behindDoc="0" locked="0" layoutInCell="1" allowOverlap="1" wp14:anchorId="2C957B47" wp14:editId="5CA42D0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040222  070222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34D0" w14:textId="77777777" w:rsidR="00D2460F" w:rsidRPr="001075E9" w:rsidRDefault="00D2460F" w:rsidP="001075E9">
      <w:pPr>
        <w:tabs>
          <w:tab w:val="right" w:pos="2155"/>
        </w:tabs>
        <w:spacing w:after="80" w:line="240" w:lineRule="auto"/>
        <w:ind w:left="680"/>
        <w:rPr>
          <w:u w:val="single"/>
        </w:rPr>
      </w:pPr>
      <w:r>
        <w:rPr>
          <w:u w:val="single"/>
        </w:rPr>
        <w:tab/>
      </w:r>
    </w:p>
  </w:footnote>
  <w:footnote w:type="continuationSeparator" w:id="0">
    <w:p w14:paraId="71C5E81A" w14:textId="77777777" w:rsidR="00D2460F" w:rsidRDefault="00D2460F" w:rsidP="00407B78">
      <w:pPr>
        <w:tabs>
          <w:tab w:val="right" w:pos="2155"/>
        </w:tabs>
        <w:spacing w:after="80"/>
        <w:ind w:left="680"/>
        <w:rPr>
          <w:u w:val="single"/>
        </w:rPr>
      </w:pPr>
      <w:r>
        <w:rPr>
          <w:u w:val="single"/>
        </w:rPr>
        <w:tab/>
      </w:r>
    </w:p>
  </w:footnote>
  <w:footnote w:id="1">
    <w:p w14:paraId="1BD5D17E" w14:textId="77777777" w:rsidR="00614EFC" w:rsidRPr="00657867" w:rsidRDefault="00614EFC" w:rsidP="00614EFC">
      <w:pPr>
        <w:pStyle w:val="ad"/>
      </w:pPr>
      <w:r>
        <w:tab/>
      </w:r>
      <w:r w:rsidRPr="00FD5E33">
        <w:rPr>
          <w:sz w:val="20"/>
        </w:rPr>
        <w:t>*</w:t>
      </w:r>
      <w:r>
        <w:tab/>
        <w:t>Настоящий документ был запланирован к выпуску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391C" w14:textId="11883EF2" w:rsidR="00614EFC" w:rsidRPr="00614EFC" w:rsidRDefault="00D13A74">
    <w:pPr>
      <w:pStyle w:val="a5"/>
    </w:pPr>
    <w:fldSimple w:instr=" TITLE  \* MERGEFORMAT ">
      <w:r w:rsidR="00155D97">
        <w:t>ECE/TRANS/2022/2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60A2" w14:textId="5A966AC9" w:rsidR="00614EFC" w:rsidRPr="00614EFC" w:rsidRDefault="00D13A74" w:rsidP="00614EFC">
    <w:pPr>
      <w:pStyle w:val="a5"/>
      <w:jc w:val="right"/>
    </w:pPr>
    <w:fldSimple w:instr=" TITLE  \* MERGEFORMAT ">
      <w:r w:rsidR="00155D97">
        <w:t>ECE/TRANS/2022/2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987" w14:textId="77777777" w:rsidR="00614EFC" w:rsidRDefault="00614EFC" w:rsidP="00614EF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0F"/>
    <w:rsid w:val="00033EE1"/>
    <w:rsid w:val="00042B72"/>
    <w:rsid w:val="000558BD"/>
    <w:rsid w:val="000B57E7"/>
    <w:rsid w:val="000B6373"/>
    <w:rsid w:val="000E4E5B"/>
    <w:rsid w:val="000F09DF"/>
    <w:rsid w:val="000F61B2"/>
    <w:rsid w:val="001075E9"/>
    <w:rsid w:val="0014152F"/>
    <w:rsid w:val="00155D97"/>
    <w:rsid w:val="00180183"/>
    <w:rsid w:val="0018024D"/>
    <w:rsid w:val="0018649F"/>
    <w:rsid w:val="00196389"/>
    <w:rsid w:val="001B0298"/>
    <w:rsid w:val="001B3EF6"/>
    <w:rsid w:val="001C4732"/>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3BFC"/>
    <w:rsid w:val="00381C24"/>
    <w:rsid w:val="00387CD4"/>
    <w:rsid w:val="003958D0"/>
    <w:rsid w:val="003A0D43"/>
    <w:rsid w:val="003A48CE"/>
    <w:rsid w:val="003B00E5"/>
    <w:rsid w:val="003E0B46"/>
    <w:rsid w:val="00407B78"/>
    <w:rsid w:val="00424203"/>
    <w:rsid w:val="00452493"/>
    <w:rsid w:val="00453318"/>
    <w:rsid w:val="00454AF2"/>
    <w:rsid w:val="00454E07"/>
    <w:rsid w:val="004666C8"/>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4EFC"/>
    <w:rsid w:val="00617A43"/>
    <w:rsid w:val="006345DB"/>
    <w:rsid w:val="00640F49"/>
    <w:rsid w:val="00680D03"/>
    <w:rsid w:val="00681A10"/>
    <w:rsid w:val="006A1ED8"/>
    <w:rsid w:val="006C2031"/>
    <w:rsid w:val="006C544C"/>
    <w:rsid w:val="006D461A"/>
    <w:rsid w:val="006F35EE"/>
    <w:rsid w:val="007021FF"/>
    <w:rsid w:val="00712895"/>
    <w:rsid w:val="00734ACB"/>
    <w:rsid w:val="00757357"/>
    <w:rsid w:val="00792497"/>
    <w:rsid w:val="00806737"/>
    <w:rsid w:val="00825F8D"/>
    <w:rsid w:val="00834B71"/>
    <w:rsid w:val="0086445C"/>
    <w:rsid w:val="00884C44"/>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37304"/>
    <w:rsid w:val="00B539E7"/>
    <w:rsid w:val="00B62458"/>
    <w:rsid w:val="00BC18B2"/>
    <w:rsid w:val="00BD33EE"/>
    <w:rsid w:val="00BE1CC7"/>
    <w:rsid w:val="00C106D6"/>
    <w:rsid w:val="00C119AE"/>
    <w:rsid w:val="00C60F0C"/>
    <w:rsid w:val="00C71E84"/>
    <w:rsid w:val="00C72145"/>
    <w:rsid w:val="00C805C9"/>
    <w:rsid w:val="00C92939"/>
    <w:rsid w:val="00CA1679"/>
    <w:rsid w:val="00CB151C"/>
    <w:rsid w:val="00CB205F"/>
    <w:rsid w:val="00CE5A1A"/>
    <w:rsid w:val="00CF55F6"/>
    <w:rsid w:val="00D13A74"/>
    <w:rsid w:val="00D2460F"/>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D5E3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6CED3"/>
  <w15:docId w15:val="{F5F6255B-BEBF-4E82-8A1D-7D0328FC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14EFC"/>
    <w:rPr>
      <w:b/>
      <w:sz w:val="28"/>
      <w:lang w:val="ru-RU" w:eastAsia="ru-RU"/>
    </w:rPr>
  </w:style>
  <w:style w:type="character" w:customStyle="1" w:styleId="SingleTxtGChar">
    <w:name w:val="_ Single Txt_G Char"/>
    <w:link w:val="SingleTxtG"/>
    <w:qFormat/>
    <w:rsid w:val="00614EF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4B333-E7DD-4F21-BFD9-C57DED669CA7}"/>
</file>

<file path=customXml/itemProps2.xml><?xml version="1.0" encoding="utf-8"?>
<ds:datastoreItem xmlns:ds="http://schemas.openxmlformats.org/officeDocument/2006/customXml" ds:itemID="{4006D004-EE3F-4B72-BD13-06A18D5854CE}"/>
</file>

<file path=customXml/itemProps3.xml><?xml version="1.0" encoding="utf-8"?>
<ds:datastoreItem xmlns:ds="http://schemas.openxmlformats.org/officeDocument/2006/customXml" ds:itemID="{687CD5B9-1AFD-405D-9E35-A6116274F8A2}"/>
</file>

<file path=docProps/app.xml><?xml version="1.0" encoding="utf-8"?>
<Properties xmlns="http://schemas.openxmlformats.org/officeDocument/2006/extended-properties" xmlns:vt="http://schemas.openxmlformats.org/officeDocument/2006/docPropsVTypes">
  <Template>ECE.dotm</Template>
  <TotalTime>1</TotalTime>
  <Pages>7</Pages>
  <Words>2806</Words>
  <Characters>20725</Characters>
  <Application>Microsoft Office Word</Application>
  <DocSecurity>0</DocSecurity>
  <Lines>362</Lines>
  <Paragraphs>73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ECE/TRANS/2022/2</vt:lpstr>
      <vt:lpstr>A/</vt:lpstr>
      <vt:lpstr>A/</vt:lpstr>
    </vt:vector>
  </TitlesOfParts>
  <Company>DCM</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dc:title>
  <dc:subject/>
  <dc:creator>Olga OVTCHINNIKOVA</dc:creator>
  <cp:keywords/>
  <cp:lastModifiedBy>Ioulia Goussarova</cp:lastModifiedBy>
  <cp:revision>3</cp:revision>
  <cp:lastPrinted>2022-02-07T13:37:00Z</cp:lastPrinted>
  <dcterms:created xsi:type="dcterms:W3CDTF">2022-02-07T13:37:00Z</dcterms:created>
  <dcterms:modified xsi:type="dcterms:W3CDTF">2022-02-07T13:38:00Z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