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7047338F" w:rsidR="003F1AB4" w:rsidRPr="00155295" w:rsidRDefault="003F1AB4" w:rsidP="003F1AB4">
            <w:pPr>
              <w:jc w:val="right"/>
            </w:pPr>
            <w:r w:rsidRPr="00155295">
              <w:rPr>
                <w:sz w:val="40"/>
              </w:rPr>
              <w:t>ECE</w:t>
            </w:r>
            <w:r w:rsidRPr="00155295">
              <w:t>/TRANS/WP.29/GRE/202</w:t>
            </w:r>
            <w:r w:rsidR="00674C4E">
              <w:t>2</w:t>
            </w:r>
            <w:r w:rsidRPr="00155295">
              <w:t>/</w:t>
            </w:r>
            <w:r w:rsidR="00221C5E">
              <w:t>6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2C1939" w:rsidRDefault="003F1AB4" w:rsidP="003F1AB4">
            <w:pPr>
              <w:spacing w:before="240" w:line="240" w:lineRule="exact"/>
            </w:pPr>
            <w:r w:rsidRPr="002C1939">
              <w:t>Distr.: General</w:t>
            </w:r>
          </w:p>
          <w:p w14:paraId="5FF26AE7" w14:textId="736FFD0C" w:rsidR="003F1AB4" w:rsidRPr="002C1939" w:rsidRDefault="00674C4E" w:rsidP="003F1AB4">
            <w:pPr>
              <w:spacing w:line="240" w:lineRule="exact"/>
            </w:pPr>
            <w:r>
              <w:rPr>
                <w:lang w:val="en-US"/>
              </w:rPr>
              <w:t>2</w:t>
            </w:r>
            <w:r w:rsidR="00141786">
              <w:rPr>
                <w:lang w:val="en-US"/>
              </w:rPr>
              <w:t xml:space="preserve"> </w:t>
            </w:r>
            <w:r w:rsidR="005F68BB">
              <w:rPr>
                <w:lang w:val="en-US"/>
              </w:rPr>
              <w:t xml:space="preserve">February </w:t>
            </w:r>
            <w:r w:rsidR="00141786">
              <w:rPr>
                <w:lang w:val="en-US"/>
              </w:rPr>
              <w:t>2022</w:t>
            </w:r>
            <w:r>
              <w:rPr>
                <w:lang w:val="en-US"/>
              </w:rPr>
              <w:t xml:space="preserve"> </w:t>
            </w:r>
          </w:p>
          <w:p w14:paraId="25DD80C3" w14:textId="77777777" w:rsidR="00542E11" w:rsidRDefault="00542E11" w:rsidP="003F1AB4">
            <w:pPr>
              <w:spacing w:line="240" w:lineRule="exact"/>
            </w:pPr>
          </w:p>
          <w:p w14:paraId="71FBFBB4" w14:textId="3BFAF6DE" w:rsidR="003F1AB4" w:rsidRPr="002C1939" w:rsidRDefault="003F1AB4" w:rsidP="003F1AB4">
            <w:pPr>
              <w:spacing w:line="240" w:lineRule="exact"/>
            </w:pPr>
            <w:r w:rsidRPr="002C1939">
              <w:t>Original: English</w:t>
            </w:r>
          </w:p>
        </w:tc>
      </w:tr>
    </w:tbl>
    <w:p w14:paraId="32D3E06F" w14:textId="13C8262D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1073580D" w:rsidR="00EB70BF" w:rsidRPr="00155295" w:rsidRDefault="00EB70BF" w:rsidP="00EB70BF">
      <w:pPr>
        <w:ind w:right="1134"/>
        <w:rPr>
          <w:b/>
        </w:rPr>
      </w:pPr>
      <w:r w:rsidRPr="00155295">
        <w:rPr>
          <w:b/>
        </w:rPr>
        <w:t>Eighty-</w:t>
      </w:r>
      <w:r w:rsidR="00674C4E">
        <w:rPr>
          <w:b/>
        </w:rPr>
        <w:t>sixth</w:t>
      </w:r>
      <w:r w:rsidRPr="00155295">
        <w:rPr>
          <w:b/>
        </w:rPr>
        <w:t xml:space="preserve"> session</w:t>
      </w:r>
    </w:p>
    <w:p w14:paraId="2D1DEC65" w14:textId="55EC0FA3" w:rsidR="00EB70BF" w:rsidRPr="00155295" w:rsidRDefault="00EB70BF" w:rsidP="00EB70BF">
      <w:pPr>
        <w:ind w:right="1134"/>
      </w:pPr>
      <w:r w:rsidRPr="00155295">
        <w:t xml:space="preserve">Geneva, </w:t>
      </w:r>
      <w:r w:rsidR="00674C4E">
        <w:t>2</w:t>
      </w:r>
      <w:r w:rsidR="005F68BB">
        <w:t>6</w:t>
      </w:r>
      <w:r w:rsidR="00674C4E">
        <w:t>-29 April 2022</w:t>
      </w:r>
    </w:p>
    <w:p w14:paraId="5B492E7A" w14:textId="762DE65B" w:rsidR="00732AD2" w:rsidRPr="00525E6C" w:rsidRDefault="00732AD2" w:rsidP="00E04EC7">
      <w:pPr>
        <w:ind w:right="1134"/>
        <w:rPr>
          <w:bCs/>
        </w:rPr>
      </w:pPr>
      <w:r w:rsidRPr="00DD1636">
        <w:rPr>
          <w:bCs/>
        </w:rPr>
        <w:t xml:space="preserve">Item </w:t>
      </w:r>
      <w:r w:rsidR="008E28BF" w:rsidRPr="00DD1636">
        <w:rPr>
          <w:bCs/>
        </w:rPr>
        <w:t>7</w:t>
      </w:r>
      <w:r w:rsidR="00155295" w:rsidRPr="00DD1636">
        <w:rPr>
          <w:bCs/>
        </w:rPr>
        <w:t xml:space="preserve"> (</w:t>
      </w:r>
      <w:r w:rsidR="008E28BF" w:rsidRPr="00DD1636">
        <w:rPr>
          <w:bCs/>
        </w:rPr>
        <w:t>a</w:t>
      </w:r>
      <w:r w:rsidR="00155295" w:rsidRPr="00DD1636">
        <w:rPr>
          <w:bCs/>
        </w:rPr>
        <w:t xml:space="preserve">) </w:t>
      </w:r>
      <w:r w:rsidR="002C1939" w:rsidRPr="00DD1636">
        <w:rPr>
          <w:bCs/>
        </w:rPr>
        <w:t>o</w:t>
      </w:r>
      <w:r w:rsidRPr="00DD1636">
        <w:rPr>
          <w:bCs/>
        </w:rPr>
        <w:t>f the provisional agenda</w:t>
      </w:r>
    </w:p>
    <w:p w14:paraId="1D6E4DCE" w14:textId="6FCE4489" w:rsidR="008E28BF" w:rsidRPr="008E28BF" w:rsidRDefault="008E28BF" w:rsidP="008E28BF">
      <w:pPr>
        <w:ind w:right="1467"/>
        <w:jc w:val="both"/>
        <w:rPr>
          <w:b/>
          <w:bCs/>
        </w:rPr>
      </w:pPr>
      <w:r w:rsidRPr="008E28BF">
        <w:rPr>
          <w:b/>
          <w:bCs/>
        </w:rPr>
        <w:t>Other UN Regulations</w:t>
      </w:r>
      <w:r>
        <w:rPr>
          <w:b/>
          <w:bCs/>
        </w:rPr>
        <w:t>:</w:t>
      </w:r>
      <w:r w:rsidRPr="008E28BF">
        <w:rPr>
          <w:b/>
          <w:bCs/>
        </w:rPr>
        <w:t xml:space="preserve"> </w:t>
      </w:r>
      <w:r w:rsidRPr="008E28BF">
        <w:rPr>
          <w:b/>
          <w:bCs/>
        </w:rPr>
        <w:tab/>
      </w:r>
      <w:r w:rsidRPr="008E28BF">
        <w:rPr>
          <w:b/>
          <w:bCs/>
        </w:rPr>
        <w:tab/>
      </w:r>
    </w:p>
    <w:p w14:paraId="0B5CC20D" w14:textId="1870F21D" w:rsidR="008E28BF" w:rsidRDefault="008E28BF" w:rsidP="008E28BF">
      <w:pPr>
        <w:ind w:right="1467"/>
        <w:jc w:val="both"/>
        <w:rPr>
          <w:b/>
          <w:bCs/>
        </w:rPr>
      </w:pPr>
      <w:r w:rsidRPr="008E28BF">
        <w:rPr>
          <w:b/>
          <w:bCs/>
        </w:rPr>
        <w:t>UN Regulation No. 10 (Electromagnetic compatibility)</w:t>
      </w:r>
      <w:r w:rsidR="00DA725B" w:rsidRPr="00DA725B">
        <w:rPr>
          <w:b/>
          <w:bCs/>
        </w:rPr>
        <w:t xml:space="preserve"> </w:t>
      </w:r>
    </w:p>
    <w:p w14:paraId="355C0D2C" w14:textId="00FEFF99" w:rsidR="00B76F95" w:rsidRDefault="00B76F95" w:rsidP="00DA725B">
      <w:pPr>
        <w:ind w:right="1467"/>
        <w:jc w:val="both"/>
        <w:rPr>
          <w:b/>
          <w:bCs/>
        </w:rPr>
      </w:pPr>
    </w:p>
    <w:p w14:paraId="1BE1B729" w14:textId="6F1D9549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9A571C" w:rsidRPr="009A571C">
        <w:t>Proposal for Supplement</w:t>
      </w:r>
      <w:r w:rsidR="00674C4E">
        <w:t xml:space="preserve"> 3</w:t>
      </w:r>
      <w:r w:rsidR="009A571C" w:rsidRPr="009A571C">
        <w:t xml:space="preserve"> to</w:t>
      </w:r>
      <w:r w:rsidR="009A571C">
        <w:t xml:space="preserve"> the</w:t>
      </w:r>
      <w:r w:rsidR="009A571C" w:rsidRPr="009A571C">
        <w:t xml:space="preserve"> 06 series of amendments to UN Regulation No. 10 </w:t>
      </w:r>
    </w:p>
    <w:p w14:paraId="51369146" w14:textId="182CBFDC" w:rsidR="00E317C2" w:rsidRPr="00525E6C" w:rsidRDefault="00E317C2" w:rsidP="00E1230F">
      <w:pPr>
        <w:pStyle w:val="H1G"/>
        <w:rPr>
          <w:szCs w:val="24"/>
        </w:rPr>
      </w:pPr>
      <w:r>
        <w:tab/>
      </w:r>
      <w:r>
        <w:tab/>
      </w:r>
      <w:r w:rsidR="00E1230F">
        <w:t xml:space="preserve">Submitted by the expert from the </w:t>
      </w:r>
      <w:r w:rsidR="00141786">
        <w:t xml:space="preserve">Informal Working Group of </w:t>
      </w:r>
      <w:r w:rsidR="00E1230F">
        <w:t>Electromagnetic Compatibility</w:t>
      </w:r>
      <w:r w:rsidR="00FC3895" w:rsidRPr="00396230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4FC72D99" w:rsidR="0053129E" w:rsidRPr="003F1AB4" w:rsidRDefault="00C451DF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C451DF">
        <w:t xml:space="preserve">The text reproduced below was prepared by the expert </w:t>
      </w:r>
      <w:r w:rsidR="00B46A91">
        <w:t xml:space="preserve">Informal Working Group </w:t>
      </w:r>
      <w:r w:rsidRPr="00C451DF">
        <w:t>o</w:t>
      </w:r>
      <w:r w:rsidR="00B46A91">
        <w:t>f</w:t>
      </w:r>
      <w:r w:rsidRPr="00C451DF">
        <w:t xml:space="preserve"> Electromagnetic Compatibility</w:t>
      </w:r>
      <w:r w:rsidR="00532F09">
        <w:t xml:space="preserve">. </w:t>
      </w:r>
      <w:r w:rsidR="00532F09" w:rsidRPr="005F46A9">
        <w:t xml:space="preserve">It </w:t>
      </w:r>
      <w:r w:rsidRPr="005F46A9">
        <w:t>aim</w:t>
      </w:r>
      <w:r w:rsidR="00532F09" w:rsidRPr="005F46A9">
        <w:t>s</w:t>
      </w:r>
      <w:r w:rsidRPr="005F46A9">
        <w:t xml:space="preserve"> to clarify </w:t>
      </w:r>
      <w:r w:rsidR="00310164" w:rsidRPr="005F46A9">
        <w:t xml:space="preserve">the </w:t>
      </w:r>
      <w:r w:rsidR="00BE1008" w:rsidRPr="005F46A9">
        <w:t xml:space="preserve">understanding of the </w:t>
      </w:r>
      <w:r w:rsidR="00310164" w:rsidRPr="005F46A9">
        <w:t xml:space="preserve">transitional provisions </w:t>
      </w:r>
      <w:r w:rsidR="00043C78" w:rsidRPr="005F46A9">
        <w:t xml:space="preserve">for </w:t>
      </w:r>
      <w:r w:rsidR="00310164" w:rsidRPr="005F46A9">
        <w:t xml:space="preserve">vehicle types, components or separate technical units </w:t>
      </w:r>
      <w:r w:rsidR="00043C78" w:rsidRPr="005F46A9">
        <w:t xml:space="preserve">that </w:t>
      </w:r>
      <w:r w:rsidR="00310164" w:rsidRPr="005F46A9">
        <w:t>are not affected by the changes introduced by the 05 or 06 series of amendments.</w:t>
      </w:r>
      <w:r w:rsidR="00674C4E">
        <w:t xml:space="preserve"> </w:t>
      </w:r>
      <w:r w:rsidRPr="00C451DF">
        <w:t>The modifications to the existing text of the UN Regulation are</w:t>
      </w:r>
      <w:r w:rsidR="00B46A91">
        <w:t xml:space="preserve"> </w:t>
      </w:r>
      <w:r w:rsidR="00542E11">
        <w:t>strikethrough</w:t>
      </w:r>
      <w:r w:rsidR="00B46A91">
        <w:t xml:space="preserve"> for deleted characters. </w:t>
      </w:r>
    </w:p>
    <w:p w14:paraId="20CA5035" w14:textId="77777777" w:rsidR="0053129E" w:rsidRPr="00532F09" w:rsidRDefault="0053129E" w:rsidP="0053129E">
      <w:pPr>
        <w:sectPr w:rsidR="0053129E" w:rsidRPr="00532F09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135A37CF" w14:textId="43B23FEB" w:rsidR="00EE4B48" w:rsidRDefault="005D4166" w:rsidP="00EE4B48">
      <w:pPr>
        <w:spacing w:after="120"/>
        <w:ind w:left="2268" w:right="1134" w:hanging="1134"/>
        <w:jc w:val="both"/>
      </w:pPr>
      <w:r>
        <w:rPr>
          <w:i/>
          <w:iCs/>
        </w:rPr>
        <w:t>Paragraph 13.2.3.</w:t>
      </w:r>
      <w:r w:rsidR="00EE4B48" w:rsidRPr="00BD1C74">
        <w:rPr>
          <w:i/>
          <w:iCs/>
        </w:rPr>
        <w:t xml:space="preserve">, </w:t>
      </w:r>
      <w:r w:rsidR="00EE4B48" w:rsidRPr="00BD1C74">
        <w:t xml:space="preserve">amend to read: </w:t>
      </w:r>
    </w:p>
    <w:p w14:paraId="3655E76B" w14:textId="3558708F" w:rsidR="005D4166" w:rsidRDefault="00141786" w:rsidP="00FC3895">
      <w:pPr>
        <w:spacing w:after="120"/>
        <w:ind w:left="2268" w:right="1134" w:hanging="1134"/>
        <w:jc w:val="both"/>
      </w:pPr>
      <w:r>
        <w:t>“</w:t>
      </w:r>
      <w:r w:rsidR="005D4166" w:rsidRPr="005D4166">
        <w:t>13.2.3.</w:t>
      </w:r>
      <w:r w:rsidR="005D4166" w:rsidRPr="005D4166">
        <w:tab/>
        <w:t xml:space="preserve">Notwithstanding paragraph 13.2.2., Contracting Parties applying the UN Regulation shall continue to accept UN type-approvals issued according to the preceding series of amendments to the UN Regulation, for the vehicle type </w:t>
      </w:r>
      <w:r w:rsidR="005D4166" w:rsidRPr="005D4166">
        <w:rPr>
          <w:strike/>
        </w:rPr>
        <w:t>which are not equipped with a coupling system to charge the REESS</w:t>
      </w:r>
      <w:r w:rsidR="005D4166" w:rsidRPr="005D4166">
        <w:t xml:space="preserve">, or for component or separate technical unit </w:t>
      </w:r>
      <w:r w:rsidR="005D4166" w:rsidRPr="005D4166">
        <w:rPr>
          <w:strike/>
        </w:rPr>
        <w:t>which doesn’t include a coupling part to charge the REESS</w:t>
      </w:r>
      <w:r w:rsidR="005D4166" w:rsidRPr="005D4166">
        <w:t xml:space="preserve"> which are not affected by the changes introduced by the 05 or 06 series of amendments.</w:t>
      </w:r>
      <w:r>
        <w:t>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1D86CD4" w14:textId="27B5BFC6" w:rsidR="004F3D31" w:rsidRPr="005F46A9" w:rsidRDefault="004F3D31" w:rsidP="004F3D31">
      <w:pPr>
        <w:snapToGrid w:val="0"/>
        <w:spacing w:after="120"/>
        <w:ind w:left="1134" w:right="1134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1.</w:t>
      </w:r>
      <w:r w:rsidRPr="005D1737">
        <w:t xml:space="preserve"> </w:t>
      </w:r>
      <w:r w:rsidRPr="00772BA2">
        <w:tab/>
      </w:r>
      <w:r w:rsidR="00993308">
        <w:t xml:space="preserve">The 05 and 06 series of amendments to UN Regulation No. 10 </w:t>
      </w:r>
      <w:r w:rsidRPr="004F3D31">
        <w:rPr>
          <w:rFonts w:eastAsia="MS Mincho"/>
          <w:lang w:val="en-US" w:eastAsia="ja-JP"/>
        </w:rPr>
        <w:t xml:space="preserve">contain </w:t>
      </w:r>
      <w:proofErr w:type="gramStart"/>
      <w:r w:rsidRPr="004F3D31">
        <w:rPr>
          <w:rFonts w:eastAsia="MS Mincho"/>
          <w:lang w:val="en-US" w:eastAsia="ja-JP"/>
        </w:rPr>
        <w:t>exact</w:t>
      </w:r>
      <w:r w:rsidR="003D29D8">
        <w:rPr>
          <w:rFonts w:eastAsia="MS Mincho"/>
          <w:lang w:val="en-US" w:eastAsia="ja-JP"/>
        </w:rPr>
        <w:t>ly the</w:t>
      </w:r>
      <w:r w:rsidRPr="004F3D31">
        <w:rPr>
          <w:rFonts w:eastAsia="MS Mincho"/>
          <w:lang w:val="en-US" w:eastAsia="ja-JP"/>
        </w:rPr>
        <w:t xml:space="preserve"> same</w:t>
      </w:r>
      <w:proofErr w:type="gramEnd"/>
      <w:r w:rsidRPr="004F3D31">
        <w:rPr>
          <w:rFonts w:eastAsia="MS Mincho"/>
          <w:lang w:val="en-US" w:eastAsia="ja-JP"/>
        </w:rPr>
        <w:t xml:space="preserve"> homologation tests and associated setup for </w:t>
      </w:r>
      <w:r w:rsidR="00993308">
        <w:rPr>
          <w:rFonts w:eastAsia="MS Mincho"/>
          <w:lang w:val="en-US" w:eastAsia="ja-JP"/>
        </w:rPr>
        <w:t xml:space="preserve">the </w:t>
      </w:r>
      <w:r w:rsidR="00993308" w:rsidRPr="00993308">
        <w:rPr>
          <w:rFonts w:eastAsia="MS Mincho"/>
          <w:lang w:val="en-US" w:eastAsia="ja-JP"/>
        </w:rPr>
        <w:t>Whole Vehicle Type</w:t>
      </w:r>
      <w:r w:rsidR="00993308">
        <w:rPr>
          <w:rFonts w:eastAsia="MS Mincho"/>
          <w:lang w:val="en-US" w:eastAsia="ja-JP"/>
        </w:rPr>
        <w:t xml:space="preserve"> </w:t>
      </w:r>
      <w:r w:rsidR="00993308" w:rsidRPr="00993308">
        <w:rPr>
          <w:rFonts w:eastAsia="MS Mincho"/>
          <w:lang w:val="en-US" w:eastAsia="ja-JP"/>
        </w:rPr>
        <w:t xml:space="preserve">Approval </w:t>
      </w:r>
      <w:r w:rsidR="00993308">
        <w:rPr>
          <w:rFonts w:eastAsia="MS Mincho"/>
          <w:lang w:val="en-US" w:eastAsia="ja-JP"/>
        </w:rPr>
        <w:t>(</w:t>
      </w:r>
      <w:r w:rsidRPr="004F3D31">
        <w:rPr>
          <w:rFonts w:eastAsia="MS Mincho"/>
          <w:lang w:val="en-US" w:eastAsia="ja-JP"/>
        </w:rPr>
        <w:t>WVTA</w:t>
      </w:r>
      <w:r w:rsidR="00993308">
        <w:rPr>
          <w:rFonts w:eastAsia="MS Mincho"/>
          <w:lang w:val="en-US" w:eastAsia="ja-JP"/>
        </w:rPr>
        <w:t>)</w:t>
      </w:r>
      <w:r w:rsidRPr="004F3D31">
        <w:rPr>
          <w:rFonts w:eastAsia="MS Mincho"/>
          <w:lang w:val="en-US" w:eastAsia="ja-JP"/>
        </w:rPr>
        <w:t xml:space="preserve">, including </w:t>
      </w:r>
      <w:r w:rsidR="00C0124F">
        <w:rPr>
          <w:rFonts w:eastAsia="MS Mincho"/>
          <w:lang w:val="en-US" w:eastAsia="ja-JP"/>
        </w:rPr>
        <w:t xml:space="preserve">all types of </w:t>
      </w:r>
      <w:r w:rsidRPr="004F3D31">
        <w:rPr>
          <w:rFonts w:eastAsia="MS Mincho"/>
          <w:lang w:val="en-US" w:eastAsia="ja-JP"/>
        </w:rPr>
        <w:t>electrified vehicles</w:t>
      </w:r>
      <w:r w:rsidR="00C0124F">
        <w:rPr>
          <w:rFonts w:eastAsia="MS Mincho"/>
          <w:lang w:val="en-US" w:eastAsia="ja-JP"/>
        </w:rPr>
        <w:t xml:space="preserve"> </w:t>
      </w:r>
      <w:r w:rsidR="00C0124F" w:rsidRPr="004F3D31">
        <w:rPr>
          <w:rFonts w:eastAsia="MS Mincho"/>
          <w:lang w:val="en-US" w:eastAsia="ja-JP"/>
        </w:rPr>
        <w:t>(</w:t>
      </w:r>
      <w:proofErr w:type="spellStart"/>
      <w:r w:rsidR="00C0124F">
        <w:rPr>
          <w:rFonts w:eastAsia="MS Mincho"/>
          <w:lang w:val="en-US" w:eastAsia="ja-JP"/>
        </w:rPr>
        <w:t>x</w:t>
      </w:r>
      <w:r w:rsidR="00C0124F" w:rsidRPr="004F3D31">
        <w:rPr>
          <w:rFonts w:eastAsia="MS Mincho"/>
          <w:lang w:val="en-US" w:eastAsia="ja-JP"/>
        </w:rPr>
        <w:t>EV</w:t>
      </w:r>
      <w:proofErr w:type="spellEnd"/>
      <w:r w:rsidR="00C0124F" w:rsidRPr="004F3D31">
        <w:rPr>
          <w:rFonts w:eastAsia="MS Mincho"/>
          <w:lang w:val="en-US" w:eastAsia="ja-JP"/>
        </w:rPr>
        <w:t>)</w:t>
      </w:r>
      <w:r w:rsidRPr="004F3D31">
        <w:rPr>
          <w:rFonts w:eastAsia="MS Mincho"/>
          <w:lang w:val="en-US" w:eastAsia="ja-JP"/>
        </w:rPr>
        <w:t xml:space="preserve"> equipped with a coupling system to charge the </w:t>
      </w:r>
      <w:r w:rsidR="00A96DF8">
        <w:rPr>
          <w:rFonts w:eastAsia="MS Mincho"/>
          <w:lang w:val="en-US" w:eastAsia="ja-JP"/>
        </w:rPr>
        <w:t>R</w:t>
      </w:r>
      <w:r w:rsidR="00A96DF8" w:rsidRPr="00A96DF8">
        <w:rPr>
          <w:rFonts w:eastAsia="MS Mincho"/>
          <w:lang w:val="en-US" w:eastAsia="ja-JP"/>
        </w:rPr>
        <w:t xml:space="preserve">echargeable </w:t>
      </w:r>
      <w:r w:rsidR="00C2432A">
        <w:rPr>
          <w:rFonts w:eastAsia="MS Mincho"/>
          <w:lang w:val="en-US" w:eastAsia="ja-JP"/>
        </w:rPr>
        <w:t>E</w:t>
      </w:r>
      <w:r w:rsidR="00A96DF8" w:rsidRPr="00A96DF8">
        <w:rPr>
          <w:rFonts w:eastAsia="MS Mincho"/>
          <w:lang w:val="en-US" w:eastAsia="ja-JP"/>
        </w:rPr>
        <w:t xml:space="preserve">nergy </w:t>
      </w:r>
      <w:r w:rsidR="00C2432A">
        <w:rPr>
          <w:rFonts w:eastAsia="MS Mincho"/>
          <w:lang w:val="en-US" w:eastAsia="ja-JP"/>
        </w:rPr>
        <w:t>S</w:t>
      </w:r>
      <w:r w:rsidR="00A96DF8" w:rsidRPr="00A96DF8">
        <w:rPr>
          <w:rFonts w:eastAsia="MS Mincho"/>
          <w:lang w:val="en-US" w:eastAsia="ja-JP"/>
        </w:rPr>
        <w:t xml:space="preserve">torage </w:t>
      </w:r>
      <w:r w:rsidR="00C2432A">
        <w:rPr>
          <w:rFonts w:eastAsia="MS Mincho"/>
          <w:lang w:val="en-US" w:eastAsia="ja-JP"/>
        </w:rPr>
        <w:t>S</w:t>
      </w:r>
      <w:r w:rsidR="00A96DF8" w:rsidRPr="00A96DF8">
        <w:rPr>
          <w:rFonts w:eastAsia="MS Mincho"/>
          <w:lang w:val="en-US" w:eastAsia="ja-JP"/>
        </w:rPr>
        <w:t>ystem</w:t>
      </w:r>
      <w:r w:rsidR="00A96DF8">
        <w:rPr>
          <w:rFonts w:eastAsia="MS Mincho"/>
          <w:lang w:val="en-US" w:eastAsia="ja-JP"/>
        </w:rPr>
        <w:t xml:space="preserve"> </w:t>
      </w:r>
      <w:r w:rsidR="00C2432A">
        <w:rPr>
          <w:rFonts w:eastAsia="MS Mincho"/>
          <w:lang w:val="en-US" w:eastAsia="ja-JP"/>
        </w:rPr>
        <w:t>(</w:t>
      </w:r>
      <w:r w:rsidRPr="004F3D31">
        <w:rPr>
          <w:rFonts w:eastAsia="MS Mincho"/>
          <w:lang w:val="en-US" w:eastAsia="ja-JP"/>
        </w:rPr>
        <w:t>REESS</w:t>
      </w:r>
      <w:r w:rsidR="00C2432A">
        <w:rPr>
          <w:rFonts w:eastAsia="MS Mincho"/>
          <w:lang w:val="en-US" w:eastAsia="ja-JP"/>
        </w:rPr>
        <w:t>)</w:t>
      </w:r>
      <w:r w:rsidR="003C563E">
        <w:rPr>
          <w:rFonts w:eastAsia="MS Mincho"/>
          <w:lang w:val="en-US" w:eastAsia="ja-JP"/>
        </w:rPr>
        <w:t xml:space="preserve">. Thus, </w:t>
      </w:r>
      <w:r w:rsidRPr="004F3D31">
        <w:rPr>
          <w:rFonts w:eastAsia="MS Mincho"/>
          <w:lang w:val="en-US" w:eastAsia="ja-JP"/>
        </w:rPr>
        <w:t xml:space="preserve">re-certifying </w:t>
      </w:r>
      <w:r w:rsidR="003C563E">
        <w:rPr>
          <w:rFonts w:eastAsia="MS Mincho"/>
          <w:lang w:val="en-US" w:eastAsia="ja-JP"/>
        </w:rPr>
        <w:t xml:space="preserve">according </w:t>
      </w:r>
      <w:r w:rsidRPr="004F3D31">
        <w:rPr>
          <w:rFonts w:eastAsia="MS Mincho"/>
          <w:lang w:val="en-US" w:eastAsia="ja-JP"/>
        </w:rPr>
        <w:t xml:space="preserve">to </w:t>
      </w:r>
      <w:r w:rsidR="003C563E">
        <w:rPr>
          <w:rFonts w:eastAsia="MS Mincho"/>
          <w:lang w:val="en-US" w:eastAsia="ja-JP"/>
        </w:rPr>
        <w:t>the 06 series of amendments</w:t>
      </w:r>
      <w:r w:rsidR="00CE22F2">
        <w:rPr>
          <w:rFonts w:eastAsia="MS Mincho"/>
          <w:lang w:val="en-US" w:eastAsia="ja-JP"/>
        </w:rPr>
        <w:t>,</w:t>
      </w:r>
      <w:r w:rsidR="003C563E">
        <w:rPr>
          <w:rFonts w:eastAsia="MS Mincho"/>
          <w:lang w:val="en-US" w:eastAsia="ja-JP"/>
        </w:rPr>
        <w:t xml:space="preserve"> </w:t>
      </w:r>
      <w:r w:rsidRPr="004F3D31">
        <w:rPr>
          <w:rFonts w:eastAsia="MS Mincho"/>
          <w:lang w:val="en-US" w:eastAsia="ja-JP"/>
        </w:rPr>
        <w:t xml:space="preserve">instead of </w:t>
      </w:r>
      <w:r w:rsidR="00CE22F2">
        <w:rPr>
          <w:rFonts w:eastAsia="MS Mincho"/>
          <w:lang w:val="en-US" w:eastAsia="ja-JP"/>
        </w:rPr>
        <w:t xml:space="preserve">the 05 </w:t>
      </w:r>
      <w:r w:rsidR="00F132A6">
        <w:rPr>
          <w:rFonts w:eastAsia="MS Mincho"/>
          <w:lang w:val="en-US" w:eastAsia="ja-JP"/>
        </w:rPr>
        <w:t>series</w:t>
      </w:r>
      <w:r w:rsidR="002C25B7">
        <w:rPr>
          <w:rFonts w:eastAsia="MS Mincho"/>
          <w:lang w:val="en-US" w:eastAsia="ja-JP"/>
        </w:rPr>
        <w:t xml:space="preserve">, </w:t>
      </w:r>
      <w:r w:rsidRPr="004F3D31">
        <w:rPr>
          <w:rFonts w:eastAsia="MS Mincho"/>
          <w:lang w:val="en-US" w:eastAsia="ja-JP"/>
        </w:rPr>
        <w:t xml:space="preserve">adds no additional requirements </w:t>
      </w:r>
      <w:r w:rsidR="002C25B7">
        <w:rPr>
          <w:rFonts w:eastAsia="MS Mincho"/>
          <w:lang w:val="en-US" w:eastAsia="ja-JP"/>
        </w:rPr>
        <w:t xml:space="preserve">to </w:t>
      </w:r>
      <w:r w:rsidRPr="004F3D31">
        <w:rPr>
          <w:rFonts w:eastAsia="MS Mincho"/>
          <w:lang w:val="en-US" w:eastAsia="ja-JP"/>
        </w:rPr>
        <w:t>what was already certified.</w:t>
      </w:r>
    </w:p>
    <w:p w14:paraId="31AE9D73" w14:textId="291B0249" w:rsidR="00532F09" w:rsidRDefault="004F3D31" w:rsidP="008227E3">
      <w:pPr>
        <w:snapToGrid w:val="0"/>
        <w:spacing w:after="120"/>
        <w:ind w:left="1134" w:right="1134"/>
        <w:jc w:val="both"/>
        <w:rPr>
          <w:rFonts w:eastAsia="MS Mincho"/>
          <w:lang w:eastAsia="ja-JP"/>
        </w:rPr>
      </w:pPr>
      <w:r w:rsidRPr="00604532">
        <w:t>2.</w:t>
      </w:r>
      <w:r w:rsidRPr="00604532">
        <w:tab/>
      </w:r>
      <w:r w:rsidRPr="004F3D31">
        <w:rPr>
          <w:rFonts w:eastAsia="MS Mincho"/>
          <w:lang w:val="en-US" w:eastAsia="ja-JP"/>
        </w:rPr>
        <w:t xml:space="preserve">While </w:t>
      </w:r>
      <w:r w:rsidR="001247DC">
        <w:rPr>
          <w:rFonts w:eastAsia="MS Mincho"/>
          <w:lang w:val="en-US" w:eastAsia="ja-JP"/>
        </w:rPr>
        <w:t xml:space="preserve">the </w:t>
      </w:r>
      <w:r w:rsidR="00CD3BE9">
        <w:rPr>
          <w:rFonts w:eastAsia="MS Mincho"/>
          <w:lang w:val="en-US" w:eastAsia="ja-JP"/>
        </w:rPr>
        <w:t xml:space="preserve">06 series of amendments </w:t>
      </w:r>
      <w:proofErr w:type="gramStart"/>
      <w:r w:rsidRPr="004F3D31">
        <w:rPr>
          <w:rFonts w:eastAsia="MS Mincho"/>
          <w:lang w:val="en-US" w:eastAsia="ja-JP"/>
        </w:rPr>
        <w:t>does</w:t>
      </w:r>
      <w:proofErr w:type="gramEnd"/>
      <w:r w:rsidRPr="004F3D31">
        <w:rPr>
          <w:rFonts w:eastAsia="MS Mincho"/>
          <w:lang w:val="en-US" w:eastAsia="ja-JP"/>
        </w:rPr>
        <w:t xml:space="preserve"> contain a new technical requirement in terms of the </w:t>
      </w:r>
      <w:r w:rsidR="003D29D8" w:rsidRPr="004F3D31">
        <w:rPr>
          <w:rFonts w:eastAsia="MS Mincho"/>
          <w:lang w:val="en-US" w:eastAsia="ja-JP"/>
        </w:rPr>
        <w:t>narrowband</w:t>
      </w:r>
      <w:r w:rsidRPr="004F3D31">
        <w:rPr>
          <w:rFonts w:eastAsia="MS Mincho"/>
          <w:lang w:val="en-US" w:eastAsia="ja-JP"/>
        </w:rPr>
        <w:t xml:space="preserve"> limits for WVTA when compared to </w:t>
      </w:r>
      <w:r w:rsidR="00CD3BE9">
        <w:rPr>
          <w:rFonts w:eastAsia="MS Mincho"/>
          <w:lang w:val="en-US" w:eastAsia="ja-JP"/>
        </w:rPr>
        <w:t>the 05 series</w:t>
      </w:r>
      <w:r w:rsidRPr="004F3D31">
        <w:rPr>
          <w:rFonts w:eastAsia="MS Mincho"/>
          <w:lang w:val="en-US" w:eastAsia="ja-JP"/>
        </w:rPr>
        <w:t xml:space="preserve">, this new requirement applies to all vehicle types (i.e., independent of whether or not the vehicles </w:t>
      </w:r>
      <w:r w:rsidR="00141786">
        <w:rPr>
          <w:rFonts w:eastAsia="MS Mincho"/>
          <w:lang w:val="en-US" w:eastAsia="ja-JP"/>
        </w:rPr>
        <w:t>are</w:t>
      </w:r>
      <w:r w:rsidRPr="004F3D31">
        <w:rPr>
          <w:rFonts w:eastAsia="MS Mincho"/>
          <w:lang w:val="en-US" w:eastAsia="ja-JP"/>
        </w:rPr>
        <w:t xml:space="preserve"> </w:t>
      </w:r>
      <w:proofErr w:type="spellStart"/>
      <w:r w:rsidR="00EB32F0">
        <w:rPr>
          <w:rFonts w:eastAsia="MS Mincho"/>
          <w:lang w:val="en-US" w:eastAsia="ja-JP"/>
        </w:rPr>
        <w:t>x</w:t>
      </w:r>
      <w:r w:rsidRPr="004F3D31">
        <w:rPr>
          <w:rFonts w:eastAsia="MS Mincho"/>
          <w:lang w:val="en-US" w:eastAsia="ja-JP"/>
        </w:rPr>
        <w:t>EV</w:t>
      </w:r>
      <w:proofErr w:type="spellEnd"/>
      <w:r w:rsidRPr="004F3D31">
        <w:rPr>
          <w:rFonts w:eastAsia="MS Mincho"/>
          <w:lang w:val="en-US" w:eastAsia="ja-JP"/>
        </w:rPr>
        <w:t xml:space="preserve"> or non-plug-in vehicle</w:t>
      </w:r>
      <w:r w:rsidR="003D5B86">
        <w:rPr>
          <w:rFonts w:eastAsia="MS Mincho"/>
          <w:lang w:val="en-US" w:eastAsia="ja-JP"/>
        </w:rPr>
        <w:t>s</w:t>
      </w:r>
      <w:r w:rsidRPr="004F3D31">
        <w:rPr>
          <w:rFonts w:eastAsia="MS Mincho"/>
          <w:lang w:val="en-US" w:eastAsia="ja-JP"/>
        </w:rPr>
        <w:t xml:space="preserve"> (e.g., internal combustion engine (ICE) vehicles)).  Since </w:t>
      </w:r>
      <w:r w:rsidR="001247DC">
        <w:rPr>
          <w:rFonts w:eastAsia="MS Mincho"/>
          <w:lang w:val="en-US" w:eastAsia="ja-JP"/>
        </w:rPr>
        <w:t xml:space="preserve">the 06 series of amendments </w:t>
      </w:r>
      <w:r w:rsidRPr="004F3D31">
        <w:rPr>
          <w:rFonts w:eastAsia="MS Mincho"/>
          <w:lang w:val="en-US" w:eastAsia="ja-JP"/>
        </w:rPr>
        <w:t>does not require ICE vehicles (vehicles without the coupling system to charge the REESS) to re-certify, this same courtesy/exemption should be granted to those vehicles which do contain this equipment (</w:t>
      </w:r>
      <w:proofErr w:type="spellStart"/>
      <w:r w:rsidR="00EB32F0">
        <w:rPr>
          <w:rFonts w:eastAsia="MS Mincho"/>
          <w:lang w:val="en-US" w:eastAsia="ja-JP"/>
        </w:rPr>
        <w:t>x</w:t>
      </w:r>
      <w:r w:rsidRPr="004F3D31">
        <w:rPr>
          <w:rFonts w:eastAsia="MS Mincho"/>
          <w:lang w:val="en-US" w:eastAsia="ja-JP"/>
        </w:rPr>
        <w:t>EV</w:t>
      </w:r>
      <w:proofErr w:type="spellEnd"/>
      <w:r w:rsidRPr="004F3D31">
        <w:rPr>
          <w:rFonts w:eastAsia="MS Mincho"/>
          <w:lang w:val="en-US" w:eastAsia="ja-JP"/>
        </w:rPr>
        <w:t>).</w:t>
      </w:r>
      <w:r w:rsidR="001F1CB4">
        <w:rPr>
          <w:rFonts w:eastAsia="MS Mincho"/>
          <w:lang w:eastAsia="ja-JP"/>
        </w:rPr>
        <w:tab/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5315" w14:textId="77777777" w:rsidR="00237DA8" w:rsidRDefault="00237DA8"/>
  </w:endnote>
  <w:endnote w:type="continuationSeparator" w:id="0">
    <w:p w14:paraId="0DEFFBEB" w14:textId="77777777" w:rsidR="00237DA8" w:rsidRDefault="00237DA8"/>
  </w:endnote>
  <w:endnote w:type="continuationNotice" w:id="1">
    <w:p w14:paraId="7E8A6348" w14:textId="77777777" w:rsidR="00237DA8" w:rsidRDefault="00237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764C" w14:textId="0BA2FECD" w:rsidR="0071221A" w:rsidRDefault="0071221A" w:rsidP="0071221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9371436" wp14:editId="110F1B9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AAC2" w14:textId="03B64A72" w:rsidR="0071221A" w:rsidRPr="0071221A" w:rsidRDefault="0071221A" w:rsidP="0071221A">
    <w:pPr>
      <w:pStyle w:val="Footer"/>
      <w:ind w:right="1134"/>
      <w:rPr>
        <w:sz w:val="20"/>
      </w:rPr>
    </w:pPr>
    <w:r>
      <w:rPr>
        <w:sz w:val="20"/>
      </w:rPr>
      <w:t>GE.22-01309(E)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A2D2B0" wp14:editId="1A02AA4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668A" w14:textId="77777777" w:rsidR="00237DA8" w:rsidRPr="000B175B" w:rsidRDefault="00237D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E5952B" w14:textId="77777777" w:rsidR="00237DA8" w:rsidRPr="00FC68B7" w:rsidRDefault="00237D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5E836A" w14:textId="77777777" w:rsidR="00237DA8" w:rsidRDefault="00237DA8"/>
  </w:footnote>
  <w:footnote w:id="2">
    <w:p w14:paraId="07C92614" w14:textId="77777777" w:rsidR="00FC3895" w:rsidRPr="004876E3" w:rsidRDefault="00FC3895" w:rsidP="00FC3895">
      <w:pPr>
        <w:pStyle w:val="FootnoteText"/>
      </w:pPr>
      <w:r w:rsidRPr="00A90EA8">
        <w:tab/>
      </w:r>
      <w:r>
        <w:rPr>
          <w:rStyle w:val="FootnoteReference"/>
          <w:lang w:val="en-US"/>
        </w:rPr>
        <w:t>*</w:t>
      </w:r>
      <w:r>
        <w:rPr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(A/76/6 (Sect.20), para 20.76),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B1C1" w14:textId="43207A5A" w:rsidR="00C740F6" w:rsidRPr="006C395D" w:rsidRDefault="00C740F6" w:rsidP="005726B5">
    <w:pPr>
      <w:pStyle w:val="Header"/>
    </w:pPr>
    <w:r w:rsidRPr="00155295">
      <w:t>ECE/TRANS/WP.29/GRE/</w:t>
    </w:r>
    <w:r w:rsidRPr="00FC3895">
      <w:t>20</w:t>
    </w:r>
    <w:r w:rsidR="006D181F" w:rsidRPr="00FC3895">
      <w:t>2</w:t>
    </w:r>
    <w:r w:rsidR="004F3D31" w:rsidRPr="00FC3895">
      <w:t>2</w:t>
    </w:r>
    <w:r w:rsidRPr="00FC3895">
      <w:t>/</w:t>
    </w:r>
    <w:r w:rsidR="00FC3895" w:rsidRPr="00FC3895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647F" w14:textId="287B5FCF" w:rsidR="00C740F6" w:rsidRPr="006C395D" w:rsidRDefault="00C740F6" w:rsidP="00DA725B">
    <w:pPr>
      <w:pStyle w:val="Header"/>
      <w:jc w:val="right"/>
    </w:pPr>
    <w:r w:rsidRPr="00155295">
      <w:t>ECE/TRANS/WP.29/GRE/20</w:t>
    </w:r>
    <w:r w:rsidR="004223FF" w:rsidRPr="00155295">
      <w:t>2</w:t>
    </w:r>
    <w:r w:rsidR="003761B0" w:rsidRPr="00155295">
      <w:t>1</w:t>
    </w:r>
    <w:r w:rsidRPr="00155295">
      <w:t>/</w:t>
    </w:r>
    <w:r w:rsidR="00155295" w:rsidRPr="00155295">
      <w:t>1</w:t>
    </w:r>
    <w:r w:rsidR="008E28BF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697927"/>
    <w:multiLevelType w:val="hybridMultilevel"/>
    <w:tmpl w:val="4DBC869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4637E4D"/>
    <w:multiLevelType w:val="hybridMultilevel"/>
    <w:tmpl w:val="5836A2CC"/>
    <w:lvl w:ilvl="0" w:tplc="1BE2F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3AF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A0D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D477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E4E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6E1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897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D265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D85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57AB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3C78"/>
    <w:rsid w:val="00045589"/>
    <w:rsid w:val="00047A11"/>
    <w:rsid w:val="00047C7E"/>
    <w:rsid w:val="00050D9E"/>
    <w:rsid w:val="00050F6B"/>
    <w:rsid w:val="000511E2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86C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7DC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1786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295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027D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2C35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C5E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37DA8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5B7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3704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BFF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164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515"/>
    <w:rsid w:val="00343B8A"/>
    <w:rsid w:val="0034544A"/>
    <w:rsid w:val="00345A98"/>
    <w:rsid w:val="00346885"/>
    <w:rsid w:val="00346DBB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63E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29D8"/>
    <w:rsid w:val="003D3D20"/>
    <w:rsid w:val="003D3F6A"/>
    <w:rsid w:val="003D3FF4"/>
    <w:rsid w:val="003D4967"/>
    <w:rsid w:val="003D4B23"/>
    <w:rsid w:val="003D57B4"/>
    <w:rsid w:val="003D5B86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3D31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3BB8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483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2F09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2E11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D0"/>
    <w:rsid w:val="005C4F06"/>
    <w:rsid w:val="005C5903"/>
    <w:rsid w:val="005C5F3E"/>
    <w:rsid w:val="005D04F8"/>
    <w:rsid w:val="005D060B"/>
    <w:rsid w:val="005D0BE4"/>
    <w:rsid w:val="005D1737"/>
    <w:rsid w:val="005D1EC5"/>
    <w:rsid w:val="005D1FFC"/>
    <w:rsid w:val="005D299B"/>
    <w:rsid w:val="005D344B"/>
    <w:rsid w:val="005D384A"/>
    <w:rsid w:val="005D3A7E"/>
    <w:rsid w:val="005D40D1"/>
    <w:rsid w:val="005D4166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A9"/>
    <w:rsid w:val="005F46D0"/>
    <w:rsid w:val="005F4813"/>
    <w:rsid w:val="005F48DA"/>
    <w:rsid w:val="005F4F7A"/>
    <w:rsid w:val="005F587C"/>
    <w:rsid w:val="005F61E8"/>
    <w:rsid w:val="005F68BB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4532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4C4E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4654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0CD9"/>
    <w:rsid w:val="0071166F"/>
    <w:rsid w:val="00711E19"/>
    <w:rsid w:val="00711ECB"/>
    <w:rsid w:val="0071221A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0FDA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3834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00"/>
    <w:rsid w:val="00775151"/>
    <w:rsid w:val="00775795"/>
    <w:rsid w:val="0077651B"/>
    <w:rsid w:val="00776A70"/>
    <w:rsid w:val="0077735A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7E3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344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6D58"/>
    <w:rsid w:val="00887D97"/>
    <w:rsid w:val="00887F2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DF1"/>
    <w:rsid w:val="008E0E46"/>
    <w:rsid w:val="008E19B9"/>
    <w:rsid w:val="008E28BF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6D6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3359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3308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71C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DF8"/>
    <w:rsid w:val="00A97A2B"/>
    <w:rsid w:val="00A97B6E"/>
    <w:rsid w:val="00AA02B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A91"/>
    <w:rsid w:val="00B46F5C"/>
    <w:rsid w:val="00B47173"/>
    <w:rsid w:val="00B50074"/>
    <w:rsid w:val="00B500EA"/>
    <w:rsid w:val="00B51357"/>
    <w:rsid w:val="00B51527"/>
    <w:rsid w:val="00B518CC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41C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008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124F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32A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51DF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8BA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BE9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2F2"/>
    <w:rsid w:val="00CE2894"/>
    <w:rsid w:val="00CE35BB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274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6040"/>
    <w:rsid w:val="00D275E8"/>
    <w:rsid w:val="00D317BB"/>
    <w:rsid w:val="00D3218F"/>
    <w:rsid w:val="00D32B94"/>
    <w:rsid w:val="00D3370E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7700F"/>
    <w:rsid w:val="00D80D6E"/>
    <w:rsid w:val="00D81ABA"/>
    <w:rsid w:val="00D81B5B"/>
    <w:rsid w:val="00D8401A"/>
    <w:rsid w:val="00D84F05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6548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1636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30F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19FA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79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0CE3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2F0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4B48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32A6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0E2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663"/>
    <w:rsid w:val="00F43ECF"/>
    <w:rsid w:val="00F44610"/>
    <w:rsid w:val="00F451D8"/>
    <w:rsid w:val="00F4580C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90A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895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DF80-DB32-49FB-8480-48720C0E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396</Words>
  <Characters>2229</Characters>
  <Application>Microsoft Office Word</Application>
  <DocSecurity>0</DocSecurity>
  <Lines>53</Lines>
  <Paragraphs>24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ECE/TRANS/WP.29/GRE/2021/10</vt:lpstr>
      <vt:lpstr>ECE/TRANS/WP.29/GRE/2021/10</vt:lpstr>
      <vt:lpstr>ECE/TRANS/WP.29/GRE/2020/9</vt:lpstr>
      <vt:lpstr>ECE/TRANS/WP.29/GRE/2019/3</vt:lpstr>
    </vt:vector>
  </TitlesOfParts>
  <Company>CSD</Company>
  <LinksUpToDate>false</LinksUpToDate>
  <CharactersWithSpaces>2623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ECE/TRANS/WP.29/GRE/2022/6</dc:title>
  <dc:subject>2201309</dc:subject>
  <dc:creator>Una Philippa GILTSOFF</dc:creator>
  <cp:keywords/>
  <dc:description/>
  <cp:lastModifiedBy>Don MARTIN</cp:lastModifiedBy>
  <cp:revision>2</cp:revision>
  <cp:lastPrinted>2019-01-31T15:08:00Z</cp:lastPrinted>
  <dcterms:created xsi:type="dcterms:W3CDTF">2022-02-02T15:05:00Z</dcterms:created>
  <dcterms:modified xsi:type="dcterms:W3CDTF">2022-02-02T15:05:00Z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</Properties>
</file>