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Y="27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F1AB4" w:rsidRPr="00396230" w14:paraId="69422C9F" w14:textId="77777777" w:rsidTr="003F1AB4">
        <w:trPr>
          <w:cantSplit/>
          <w:trHeight w:hRule="exact" w:val="851"/>
        </w:trPr>
        <w:tc>
          <w:tcPr>
            <w:tcW w:w="1276" w:type="dxa"/>
            <w:tcBorders>
              <w:bottom w:val="single" w:sz="4" w:space="0" w:color="auto"/>
            </w:tcBorders>
            <w:shd w:val="clear" w:color="auto" w:fill="auto"/>
            <w:vAlign w:val="bottom"/>
          </w:tcPr>
          <w:p w14:paraId="3E1C842F" w14:textId="77777777" w:rsidR="003F1AB4" w:rsidRPr="00525E6C" w:rsidRDefault="003F1AB4" w:rsidP="003F1AB4">
            <w:pPr>
              <w:spacing w:after="80"/>
            </w:pPr>
            <w:r w:rsidRPr="00525E6C">
              <w:t xml:space="preserve">  </w:t>
            </w:r>
          </w:p>
        </w:tc>
        <w:tc>
          <w:tcPr>
            <w:tcW w:w="2268" w:type="dxa"/>
            <w:tcBorders>
              <w:bottom w:val="single" w:sz="4" w:space="0" w:color="auto"/>
            </w:tcBorders>
            <w:shd w:val="clear" w:color="auto" w:fill="auto"/>
            <w:vAlign w:val="bottom"/>
          </w:tcPr>
          <w:p w14:paraId="6707C714" w14:textId="77777777" w:rsidR="003F1AB4" w:rsidRPr="00396230" w:rsidRDefault="003F1AB4" w:rsidP="003F1AB4">
            <w:pPr>
              <w:spacing w:after="80" w:line="300" w:lineRule="exact"/>
              <w:rPr>
                <w:b/>
                <w:sz w:val="24"/>
                <w:szCs w:val="24"/>
              </w:rPr>
            </w:pPr>
            <w:r w:rsidRPr="00396230">
              <w:rPr>
                <w:sz w:val="28"/>
                <w:szCs w:val="28"/>
              </w:rPr>
              <w:t>United Nations</w:t>
            </w:r>
          </w:p>
        </w:tc>
        <w:tc>
          <w:tcPr>
            <w:tcW w:w="6095" w:type="dxa"/>
            <w:gridSpan w:val="2"/>
            <w:tcBorders>
              <w:bottom w:val="single" w:sz="4" w:space="0" w:color="auto"/>
            </w:tcBorders>
            <w:shd w:val="clear" w:color="auto" w:fill="auto"/>
            <w:vAlign w:val="bottom"/>
          </w:tcPr>
          <w:p w14:paraId="306D3976" w14:textId="06FDE897" w:rsidR="003F1AB4" w:rsidRPr="00396230" w:rsidRDefault="003F1AB4" w:rsidP="003F1AB4">
            <w:pPr>
              <w:jc w:val="right"/>
            </w:pPr>
            <w:r w:rsidRPr="00396230">
              <w:rPr>
                <w:sz w:val="40"/>
              </w:rPr>
              <w:t>ECE</w:t>
            </w:r>
            <w:r w:rsidRPr="00396230">
              <w:t>/TRANS/WP.29/GRE/202</w:t>
            </w:r>
            <w:r w:rsidR="002A4C5B" w:rsidRPr="00396230">
              <w:t>2</w:t>
            </w:r>
            <w:r w:rsidRPr="00396230">
              <w:t>/</w:t>
            </w:r>
            <w:r w:rsidR="007405A8" w:rsidRPr="00396230">
              <w:t>4</w:t>
            </w:r>
          </w:p>
        </w:tc>
      </w:tr>
      <w:tr w:rsidR="003F1AB4" w:rsidRPr="00396230" w14:paraId="6AF415C9" w14:textId="77777777" w:rsidTr="003F1AB4">
        <w:trPr>
          <w:cantSplit/>
          <w:trHeight w:hRule="exact" w:val="2835"/>
        </w:trPr>
        <w:tc>
          <w:tcPr>
            <w:tcW w:w="1276" w:type="dxa"/>
            <w:tcBorders>
              <w:top w:val="single" w:sz="4" w:space="0" w:color="auto"/>
              <w:bottom w:val="single" w:sz="12" w:space="0" w:color="auto"/>
            </w:tcBorders>
            <w:shd w:val="clear" w:color="auto" w:fill="auto"/>
          </w:tcPr>
          <w:p w14:paraId="2AB6B7EA" w14:textId="77777777" w:rsidR="003F1AB4" w:rsidRPr="00396230" w:rsidRDefault="003F1AB4" w:rsidP="003F1AB4">
            <w:pPr>
              <w:spacing w:before="120"/>
            </w:pPr>
            <w:r w:rsidRPr="00396230">
              <w:rPr>
                <w:noProof/>
                <w:lang w:val="en-US" w:eastAsia="zh-CN"/>
              </w:rPr>
              <w:drawing>
                <wp:inline distT="0" distB="0" distL="0" distR="0" wp14:anchorId="30F4A15A" wp14:editId="33DED1BD">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EBA51EB" w14:textId="77777777" w:rsidR="003F1AB4" w:rsidRPr="00396230" w:rsidRDefault="003F1AB4" w:rsidP="003F1AB4">
            <w:pPr>
              <w:spacing w:before="120" w:line="420" w:lineRule="exact"/>
              <w:rPr>
                <w:sz w:val="40"/>
                <w:szCs w:val="40"/>
              </w:rPr>
            </w:pPr>
            <w:r w:rsidRPr="00396230">
              <w:rPr>
                <w:b/>
                <w:sz w:val="40"/>
                <w:szCs w:val="40"/>
              </w:rPr>
              <w:t>Economic and Social Council</w:t>
            </w:r>
          </w:p>
        </w:tc>
        <w:tc>
          <w:tcPr>
            <w:tcW w:w="2835" w:type="dxa"/>
            <w:tcBorders>
              <w:top w:val="single" w:sz="4" w:space="0" w:color="auto"/>
              <w:bottom w:val="single" w:sz="12" w:space="0" w:color="auto"/>
            </w:tcBorders>
            <w:shd w:val="clear" w:color="auto" w:fill="auto"/>
          </w:tcPr>
          <w:p w14:paraId="0CE569E8" w14:textId="77777777" w:rsidR="003F1AB4" w:rsidRPr="00396230" w:rsidRDefault="003F1AB4" w:rsidP="003F1AB4">
            <w:pPr>
              <w:spacing w:before="240" w:line="240" w:lineRule="exact"/>
            </w:pPr>
            <w:r w:rsidRPr="00396230">
              <w:t>Distr.: General</w:t>
            </w:r>
          </w:p>
          <w:p w14:paraId="581CB256" w14:textId="4E3C2A79" w:rsidR="003F1AB4" w:rsidRPr="00396230" w:rsidRDefault="0090148F" w:rsidP="003F1AB4">
            <w:pPr>
              <w:spacing w:line="240" w:lineRule="exact"/>
            </w:pPr>
            <w:r w:rsidRPr="00BD2382">
              <w:t>2</w:t>
            </w:r>
            <w:r w:rsidR="002C1939" w:rsidRPr="00396230">
              <w:rPr>
                <w:lang w:val="en-US"/>
              </w:rPr>
              <w:t xml:space="preserve"> </w:t>
            </w:r>
            <w:r w:rsidR="002A4C5B" w:rsidRPr="00396230">
              <w:rPr>
                <w:lang w:val="en-US"/>
              </w:rPr>
              <w:t>February</w:t>
            </w:r>
            <w:r w:rsidR="002C1939" w:rsidRPr="00396230">
              <w:rPr>
                <w:lang w:val="en-US"/>
              </w:rPr>
              <w:t xml:space="preserve"> </w:t>
            </w:r>
            <w:r w:rsidR="003F1AB4" w:rsidRPr="00396230">
              <w:rPr>
                <w:lang w:val="en-US"/>
              </w:rPr>
              <w:t>202</w:t>
            </w:r>
            <w:r w:rsidR="002A4C5B" w:rsidRPr="00396230">
              <w:rPr>
                <w:lang w:val="en-US"/>
              </w:rPr>
              <w:t>2</w:t>
            </w:r>
          </w:p>
          <w:p w14:paraId="5FF26AE7" w14:textId="77777777" w:rsidR="003F1AB4" w:rsidRPr="00396230" w:rsidRDefault="003F1AB4" w:rsidP="003F1AB4">
            <w:pPr>
              <w:spacing w:line="240" w:lineRule="exact"/>
            </w:pPr>
          </w:p>
          <w:p w14:paraId="71FBFBB4" w14:textId="77777777" w:rsidR="003F1AB4" w:rsidRPr="00396230" w:rsidRDefault="003F1AB4" w:rsidP="003F1AB4">
            <w:pPr>
              <w:spacing w:line="240" w:lineRule="exact"/>
            </w:pPr>
            <w:r w:rsidRPr="00396230">
              <w:t>Original: English</w:t>
            </w:r>
          </w:p>
        </w:tc>
      </w:tr>
    </w:tbl>
    <w:p w14:paraId="32D3E06F" w14:textId="1D56963C" w:rsidR="00732AD2" w:rsidRPr="00396230" w:rsidRDefault="00732AD2" w:rsidP="00732AD2">
      <w:pPr>
        <w:spacing w:before="120"/>
        <w:rPr>
          <w:b/>
          <w:sz w:val="28"/>
          <w:szCs w:val="28"/>
        </w:rPr>
      </w:pPr>
      <w:r w:rsidRPr="00396230">
        <w:rPr>
          <w:b/>
          <w:sz w:val="28"/>
          <w:szCs w:val="28"/>
        </w:rPr>
        <w:t>Economic Commission for Europe</w:t>
      </w:r>
    </w:p>
    <w:p w14:paraId="0555DAE5" w14:textId="77777777" w:rsidR="00732AD2" w:rsidRPr="00396230" w:rsidRDefault="00732AD2" w:rsidP="00732AD2">
      <w:pPr>
        <w:spacing w:before="120"/>
        <w:rPr>
          <w:sz w:val="28"/>
          <w:szCs w:val="28"/>
        </w:rPr>
      </w:pPr>
      <w:r w:rsidRPr="00396230">
        <w:rPr>
          <w:sz w:val="28"/>
          <w:szCs w:val="28"/>
        </w:rPr>
        <w:t>Inland Transport Committee</w:t>
      </w:r>
    </w:p>
    <w:p w14:paraId="49BB2B21" w14:textId="77777777" w:rsidR="00732AD2" w:rsidRPr="00396230" w:rsidRDefault="00732AD2" w:rsidP="00732AD2">
      <w:pPr>
        <w:spacing w:before="120"/>
        <w:rPr>
          <w:b/>
          <w:sz w:val="24"/>
          <w:szCs w:val="24"/>
        </w:rPr>
      </w:pPr>
      <w:r w:rsidRPr="00396230">
        <w:rPr>
          <w:b/>
          <w:sz w:val="24"/>
          <w:szCs w:val="24"/>
        </w:rPr>
        <w:t>World Forum for Harmonization of Vehicle Regulations</w:t>
      </w:r>
    </w:p>
    <w:p w14:paraId="2C7263B6" w14:textId="77777777" w:rsidR="00732AD2" w:rsidRPr="00396230" w:rsidRDefault="00732AD2" w:rsidP="00732AD2">
      <w:pPr>
        <w:spacing w:before="120" w:after="120"/>
        <w:rPr>
          <w:b/>
          <w:bCs/>
        </w:rPr>
      </w:pPr>
      <w:r w:rsidRPr="00396230">
        <w:rPr>
          <w:b/>
          <w:bCs/>
        </w:rPr>
        <w:t>Working Party on Lighting and Light-Signalling</w:t>
      </w:r>
    </w:p>
    <w:p w14:paraId="076447AA" w14:textId="6D526A92" w:rsidR="00EB70BF" w:rsidRPr="00396230" w:rsidRDefault="00EB70BF" w:rsidP="00EB70BF">
      <w:pPr>
        <w:ind w:right="1134"/>
        <w:rPr>
          <w:b/>
        </w:rPr>
      </w:pPr>
      <w:r w:rsidRPr="00396230">
        <w:rPr>
          <w:b/>
        </w:rPr>
        <w:t>Eighty-</w:t>
      </w:r>
      <w:r w:rsidR="002A4C5B" w:rsidRPr="00396230">
        <w:rPr>
          <w:b/>
        </w:rPr>
        <w:t>six</w:t>
      </w:r>
      <w:r w:rsidR="00F3615B" w:rsidRPr="00396230">
        <w:rPr>
          <w:b/>
        </w:rPr>
        <w:t>th</w:t>
      </w:r>
      <w:r w:rsidRPr="00396230">
        <w:rPr>
          <w:b/>
        </w:rPr>
        <w:t xml:space="preserve"> session</w:t>
      </w:r>
    </w:p>
    <w:p w14:paraId="2D1DEC65" w14:textId="6465D721" w:rsidR="00EB70BF" w:rsidRPr="00396230" w:rsidRDefault="00EB70BF" w:rsidP="00EB70BF">
      <w:pPr>
        <w:ind w:right="1134"/>
      </w:pPr>
      <w:r w:rsidRPr="00396230">
        <w:t xml:space="preserve">Geneva, </w:t>
      </w:r>
      <w:r w:rsidR="00F3615B" w:rsidRPr="00396230">
        <w:t>26</w:t>
      </w:r>
      <w:r w:rsidR="00023558" w:rsidRPr="00396230">
        <w:t>–</w:t>
      </w:r>
      <w:r w:rsidR="002844A7" w:rsidRPr="00396230">
        <w:t>2</w:t>
      </w:r>
      <w:r w:rsidR="00F3615B" w:rsidRPr="00396230">
        <w:t>9</w:t>
      </w:r>
      <w:r w:rsidR="002844A7" w:rsidRPr="00396230">
        <w:t xml:space="preserve"> </w:t>
      </w:r>
      <w:r w:rsidR="002A4C5B" w:rsidRPr="00396230">
        <w:t>April</w:t>
      </w:r>
      <w:r w:rsidR="006D181F" w:rsidRPr="00396230">
        <w:t xml:space="preserve"> </w:t>
      </w:r>
      <w:r w:rsidRPr="00396230">
        <w:t>20</w:t>
      </w:r>
      <w:r w:rsidR="006D181F" w:rsidRPr="00396230">
        <w:t>2</w:t>
      </w:r>
      <w:r w:rsidR="002A4C5B" w:rsidRPr="00396230">
        <w:t>2</w:t>
      </w:r>
    </w:p>
    <w:p w14:paraId="5B492E7A" w14:textId="12385EE7" w:rsidR="00732AD2" w:rsidRPr="00396230" w:rsidRDefault="00732AD2" w:rsidP="00E04EC7">
      <w:pPr>
        <w:ind w:right="1134"/>
        <w:rPr>
          <w:bCs/>
        </w:rPr>
      </w:pPr>
      <w:r w:rsidRPr="00396230">
        <w:rPr>
          <w:bCs/>
        </w:rPr>
        <w:t xml:space="preserve">Item </w:t>
      </w:r>
      <w:r w:rsidR="0090148F" w:rsidRPr="00396230">
        <w:rPr>
          <w:bCs/>
          <w:lang w:val="en-US"/>
        </w:rPr>
        <w:t>4 (</w:t>
      </w:r>
      <w:r w:rsidR="0090148F" w:rsidRPr="00396230">
        <w:rPr>
          <w:bCs/>
          <w:lang w:val="ru-RU"/>
        </w:rPr>
        <w:t>с</w:t>
      </w:r>
      <w:r w:rsidR="0090148F" w:rsidRPr="00396230">
        <w:rPr>
          <w:bCs/>
          <w:lang w:val="en-US"/>
        </w:rPr>
        <w:t xml:space="preserve">) </w:t>
      </w:r>
      <w:r w:rsidR="002C1939" w:rsidRPr="00396230">
        <w:rPr>
          <w:bCs/>
        </w:rPr>
        <w:t>o</w:t>
      </w:r>
      <w:r w:rsidRPr="00396230">
        <w:rPr>
          <w:bCs/>
        </w:rPr>
        <w:t>f the provisional agenda</w:t>
      </w:r>
    </w:p>
    <w:p w14:paraId="0B5CC20D" w14:textId="64373794" w:rsidR="003F1AB4" w:rsidRPr="00396230" w:rsidRDefault="00DA725B" w:rsidP="00DA725B">
      <w:pPr>
        <w:ind w:right="1467"/>
        <w:jc w:val="both"/>
        <w:rPr>
          <w:b/>
          <w:bCs/>
        </w:rPr>
      </w:pPr>
      <w:r w:rsidRPr="00396230">
        <w:rPr>
          <w:b/>
          <w:bCs/>
        </w:rPr>
        <w:t xml:space="preserve">Simplification of lighting and light-signalling </w:t>
      </w:r>
      <w:r w:rsidR="007E2B5F" w:rsidRPr="00396230">
        <w:rPr>
          <w:b/>
          <w:bCs/>
        </w:rPr>
        <w:t xml:space="preserve">UN </w:t>
      </w:r>
      <w:r w:rsidRPr="00396230">
        <w:rPr>
          <w:b/>
          <w:bCs/>
        </w:rPr>
        <w:t>Regulations</w:t>
      </w:r>
      <w:r w:rsidR="00B76F95" w:rsidRPr="00396230">
        <w:rPr>
          <w:b/>
          <w:bCs/>
        </w:rPr>
        <w:t>:</w:t>
      </w:r>
    </w:p>
    <w:p w14:paraId="355C0D2C" w14:textId="51F47C03" w:rsidR="00B76F95" w:rsidRPr="00396230" w:rsidRDefault="00B76F95" w:rsidP="00DA725B">
      <w:pPr>
        <w:ind w:right="1467"/>
        <w:jc w:val="both"/>
        <w:rPr>
          <w:b/>
          <w:bCs/>
        </w:rPr>
      </w:pPr>
      <w:r w:rsidRPr="00396230">
        <w:rPr>
          <w:b/>
          <w:bCs/>
        </w:rPr>
        <w:t>UN Regulation No. 14</w:t>
      </w:r>
      <w:r w:rsidR="00BE42D3" w:rsidRPr="00396230">
        <w:rPr>
          <w:b/>
          <w:bCs/>
        </w:rPr>
        <w:t>9</w:t>
      </w:r>
      <w:r w:rsidRPr="00396230">
        <w:rPr>
          <w:b/>
          <w:bCs/>
        </w:rPr>
        <w:t xml:space="preserve"> (</w:t>
      </w:r>
      <w:r w:rsidR="00BE42D3" w:rsidRPr="00396230">
        <w:rPr>
          <w:b/>
          <w:bCs/>
        </w:rPr>
        <w:t>Road</w:t>
      </w:r>
      <w:r w:rsidR="009238E0" w:rsidRPr="00BD2382">
        <w:rPr>
          <w:b/>
          <w:bCs/>
        </w:rPr>
        <w:t xml:space="preserve"> </w:t>
      </w:r>
      <w:r w:rsidR="00BE42D3" w:rsidRPr="00396230">
        <w:rPr>
          <w:b/>
          <w:bCs/>
        </w:rPr>
        <w:t xml:space="preserve">illumination </w:t>
      </w:r>
      <w:r w:rsidRPr="00396230">
        <w:rPr>
          <w:b/>
          <w:bCs/>
        </w:rPr>
        <w:t>devices)</w:t>
      </w:r>
    </w:p>
    <w:p w14:paraId="1BE1B729" w14:textId="2B46502A" w:rsidR="00732AD2" w:rsidRPr="00396230" w:rsidRDefault="00732AD2" w:rsidP="009238E0">
      <w:pPr>
        <w:pStyle w:val="HChG"/>
      </w:pPr>
      <w:r w:rsidRPr="00396230">
        <w:tab/>
      </w:r>
      <w:r w:rsidRPr="00396230">
        <w:tab/>
      </w:r>
      <w:r w:rsidR="00F3615B" w:rsidRPr="00396230">
        <w:t xml:space="preserve">Proposal to clarify and to correct the text of the </w:t>
      </w:r>
      <w:r w:rsidR="002A4C5B" w:rsidRPr="00396230">
        <w:t xml:space="preserve">draft 01 series of amendments to </w:t>
      </w:r>
      <w:r w:rsidR="00F3615B" w:rsidRPr="00396230">
        <w:t>UN Regulation No. 14</w:t>
      </w:r>
      <w:r w:rsidR="00BE42D3" w:rsidRPr="00396230">
        <w:t>9</w:t>
      </w:r>
      <w:r w:rsidR="00255FF8" w:rsidRPr="00396230">
        <w:t xml:space="preserve"> </w:t>
      </w:r>
    </w:p>
    <w:p w14:paraId="51369146" w14:textId="5E130A3A" w:rsidR="00E317C2" w:rsidRPr="00396230" w:rsidRDefault="00E317C2" w:rsidP="00E317C2">
      <w:pPr>
        <w:pStyle w:val="H1G"/>
        <w:rPr>
          <w:szCs w:val="24"/>
        </w:rPr>
      </w:pPr>
      <w:r w:rsidRPr="00396230">
        <w:tab/>
      </w:r>
      <w:r w:rsidRPr="00396230">
        <w:tab/>
        <w:t>Submitted by the Informal Working Group on Simplification of Lighting and Light-Signalling Regulations</w:t>
      </w:r>
      <w:r w:rsidRPr="00396230">
        <w:footnoteReference w:customMarkFollows="1" w:id="2"/>
        <w:t>*</w:t>
      </w:r>
      <w:r w:rsidRPr="00396230">
        <w:rPr>
          <w:szCs w:val="24"/>
        </w:rPr>
        <w:t xml:space="preserve"> </w:t>
      </w:r>
    </w:p>
    <w:p w14:paraId="6CF57D06" w14:textId="2506894F" w:rsidR="0053129E" w:rsidRPr="00396230" w:rsidRDefault="00E317C2" w:rsidP="00E820AD">
      <w:pPr>
        <w:pStyle w:val="SingleTxtG"/>
        <w:tabs>
          <w:tab w:val="left" w:pos="8505"/>
        </w:tabs>
        <w:ind w:firstLine="567"/>
        <w:rPr>
          <w:lang w:val="en-US"/>
        </w:rPr>
      </w:pPr>
      <w:r w:rsidRPr="00396230">
        <w:t xml:space="preserve">The text reproduced below was prepared by </w:t>
      </w:r>
      <w:bookmarkStart w:id="0" w:name="_Hlk78276087"/>
      <w:r w:rsidR="003F1AB4" w:rsidRPr="00396230">
        <w:t>the Informal Working Group on Simplification of Lighting and Light-Signalling Regulations (</w:t>
      </w:r>
      <w:r w:rsidRPr="00396230">
        <w:t>IWG SLR</w:t>
      </w:r>
      <w:r w:rsidR="003F1AB4" w:rsidRPr="00396230">
        <w:t>)</w:t>
      </w:r>
      <w:r w:rsidRPr="00396230">
        <w:t xml:space="preserve"> </w:t>
      </w:r>
      <w:bookmarkEnd w:id="0"/>
      <w:r w:rsidRPr="00396230">
        <w:rPr>
          <w:lang w:val="en-US"/>
        </w:rPr>
        <w:t xml:space="preserve">with the aim to </w:t>
      </w:r>
      <w:r w:rsidR="00E820AD" w:rsidRPr="00396230">
        <w:rPr>
          <w:lang w:val="en-US"/>
        </w:rPr>
        <w:t xml:space="preserve">clarify and to correct the text of the draft 01 series of amendments </w:t>
      </w:r>
      <w:r w:rsidR="00E820AD" w:rsidRPr="00396230">
        <w:t>to</w:t>
      </w:r>
      <w:r w:rsidR="00E820AD" w:rsidRPr="00396230">
        <w:rPr>
          <w:lang w:val="en-US"/>
        </w:rPr>
        <w:t xml:space="preserve"> UN Regulation No. 149. </w:t>
      </w:r>
      <w:r w:rsidRPr="00396230">
        <w:rPr>
          <w:lang w:val="en-US"/>
        </w:rPr>
        <w:t xml:space="preserve">The modifications to the </w:t>
      </w:r>
      <w:r w:rsidR="004244E3" w:rsidRPr="00396230">
        <w:rPr>
          <w:lang w:val="en-US"/>
        </w:rPr>
        <w:t xml:space="preserve">text adopted by </w:t>
      </w:r>
      <w:r w:rsidR="00394527" w:rsidRPr="00396230">
        <w:rPr>
          <w:lang w:val="en-US"/>
        </w:rPr>
        <w:t xml:space="preserve">the Working Party on Lighting and Light-Signalling </w:t>
      </w:r>
      <w:r w:rsidR="009F68D8" w:rsidRPr="00396230">
        <w:rPr>
          <w:lang w:val="en-US"/>
        </w:rPr>
        <w:t>(</w:t>
      </w:r>
      <w:r w:rsidR="004244E3" w:rsidRPr="00396230">
        <w:rPr>
          <w:lang w:val="en-US"/>
        </w:rPr>
        <w:t>GRE</w:t>
      </w:r>
      <w:r w:rsidR="009F68D8" w:rsidRPr="00396230">
        <w:rPr>
          <w:lang w:val="en-US"/>
        </w:rPr>
        <w:t>)</w:t>
      </w:r>
      <w:r w:rsidR="004244E3" w:rsidRPr="00396230">
        <w:rPr>
          <w:lang w:val="en-US"/>
        </w:rPr>
        <w:t xml:space="preserve"> </w:t>
      </w:r>
      <w:r w:rsidR="00FE3477" w:rsidRPr="00396230">
        <w:rPr>
          <w:lang w:val="en-US"/>
        </w:rPr>
        <w:t xml:space="preserve">(namely </w:t>
      </w:r>
      <w:r w:rsidR="009F68D8" w:rsidRPr="00396230">
        <w:rPr>
          <w:lang w:val="en-US"/>
        </w:rPr>
        <w:t>ECE/TRANS/WP.29</w:t>
      </w:r>
      <w:r w:rsidR="00C03C84">
        <w:rPr>
          <w:lang w:val="en-US"/>
        </w:rPr>
        <w:t>/</w:t>
      </w:r>
      <w:r w:rsidR="00FE3477" w:rsidRPr="00396230">
        <w:rPr>
          <w:lang w:val="en-US"/>
        </w:rPr>
        <w:t>GRE/2021/1</w:t>
      </w:r>
      <w:r w:rsidR="00163A45" w:rsidRPr="00396230">
        <w:rPr>
          <w:lang w:val="en-US"/>
        </w:rPr>
        <w:t xml:space="preserve">4 as amended by </w:t>
      </w:r>
      <w:r w:rsidR="003B24D3" w:rsidRPr="00396230">
        <w:rPr>
          <w:lang w:val="en-US"/>
        </w:rPr>
        <w:br/>
      </w:r>
      <w:r w:rsidR="009F68D8" w:rsidRPr="00396230">
        <w:rPr>
          <w:lang w:val="en-US"/>
        </w:rPr>
        <w:t xml:space="preserve">informal documents </w:t>
      </w:r>
      <w:r w:rsidR="00163A45" w:rsidRPr="00396230">
        <w:rPr>
          <w:lang w:val="en-US"/>
        </w:rPr>
        <w:t>GRE-85-09, GRE-85-14 and GRE-85-33</w:t>
      </w:r>
      <w:r w:rsidR="00FE3477" w:rsidRPr="00396230">
        <w:rPr>
          <w:lang w:val="en-US"/>
        </w:rPr>
        <w:t xml:space="preserve">) </w:t>
      </w:r>
      <w:r w:rsidRPr="00396230">
        <w:rPr>
          <w:lang w:val="en-US"/>
        </w:rPr>
        <w:t xml:space="preserve">are marked in </w:t>
      </w:r>
      <w:r w:rsidRPr="00396230">
        <w:rPr>
          <w:bCs/>
          <w:lang w:val="en-US"/>
        </w:rPr>
        <w:t>bold for new or strikethrough for deleted characters</w:t>
      </w:r>
      <w:r w:rsidR="00DA725B" w:rsidRPr="00396230">
        <w:rPr>
          <w:bCs/>
        </w:rPr>
        <w:t>.</w:t>
      </w:r>
    </w:p>
    <w:p w14:paraId="20CA5035" w14:textId="77777777" w:rsidR="0053129E" w:rsidRPr="00396230" w:rsidRDefault="0053129E" w:rsidP="0053129E">
      <w:pPr>
        <w:rPr>
          <w:lang w:val="en-US"/>
        </w:rPr>
        <w:sectPr w:rsidR="0053129E" w:rsidRPr="00396230" w:rsidSect="003F1AB4">
          <w:footerReference w:type="even" r:id="rId12"/>
          <w:footerReference w:type="default" r:id="rId13"/>
          <w:footerReference w:type="first" r:id="rId14"/>
          <w:pgSz w:w="11906" w:h="16838" w:code="9"/>
          <w:pgMar w:top="1418" w:right="1134" w:bottom="1134" w:left="1134" w:header="851" w:footer="567" w:gutter="0"/>
          <w:cols w:space="720"/>
          <w:docGrid w:linePitch="272"/>
        </w:sectPr>
      </w:pPr>
    </w:p>
    <w:p w14:paraId="0C73D301" w14:textId="77777777" w:rsidR="00E048CF" w:rsidRPr="00396230" w:rsidRDefault="00914CE3" w:rsidP="00AC6294">
      <w:pPr>
        <w:pStyle w:val="HChG"/>
        <w:spacing w:before="240"/>
      </w:pPr>
      <w:r w:rsidRPr="00396230">
        <w:lastRenderedPageBreak/>
        <w:tab/>
      </w:r>
      <w:r w:rsidR="00E048CF" w:rsidRPr="00396230">
        <w:t>I.</w:t>
      </w:r>
      <w:r w:rsidR="00E048CF" w:rsidRPr="00396230">
        <w:tab/>
        <w:t>Proposal</w:t>
      </w:r>
    </w:p>
    <w:p w14:paraId="5866EEC4" w14:textId="185A13C4" w:rsidR="00F372B9" w:rsidRPr="00396230" w:rsidRDefault="00F372B9" w:rsidP="00F372B9">
      <w:pPr>
        <w:spacing w:after="120"/>
        <w:ind w:left="2268" w:right="1134" w:hanging="1134"/>
        <w:rPr>
          <w:rFonts w:asciiTheme="majorBidi" w:eastAsia="MS Mincho" w:hAnsiTheme="majorBidi" w:cstheme="majorBidi"/>
          <w:iCs/>
        </w:rPr>
      </w:pPr>
      <w:r w:rsidRPr="00396230">
        <w:rPr>
          <w:rFonts w:asciiTheme="majorBidi" w:eastAsia="MS Mincho" w:hAnsiTheme="majorBidi" w:cstheme="majorBidi"/>
          <w:i/>
        </w:rPr>
        <w:t xml:space="preserve">Paragraph </w:t>
      </w:r>
      <w:r w:rsidRPr="00396230">
        <w:t>3.3.2.4.2</w:t>
      </w:r>
      <w:r w:rsidRPr="00396230">
        <w:rPr>
          <w:rFonts w:asciiTheme="majorBidi" w:eastAsia="MS Mincho" w:hAnsiTheme="majorBidi" w:cstheme="majorBidi"/>
          <w:i/>
        </w:rPr>
        <w:t>.,</w:t>
      </w:r>
      <w:r w:rsidRPr="00396230">
        <w:rPr>
          <w:rFonts w:asciiTheme="majorBidi" w:eastAsia="MS Mincho" w:hAnsiTheme="majorBidi" w:cstheme="majorBidi"/>
          <w:iCs/>
        </w:rPr>
        <w:t xml:space="preserve"> amend to read:</w:t>
      </w:r>
    </w:p>
    <w:p w14:paraId="5E3E6F00" w14:textId="44C3B5E0" w:rsidR="00F0383F" w:rsidRPr="00396230" w:rsidRDefault="00F372B9" w:rsidP="009A262E">
      <w:pPr>
        <w:pStyle w:val="3para3rdlevel"/>
        <w:rPr>
          <w:lang w:val="en-US"/>
        </w:rPr>
      </w:pPr>
      <w:r w:rsidRPr="00396230">
        <w:t>“3.3.2.4.2.</w:t>
      </w:r>
      <w:r w:rsidRPr="00396230">
        <w:tab/>
      </w:r>
      <w:r w:rsidRPr="00396230">
        <w:rPr>
          <w:rStyle w:val="fontstyle01"/>
        </w:rPr>
        <w:t>In the case of headlamps/AFS installation unit designed to meet the requirements of both traffic systems</w:t>
      </w:r>
      <w:r w:rsidRPr="00396230">
        <w:rPr>
          <w:rStyle w:val="fontstyle01"/>
          <w:b/>
          <w:bCs/>
        </w:rPr>
        <w:t>,</w:t>
      </w:r>
      <w:r w:rsidRPr="00396230">
        <w:rPr>
          <w:rStyle w:val="fontstyle01"/>
        </w:rPr>
        <w:t xml:space="preserve"> </w:t>
      </w:r>
      <w:r w:rsidRPr="00396230">
        <w:rPr>
          <w:rStyle w:val="fontstyle01"/>
          <w:strike/>
        </w:rPr>
        <w:t>by means of</w:t>
      </w:r>
      <w:r w:rsidRPr="00396230">
        <w:rPr>
          <w:rStyle w:val="fontstyle01"/>
        </w:rPr>
        <w:t xml:space="preserve"> </w:t>
      </w:r>
      <w:r w:rsidRPr="00396230">
        <w:rPr>
          <w:rStyle w:val="fontstyle01"/>
          <w:b/>
          <w:bCs/>
        </w:rPr>
        <w:t>with or without</w:t>
      </w:r>
      <w:r w:rsidRPr="00396230">
        <w:rPr>
          <w:rStyle w:val="fontstyle01"/>
        </w:rPr>
        <w:t xml:space="preserve"> an appropriate adjustment of the setting of the optical unit or the light source(s) or light source module(s), a horizontal arrow with a head on each end, the heads pointing respectively to the left and to the right</w:t>
      </w:r>
      <w:r w:rsidRPr="00396230">
        <w:t>.</w:t>
      </w:r>
      <w:r w:rsidRPr="00396230">
        <w:rPr>
          <w:lang w:val="en-US"/>
        </w:rPr>
        <w:t>”</w:t>
      </w:r>
    </w:p>
    <w:p w14:paraId="60AAB8B2" w14:textId="77777777" w:rsidR="00F0383F" w:rsidRPr="00396230" w:rsidRDefault="00F0383F" w:rsidP="00F0383F">
      <w:pPr>
        <w:spacing w:after="120"/>
        <w:ind w:left="2268" w:right="1395" w:hanging="1134"/>
        <w:jc w:val="both"/>
        <w:rPr>
          <w:rFonts w:asciiTheme="majorBidi" w:hAnsiTheme="majorBidi" w:cstheme="majorBidi"/>
          <w:lang w:val="en-US"/>
        </w:rPr>
      </w:pPr>
      <w:r w:rsidRPr="00396230">
        <w:rPr>
          <w:i/>
          <w:lang w:val="en-US"/>
        </w:rPr>
        <w:t>Table 6</w:t>
      </w:r>
      <w:r w:rsidRPr="00396230">
        <w:rPr>
          <w:rFonts w:asciiTheme="majorBidi" w:hAnsiTheme="majorBidi" w:cstheme="majorBidi"/>
          <w:i/>
          <w:lang w:val="en-US"/>
        </w:rPr>
        <w:t>, Part A,</w:t>
      </w:r>
      <w:r w:rsidRPr="00396230">
        <w:rPr>
          <w:rFonts w:asciiTheme="majorBidi" w:hAnsiTheme="majorBidi" w:cstheme="majorBidi"/>
          <w:lang w:val="en-US"/>
        </w:rPr>
        <w:t xml:space="preserve"> amend to read:</w:t>
      </w:r>
    </w:p>
    <w:p w14:paraId="107C7848" w14:textId="77777777" w:rsidR="00F0383F" w:rsidRPr="00396230" w:rsidRDefault="00F0383F" w:rsidP="00F0383F">
      <w:pPr>
        <w:ind w:left="2835" w:right="1134" w:hanging="567"/>
        <w:jc w:val="both"/>
        <w:rPr>
          <w:rFonts w:eastAsia="SimSun"/>
        </w:rPr>
      </w:pPr>
      <w:r w:rsidRPr="00396230">
        <w:rPr>
          <w:i/>
          <w:lang w:val="en-US"/>
        </w:rPr>
        <w:t>“</w:t>
      </w:r>
      <w:r w:rsidRPr="00396230">
        <w:rPr>
          <w:rFonts w:eastAsia="SimSun"/>
        </w:rPr>
        <w:t>Table 6</w:t>
      </w:r>
    </w:p>
    <w:p w14:paraId="121F200D" w14:textId="77777777" w:rsidR="00F0383F" w:rsidRPr="00396230" w:rsidRDefault="00F0383F" w:rsidP="00F0383F">
      <w:pPr>
        <w:spacing w:after="120"/>
        <w:ind w:left="2268" w:right="140"/>
        <w:rPr>
          <w:i/>
          <w:lang w:val="en-US"/>
        </w:rPr>
      </w:pPr>
      <w:r w:rsidRPr="00396230">
        <w:rPr>
          <w:rFonts w:eastAsia="SimSun"/>
          <w:b/>
        </w:rPr>
        <w:t>Type approval photometric requirements for Classes C and V passing-beam (indicated for right-hand traffic)</w:t>
      </w:r>
    </w:p>
    <w:tbl>
      <w:tblPr>
        <w:tblStyle w:val="TableGrid"/>
        <w:tblW w:w="8108" w:type="dxa"/>
        <w:tblInd w:w="1101" w:type="dxa"/>
        <w:tblLayout w:type="fixed"/>
        <w:tblLook w:val="04A0" w:firstRow="1" w:lastRow="0" w:firstColumn="1" w:lastColumn="0" w:noHBand="0" w:noVBand="1"/>
      </w:tblPr>
      <w:tblGrid>
        <w:gridCol w:w="312"/>
        <w:gridCol w:w="1984"/>
        <w:gridCol w:w="709"/>
        <w:gridCol w:w="1276"/>
        <w:gridCol w:w="850"/>
        <w:gridCol w:w="993"/>
        <w:gridCol w:w="850"/>
        <w:gridCol w:w="1134"/>
      </w:tblGrid>
      <w:tr w:rsidR="00F0383F" w:rsidRPr="00396230" w14:paraId="1DA847FB" w14:textId="77777777" w:rsidTr="00956B49">
        <w:tc>
          <w:tcPr>
            <w:tcW w:w="312" w:type="dxa"/>
            <w:vMerge w:val="restart"/>
            <w:tcMar>
              <w:top w:w="0" w:type="dxa"/>
              <w:left w:w="28" w:type="dxa"/>
              <w:bottom w:w="0" w:type="dxa"/>
              <w:right w:w="28" w:type="dxa"/>
            </w:tcMar>
            <w:textDirection w:val="btLr"/>
            <w:vAlign w:val="center"/>
          </w:tcPr>
          <w:p w14:paraId="4F1D478C" w14:textId="77777777" w:rsidR="00F0383F" w:rsidRPr="00396230" w:rsidRDefault="00F0383F" w:rsidP="00956B49">
            <w:pPr>
              <w:spacing w:before="20" w:after="20" w:line="240" w:lineRule="auto"/>
              <w:ind w:left="113" w:right="113"/>
              <w:jc w:val="center"/>
              <w:rPr>
                <w:sz w:val="18"/>
                <w:szCs w:val="18"/>
                <w:lang w:val="en-US"/>
              </w:rPr>
            </w:pPr>
          </w:p>
        </w:tc>
        <w:tc>
          <w:tcPr>
            <w:tcW w:w="1984" w:type="dxa"/>
            <w:vMerge w:val="restart"/>
            <w:vAlign w:val="center"/>
          </w:tcPr>
          <w:p w14:paraId="314EA1DF" w14:textId="77777777" w:rsidR="00F0383F" w:rsidRPr="00396230" w:rsidRDefault="00F0383F" w:rsidP="00956B49">
            <w:pPr>
              <w:spacing w:before="20" w:after="20" w:line="240" w:lineRule="auto"/>
              <w:jc w:val="center"/>
              <w:rPr>
                <w:b/>
                <w:bCs/>
                <w:sz w:val="16"/>
                <w:szCs w:val="16"/>
                <w:lang w:val="en-US"/>
              </w:rPr>
            </w:pPr>
            <w:r w:rsidRPr="00396230">
              <w:rPr>
                <w:b/>
                <w:bCs/>
                <w:i/>
                <w:sz w:val="16"/>
                <w:szCs w:val="16"/>
                <w:lang w:val="en-US"/>
              </w:rPr>
              <w:t>Element</w:t>
            </w:r>
          </w:p>
        </w:tc>
        <w:tc>
          <w:tcPr>
            <w:tcW w:w="1985" w:type="dxa"/>
            <w:gridSpan w:val="2"/>
            <w:vMerge w:val="restart"/>
            <w:tcMar>
              <w:top w:w="0" w:type="dxa"/>
              <w:left w:w="28" w:type="dxa"/>
              <w:bottom w:w="0" w:type="dxa"/>
              <w:right w:w="28" w:type="dxa"/>
            </w:tcMar>
            <w:vAlign w:val="center"/>
          </w:tcPr>
          <w:p w14:paraId="30A4C3F3" w14:textId="77777777" w:rsidR="00F0383F" w:rsidRPr="00396230" w:rsidRDefault="00F0383F" w:rsidP="00956B49">
            <w:pPr>
              <w:spacing w:before="20" w:after="20" w:line="240" w:lineRule="auto"/>
              <w:jc w:val="center"/>
              <w:rPr>
                <w:rFonts w:eastAsia="HGSGothicM"/>
                <w:b/>
                <w:bCs/>
                <w:i/>
                <w:sz w:val="16"/>
                <w:szCs w:val="16"/>
                <w:lang w:val="en-US"/>
              </w:rPr>
            </w:pPr>
            <w:r w:rsidRPr="00396230">
              <w:rPr>
                <w:rFonts w:eastAsia="HGSGothicM"/>
                <w:b/>
                <w:bCs/>
                <w:i/>
                <w:sz w:val="16"/>
                <w:szCs w:val="16"/>
                <w:lang w:val="en-US"/>
              </w:rPr>
              <w:t xml:space="preserve">Angular coordinates in deg. </w:t>
            </w:r>
          </w:p>
        </w:tc>
        <w:tc>
          <w:tcPr>
            <w:tcW w:w="3827" w:type="dxa"/>
            <w:gridSpan w:val="4"/>
            <w:tcBorders>
              <w:bottom w:val="single" w:sz="4" w:space="0" w:color="auto"/>
            </w:tcBorders>
            <w:tcMar>
              <w:top w:w="0" w:type="dxa"/>
              <w:left w:w="28" w:type="dxa"/>
              <w:bottom w:w="0" w:type="dxa"/>
              <w:right w:w="28" w:type="dxa"/>
            </w:tcMar>
            <w:vAlign w:val="center"/>
          </w:tcPr>
          <w:p w14:paraId="3BFE163F" w14:textId="77777777" w:rsidR="00F0383F" w:rsidRPr="00396230" w:rsidRDefault="00F0383F" w:rsidP="00956B49">
            <w:pPr>
              <w:suppressAutoHyphens w:val="0"/>
              <w:spacing w:before="20" w:after="20" w:line="240" w:lineRule="auto"/>
              <w:ind w:left="113" w:right="113"/>
              <w:jc w:val="center"/>
              <w:rPr>
                <w:b/>
                <w:bCs/>
                <w:i/>
                <w:sz w:val="16"/>
                <w:szCs w:val="16"/>
                <w:lang w:val="en-US"/>
              </w:rPr>
            </w:pPr>
            <w:r w:rsidRPr="00396230">
              <w:rPr>
                <w:b/>
                <w:bCs/>
                <w:i/>
                <w:sz w:val="16"/>
                <w:szCs w:val="16"/>
                <w:lang w:val="en-US"/>
              </w:rPr>
              <w:t>Luminous intensity in cd</w:t>
            </w:r>
          </w:p>
        </w:tc>
      </w:tr>
      <w:tr w:rsidR="00F0383F" w:rsidRPr="00396230" w14:paraId="5ABB7484" w14:textId="77777777" w:rsidTr="00956B49">
        <w:tc>
          <w:tcPr>
            <w:tcW w:w="312" w:type="dxa"/>
            <w:vMerge/>
            <w:tcMar>
              <w:top w:w="0" w:type="dxa"/>
              <w:left w:w="28" w:type="dxa"/>
              <w:bottom w:w="0" w:type="dxa"/>
              <w:right w:w="28" w:type="dxa"/>
            </w:tcMar>
            <w:vAlign w:val="center"/>
          </w:tcPr>
          <w:p w14:paraId="5BDE1A89" w14:textId="77777777" w:rsidR="00F0383F" w:rsidRPr="00396230" w:rsidRDefault="00F0383F" w:rsidP="00956B49">
            <w:pPr>
              <w:spacing w:before="20" w:after="20" w:line="240" w:lineRule="auto"/>
              <w:ind w:left="113" w:right="113"/>
              <w:jc w:val="center"/>
              <w:rPr>
                <w:sz w:val="18"/>
                <w:szCs w:val="18"/>
                <w:lang w:val="en-US"/>
              </w:rPr>
            </w:pPr>
          </w:p>
        </w:tc>
        <w:tc>
          <w:tcPr>
            <w:tcW w:w="1984" w:type="dxa"/>
            <w:vMerge/>
            <w:vAlign w:val="center"/>
          </w:tcPr>
          <w:p w14:paraId="72ACD601" w14:textId="77777777" w:rsidR="00F0383F" w:rsidRPr="00396230" w:rsidRDefault="00F0383F" w:rsidP="00956B49">
            <w:pPr>
              <w:spacing w:before="20" w:after="20" w:line="240" w:lineRule="auto"/>
              <w:rPr>
                <w:b/>
                <w:bCs/>
                <w:sz w:val="16"/>
                <w:szCs w:val="16"/>
                <w:lang w:val="en-US"/>
              </w:rPr>
            </w:pPr>
          </w:p>
        </w:tc>
        <w:tc>
          <w:tcPr>
            <w:tcW w:w="1985" w:type="dxa"/>
            <w:gridSpan w:val="2"/>
            <w:vMerge/>
            <w:tcMar>
              <w:top w:w="0" w:type="dxa"/>
              <w:left w:w="28" w:type="dxa"/>
              <w:bottom w:w="0" w:type="dxa"/>
              <w:right w:w="28" w:type="dxa"/>
            </w:tcMar>
            <w:vAlign w:val="center"/>
          </w:tcPr>
          <w:p w14:paraId="6B9AD534" w14:textId="77777777" w:rsidR="00F0383F" w:rsidRPr="00396230" w:rsidRDefault="00F0383F" w:rsidP="00956B49">
            <w:pPr>
              <w:spacing w:before="20" w:after="20" w:line="240" w:lineRule="auto"/>
              <w:jc w:val="center"/>
              <w:rPr>
                <w:b/>
                <w:bCs/>
                <w:i/>
                <w:sz w:val="16"/>
                <w:szCs w:val="16"/>
                <w:lang w:val="en-US"/>
              </w:rPr>
            </w:pPr>
          </w:p>
        </w:tc>
        <w:tc>
          <w:tcPr>
            <w:tcW w:w="1843" w:type="dxa"/>
            <w:gridSpan w:val="2"/>
            <w:tcBorders>
              <w:bottom w:val="single" w:sz="4" w:space="0" w:color="auto"/>
            </w:tcBorders>
            <w:tcMar>
              <w:top w:w="0" w:type="dxa"/>
              <w:left w:w="28" w:type="dxa"/>
              <w:bottom w:w="0" w:type="dxa"/>
              <w:right w:w="28" w:type="dxa"/>
            </w:tcMar>
            <w:vAlign w:val="center"/>
          </w:tcPr>
          <w:p w14:paraId="2DF21B03" w14:textId="77777777" w:rsidR="00F0383F" w:rsidRPr="00396230" w:rsidRDefault="00F0383F" w:rsidP="00956B49">
            <w:pPr>
              <w:spacing w:before="20" w:after="20" w:line="240" w:lineRule="auto"/>
              <w:jc w:val="center"/>
              <w:rPr>
                <w:b/>
                <w:bCs/>
                <w:i/>
                <w:sz w:val="16"/>
                <w:szCs w:val="16"/>
                <w:lang w:val="en-US"/>
              </w:rPr>
            </w:pPr>
            <w:r w:rsidRPr="00396230">
              <w:rPr>
                <w:b/>
                <w:bCs/>
                <w:i/>
                <w:sz w:val="16"/>
                <w:szCs w:val="16"/>
                <w:lang w:val="en-US"/>
              </w:rPr>
              <w:t>Class C</w:t>
            </w:r>
          </w:p>
        </w:tc>
        <w:tc>
          <w:tcPr>
            <w:tcW w:w="1984" w:type="dxa"/>
            <w:gridSpan w:val="2"/>
            <w:tcBorders>
              <w:bottom w:val="single" w:sz="4" w:space="0" w:color="auto"/>
            </w:tcBorders>
            <w:tcMar>
              <w:top w:w="0" w:type="dxa"/>
              <w:left w:w="28" w:type="dxa"/>
              <w:bottom w:w="0" w:type="dxa"/>
              <w:right w:w="28" w:type="dxa"/>
            </w:tcMar>
            <w:vAlign w:val="center"/>
          </w:tcPr>
          <w:p w14:paraId="3C0303F4" w14:textId="77777777" w:rsidR="00F0383F" w:rsidRPr="00396230" w:rsidRDefault="00F0383F" w:rsidP="00956B49">
            <w:pPr>
              <w:spacing w:before="20" w:after="20" w:line="240" w:lineRule="auto"/>
              <w:jc w:val="center"/>
              <w:rPr>
                <w:b/>
                <w:bCs/>
                <w:i/>
                <w:sz w:val="16"/>
                <w:szCs w:val="16"/>
                <w:lang w:val="en-US"/>
              </w:rPr>
            </w:pPr>
            <w:r w:rsidRPr="00396230">
              <w:rPr>
                <w:b/>
                <w:bCs/>
                <w:i/>
                <w:sz w:val="16"/>
                <w:szCs w:val="16"/>
                <w:lang w:val="en-US"/>
              </w:rPr>
              <w:t>Class V</w:t>
            </w:r>
          </w:p>
        </w:tc>
      </w:tr>
      <w:tr w:rsidR="00F0383F" w:rsidRPr="00396230" w14:paraId="6CF3AA64" w14:textId="77777777" w:rsidTr="00956B49">
        <w:tc>
          <w:tcPr>
            <w:tcW w:w="312" w:type="dxa"/>
            <w:vMerge/>
            <w:tcMar>
              <w:top w:w="0" w:type="dxa"/>
              <w:left w:w="28" w:type="dxa"/>
              <w:bottom w:w="0" w:type="dxa"/>
              <w:right w:w="28" w:type="dxa"/>
            </w:tcMar>
            <w:vAlign w:val="center"/>
          </w:tcPr>
          <w:p w14:paraId="6471D3BA" w14:textId="77777777" w:rsidR="00F0383F" w:rsidRPr="00396230" w:rsidRDefault="00F0383F" w:rsidP="00956B49">
            <w:pPr>
              <w:spacing w:before="20" w:after="20" w:line="240" w:lineRule="auto"/>
              <w:ind w:left="113" w:right="113"/>
              <w:jc w:val="center"/>
              <w:rPr>
                <w:sz w:val="18"/>
                <w:szCs w:val="18"/>
                <w:lang w:val="en-US"/>
              </w:rPr>
            </w:pPr>
          </w:p>
        </w:tc>
        <w:tc>
          <w:tcPr>
            <w:tcW w:w="1984" w:type="dxa"/>
            <w:vMerge/>
            <w:tcBorders>
              <w:bottom w:val="single" w:sz="12" w:space="0" w:color="auto"/>
            </w:tcBorders>
            <w:tcMar>
              <w:top w:w="0" w:type="dxa"/>
              <w:left w:w="28" w:type="dxa"/>
              <w:bottom w:w="0" w:type="dxa"/>
              <w:right w:w="28" w:type="dxa"/>
            </w:tcMar>
            <w:vAlign w:val="center"/>
          </w:tcPr>
          <w:p w14:paraId="7DD4765C" w14:textId="77777777" w:rsidR="00F0383F" w:rsidRPr="00396230" w:rsidRDefault="00F0383F" w:rsidP="00956B49">
            <w:pPr>
              <w:spacing w:before="20" w:after="20" w:line="240" w:lineRule="auto"/>
              <w:rPr>
                <w:b/>
                <w:bCs/>
                <w:i/>
                <w:sz w:val="16"/>
                <w:szCs w:val="16"/>
                <w:lang w:val="en-US"/>
              </w:rPr>
            </w:pPr>
          </w:p>
        </w:tc>
        <w:tc>
          <w:tcPr>
            <w:tcW w:w="709" w:type="dxa"/>
            <w:tcBorders>
              <w:bottom w:val="single" w:sz="12" w:space="0" w:color="auto"/>
            </w:tcBorders>
            <w:tcMar>
              <w:top w:w="0" w:type="dxa"/>
              <w:left w:w="28" w:type="dxa"/>
              <w:bottom w:w="0" w:type="dxa"/>
              <w:right w:w="28" w:type="dxa"/>
            </w:tcMar>
            <w:vAlign w:val="center"/>
          </w:tcPr>
          <w:p w14:paraId="5ACDA7EC" w14:textId="77777777" w:rsidR="00F0383F" w:rsidRPr="00396230" w:rsidRDefault="00F0383F" w:rsidP="00956B49">
            <w:pPr>
              <w:spacing w:before="20" w:after="20" w:line="240" w:lineRule="auto"/>
              <w:jc w:val="center"/>
              <w:rPr>
                <w:b/>
                <w:bCs/>
                <w:i/>
                <w:sz w:val="16"/>
                <w:szCs w:val="16"/>
                <w:lang w:val="en-US"/>
              </w:rPr>
            </w:pPr>
            <w:r w:rsidRPr="00396230">
              <w:rPr>
                <w:b/>
                <w:bCs/>
                <w:i/>
                <w:sz w:val="16"/>
                <w:szCs w:val="16"/>
                <w:lang w:val="en-US"/>
              </w:rPr>
              <w:t>vertical</w:t>
            </w:r>
          </w:p>
        </w:tc>
        <w:tc>
          <w:tcPr>
            <w:tcW w:w="1276" w:type="dxa"/>
            <w:tcBorders>
              <w:bottom w:val="single" w:sz="12" w:space="0" w:color="auto"/>
            </w:tcBorders>
          </w:tcPr>
          <w:p w14:paraId="1EAFF65B" w14:textId="77777777" w:rsidR="00F0383F" w:rsidRPr="00396230" w:rsidRDefault="00F0383F" w:rsidP="00956B49">
            <w:pPr>
              <w:spacing w:before="20" w:after="20" w:line="240" w:lineRule="auto"/>
              <w:jc w:val="center"/>
              <w:rPr>
                <w:b/>
                <w:bCs/>
                <w:i/>
                <w:sz w:val="16"/>
                <w:szCs w:val="16"/>
                <w:lang w:val="en-US"/>
              </w:rPr>
            </w:pPr>
            <w:r w:rsidRPr="00396230">
              <w:rPr>
                <w:b/>
                <w:bCs/>
                <w:i/>
                <w:sz w:val="16"/>
                <w:szCs w:val="16"/>
                <w:lang w:val="en-US"/>
              </w:rPr>
              <w:t>horizontal</w:t>
            </w:r>
          </w:p>
        </w:tc>
        <w:tc>
          <w:tcPr>
            <w:tcW w:w="850" w:type="dxa"/>
            <w:tcBorders>
              <w:bottom w:val="single" w:sz="12" w:space="0" w:color="auto"/>
            </w:tcBorders>
            <w:tcMar>
              <w:top w:w="0" w:type="dxa"/>
              <w:left w:w="28" w:type="dxa"/>
              <w:bottom w:w="0" w:type="dxa"/>
              <w:right w:w="28" w:type="dxa"/>
            </w:tcMar>
            <w:vAlign w:val="center"/>
          </w:tcPr>
          <w:p w14:paraId="5F8AD0EE" w14:textId="77777777" w:rsidR="00F0383F" w:rsidRPr="00396230" w:rsidRDefault="00F0383F" w:rsidP="00956B49">
            <w:pPr>
              <w:spacing w:before="20" w:after="20" w:line="240" w:lineRule="auto"/>
              <w:jc w:val="center"/>
              <w:rPr>
                <w:b/>
                <w:bCs/>
                <w:i/>
                <w:sz w:val="16"/>
                <w:szCs w:val="16"/>
                <w:lang w:val="en-US"/>
              </w:rPr>
            </w:pPr>
            <w:r w:rsidRPr="00396230">
              <w:rPr>
                <w:b/>
                <w:bCs/>
                <w:i/>
                <w:sz w:val="16"/>
                <w:szCs w:val="16"/>
                <w:lang w:val="en-US"/>
              </w:rPr>
              <w:t>min</w:t>
            </w:r>
          </w:p>
        </w:tc>
        <w:tc>
          <w:tcPr>
            <w:tcW w:w="993" w:type="dxa"/>
            <w:tcBorders>
              <w:bottom w:val="single" w:sz="12" w:space="0" w:color="auto"/>
            </w:tcBorders>
            <w:tcMar>
              <w:top w:w="0" w:type="dxa"/>
              <w:left w:w="28" w:type="dxa"/>
              <w:bottom w:w="0" w:type="dxa"/>
              <w:right w:w="28" w:type="dxa"/>
            </w:tcMar>
            <w:vAlign w:val="center"/>
          </w:tcPr>
          <w:p w14:paraId="6B7E2C6D" w14:textId="77777777" w:rsidR="00F0383F" w:rsidRPr="00396230" w:rsidRDefault="00F0383F" w:rsidP="00956B49">
            <w:pPr>
              <w:spacing w:before="20" w:after="20" w:line="240" w:lineRule="auto"/>
              <w:jc w:val="center"/>
              <w:rPr>
                <w:b/>
                <w:bCs/>
                <w:i/>
                <w:sz w:val="16"/>
                <w:szCs w:val="16"/>
                <w:lang w:val="en-US"/>
              </w:rPr>
            </w:pPr>
            <w:r w:rsidRPr="00396230">
              <w:rPr>
                <w:b/>
                <w:bCs/>
                <w:i/>
                <w:sz w:val="16"/>
                <w:szCs w:val="16"/>
                <w:lang w:val="en-US"/>
              </w:rPr>
              <w:t>max</w:t>
            </w:r>
          </w:p>
        </w:tc>
        <w:tc>
          <w:tcPr>
            <w:tcW w:w="850" w:type="dxa"/>
            <w:tcBorders>
              <w:bottom w:val="single" w:sz="12" w:space="0" w:color="auto"/>
            </w:tcBorders>
            <w:tcMar>
              <w:top w:w="0" w:type="dxa"/>
              <w:left w:w="28" w:type="dxa"/>
              <w:bottom w:w="0" w:type="dxa"/>
              <w:right w:w="28" w:type="dxa"/>
            </w:tcMar>
            <w:vAlign w:val="center"/>
          </w:tcPr>
          <w:p w14:paraId="627B3600" w14:textId="77777777" w:rsidR="00F0383F" w:rsidRPr="00396230" w:rsidRDefault="00F0383F" w:rsidP="00956B49">
            <w:pPr>
              <w:spacing w:before="20" w:after="20" w:line="240" w:lineRule="auto"/>
              <w:jc w:val="center"/>
              <w:rPr>
                <w:b/>
                <w:bCs/>
                <w:i/>
                <w:sz w:val="16"/>
                <w:szCs w:val="16"/>
                <w:lang w:val="en-US"/>
              </w:rPr>
            </w:pPr>
            <w:r w:rsidRPr="00396230">
              <w:rPr>
                <w:b/>
                <w:bCs/>
                <w:i/>
                <w:sz w:val="16"/>
                <w:szCs w:val="16"/>
                <w:lang w:val="en-US"/>
              </w:rPr>
              <w:t>min</w:t>
            </w:r>
          </w:p>
        </w:tc>
        <w:tc>
          <w:tcPr>
            <w:tcW w:w="1134" w:type="dxa"/>
            <w:tcBorders>
              <w:bottom w:val="single" w:sz="12" w:space="0" w:color="auto"/>
            </w:tcBorders>
            <w:tcMar>
              <w:top w:w="0" w:type="dxa"/>
              <w:left w:w="28" w:type="dxa"/>
              <w:bottom w:w="0" w:type="dxa"/>
              <w:right w:w="28" w:type="dxa"/>
            </w:tcMar>
            <w:vAlign w:val="center"/>
          </w:tcPr>
          <w:p w14:paraId="2BD38720" w14:textId="77777777" w:rsidR="00F0383F" w:rsidRPr="00396230" w:rsidRDefault="00F0383F" w:rsidP="00956B49">
            <w:pPr>
              <w:spacing w:before="20" w:after="20" w:line="240" w:lineRule="auto"/>
              <w:jc w:val="center"/>
              <w:rPr>
                <w:b/>
                <w:bCs/>
                <w:i/>
                <w:sz w:val="16"/>
                <w:szCs w:val="16"/>
                <w:lang w:val="en-US"/>
              </w:rPr>
            </w:pPr>
            <w:r w:rsidRPr="00396230">
              <w:rPr>
                <w:b/>
                <w:bCs/>
                <w:i/>
                <w:sz w:val="16"/>
                <w:szCs w:val="16"/>
                <w:lang w:val="en-US"/>
              </w:rPr>
              <w:t>max</w:t>
            </w:r>
          </w:p>
        </w:tc>
      </w:tr>
    </w:tbl>
    <w:p w14:paraId="5ADCC160" w14:textId="77777777" w:rsidR="00F0383F" w:rsidRPr="00396230" w:rsidRDefault="00F0383F" w:rsidP="00F0383F">
      <w:pPr>
        <w:spacing w:after="120"/>
        <w:ind w:left="2268" w:right="1395"/>
        <w:jc w:val="both"/>
        <w:rPr>
          <w:i/>
          <w:lang w:val="en-US"/>
        </w:rPr>
      </w:pPr>
      <w:r w:rsidRPr="00396230">
        <w:rPr>
          <w:i/>
          <w:lang w:val="en-US"/>
        </w:rPr>
        <w:t>…</w:t>
      </w:r>
    </w:p>
    <w:tbl>
      <w:tblPr>
        <w:tblStyle w:val="TableGrid"/>
        <w:tblW w:w="8108" w:type="dxa"/>
        <w:tblInd w:w="1101" w:type="dxa"/>
        <w:tblLayout w:type="fixed"/>
        <w:tblLook w:val="04A0" w:firstRow="1" w:lastRow="0" w:firstColumn="1" w:lastColumn="0" w:noHBand="0" w:noVBand="1"/>
      </w:tblPr>
      <w:tblGrid>
        <w:gridCol w:w="312"/>
        <w:gridCol w:w="1984"/>
        <w:gridCol w:w="709"/>
        <w:gridCol w:w="1276"/>
        <w:gridCol w:w="850"/>
        <w:gridCol w:w="993"/>
        <w:gridCol w:w="850"/>
        <w:gridCol w:w="1134"/>
      </w:tblGrid>
      <w:tr w:rsidR="00F0383F" w:rsidRPr="00396230" w14:paraId="6929AD25" w14:textId="77777777" w:rsidTr="00956B49">
        <w:tc>
          <w:tcPr>
            <w:tcW w:w="312" w:type="dxa"/>
            <w:vMerge w:val="restart"/>
            <w:tcMar>
              <w:top w:w="0" w:type="dxa"/>
              <w:left w:w="28" w:type="dxa"/>
              <w:bottom w:w="0" w:type="dxa"/>
              <w:right w:w="28" w:type="dxa"/>
            </w:tcMar>
            <w:textDirection w:val="btLr"/>
            <w:vAlign w:val="center"/>
          </w:tcPr>
          <w:p w14:paraId="61F3743D" w14:textId="77777777" w:rsidR="00F0383F" w:rsidRPr="00396230" w:rsidRDefault="00F0383F" w:rsidP="00956B49">
            <w:pPr>
              <w:spacing w:before="20" w:after="20" w:line="240" w:lineRule="auto"/>
              <w:ind w:left="113" w:right="113"/>
              <w:jc w:val="center"/>
              <w:rPr>
                <w:sz w:val="18"/>
                <w:szCs w:val="18"/>
                <w:lang w:val="en-US"/>
              </w:rPr>
            </w:pPr>
            <w:r w:rsidRPr="00396230">
              <w:rPr>
                <w:rStyle w:val="CommentReference"/>
                <w:sz w:val="18"/>
                <w:szCs w:val="18"/>
                <w:lang w:val="en-US"/>
              </w:rPr>
              <w:t>Part A</w:t>
            </w:r>
          </w:p>
        </w:tc>
        <w:tc>
          <w:tcPr>
            <w:tcW w:w="1984" w:type="dxa"/>
            <w:tcBorders>
              <w:bottom w:val="single" w:sz="4" w:space="0" w:color="auto"/>
            </w:tcBorders>
            <w:tcMar>
              <w:top w:w="0" w:type="dxa"/>
              <w:left w:w="28" w:type="dxa"/>
              <w:bottom w:w="0" w:type="dxa"/>
              <w:right w:w="28" w:type="dxa"/>
            </w:tcMar>
            <w:vAlign w:val="center"/>
          </w:tcPr>
          <w:p w14:paraId="53BF255F" w14:textId="77777777" w:rsidR="00F0383F" w:rsidRPr="00396230" w:rsidRDefault="00F0383F" w:rsidP="00956B49">
            <w:pPr>
              <w:spacing w:before="20" w:after="20" w:line="240" w:lineRule="auto"/>
              <w:rPr>
                <w:sz w:val="18"/>
                <w:szCs w:val="18"/>
                <w:lang w:val="en-US"/>
              </w:rPr>
            </w:pPr>
            <w:r w:rsidRPr="00396230">
              <w:rPr>
                <w:sz w:val="18"/>
                <w:szCs w:val="18"/>
                <w:lang w:val="en-US"/>
              </w:rPr>
              <w:t>Segment 10</w:t>
            </w:r>
          </w:p>
        </w:tc>
        <w:tc>
          <w:tcPr>
            <w:tcW w:w="709" w:type="dxa"/>
            <w:tcBorders>
              <w:bottom w:val="single" w:sz="4" w:space="0" w:color="auto"/>
            </w:tcBorders>
            <w:tcMar>
              <w:top w:w="0" w:type="dxa"/>
              <w:left w:w="28" w:type="dxa"/>
              <w:bottom w:w="0" w:type="dxa"/>
              <w:right w:w="28" w:type="dxa"/>
            </w:tcMar>
            <w:vAlign w:val="center"/>
          </w:tcPr>
          <w:p w14:paraId="670985DA" w14:textId="77777777" w:rsidR="00F0383F" w:rsidRPr="00396230" w:rsidRDefault="00F0383F" w:rsidP="00956B49">
            <w:pPr>
              <w:spacing w:before="20" w:after="20" w:line="240" w:lineRule="auto"/>
              <w:jc w:val="center"/>
              <w:rPr>
                <w:sz w:val="18"/>
                <w:szCs w:val="18"/>
                <w:lang w:val="en-US"/>
              </w:rPr>
            </w:pPr>
            <w:r w:rsidRPr="00396230">
              <w:rPr>
                <w:sz w:val="18"/>
                <w:szCs w:val="18"/>
                <w:lang w:val="en-US"/>
              </w:rPr>
              <w:t>4°D</w:t>
            </w:r>
          </w:p>
        </w:tc>
        <w:tc>
          <w:tcPr>
            <w:tcW w:w="1276" w:type="dxa"/>
            <w:vAlign w:val="center"/>
          </w:tcPr>
          <w:p w14:paraId="7360DBF3" w14:textId="77777777" w:rsidR="00F0383F" w:rsidRPr="00396230" w:rsidRDefault="00F0383F" w:rsidP="00956B49">
            <w:pPr>
              <w:spacing w:before="20" w:after="20" w:line="240" w:lineRule="auto"/>
              <w:jc w:val="center"/>
              <w:rPr>
                <w:sz w:val="18"/>
                <w:szCs w:val="18"/>
                <w:lang w:val="en-US"/>
              </w:rPr>
            </w:pPr>
            <w:r w:rsidRPr="00396230">
              <w:rPr>
                <w:sz w:val="18"/>
                <w:szCs w:val="18"/>
                <w:lang w:val="en-US"/>
              </w:rPr>
              <w:t>4.5°L to 2°R</w:t>
            </w:r>
          </w:p>
        </w:tc>
        <w:tc>
          <w:tcPr>
            <w:tcW w:w="850" w:type="dxa"/>
            <w:tcMar>
              <w:top w:w="0" w:type="dxa"/>
              <w:left w:w="28" w:type="dxa"/>
              <w:bottom w:w="0" w:type="dxa"/>
              <w:right w:w="28" w:type="dxa"/>
            </w:tcMar>
            <w:vAlign w:val="center"/>
          </w:tcPr>
          <w:p w14:paraId="65E2FEB9" w14:textId="77777777" w:rsidR="00F0383F" w:rsidRPr="00396230" w:rsidRDefault="00F0383F" w:rsidP="00956B49">
            <w:pPr>
              <w:spacing w:before="20" w:after="20" w:line="240" w:lineRule="auto"/>
              <w:jc w:val="center"/>
              <w:rPr>
                <w:sz w:val="18"/>
                <w:szCs w:val="18"/>
                <w:lang w:val="en-US"/>
              </w:rPr>
            </w:pPr>
            <w:r w:rsidRPr="00396230">
              <w:rPr>
                <w:sz w:val="18"/>
                <w:szCs w:val="18"/>
                <w:lang w:val="en-US"/>
              </w:rPr>
              <w:t>5.00∙10</w:t>
            </w:r>
            <w:r w:rsidRPr="00396230">
              <w:rPr>
                <w:sz w:val="18"/>
                <w:szCs w:val="18"/>
                <w:vertAlign w:val="superscript"/>
                <w:lang w:val="en-US"/>
              </w:rPr>
              <w:t>2</w:t>
            </w:r>
          </w:p>
        </w:tc>
        <w:tc>
          <w:tcPr>
            <w:tcW w:w="993" w:type="dxa"/>
            <w:vAlign w:val="center"/>
          </w:tcPr>
          <w:p w14:paraId="5052EC60" w14:textId="77777777" w:rsidR="00F0383F" w:rsidRPr="00396230" w:rsidRDefault="00F0383F" w:rsidP="00956B49">
            <w:pPr>
              <w:spacing w:before="20" w:after="20" w:line="240" w:lineRule="auto"/>
              <w:jc w:val="center"/>
              <w:rPr>
                <w:sz w:val="18"/>
                <w:szCs w:val="18"/>
                <w:lang w:val="en-US"/>
              </w:rPr>
            </w:pPr>
          </w:p>
        </w:tc>
        <w:tc>
          <w:tcPr>
            <w:tcW w:w="850" w:type="dxa"/>
            <w:tcBorders>
              <w:bottom w:val="single" w:sz="4" w:space="0" w:color="auto"/>
            </w:tcBorders>
            <w:tcMar>
              <w:top w:w="0" w:type="dxa"/>
              <w:left w:w="28" w:type="dxa"/>
              <w:bottom w:w="0" w:type="dxa"/>
              <w:right w:w="28" w:type="dxa"/>
            </w:tcMar>
            <w:vAlign w:val="center"/>
          </w:tcPr>
          <w:p w14:paraId="184311AB" w14:textId="77777777" w:rsidR="00F0383F" w:rsidRPr="00396230" w:rsidRDefault="00F0383F" w:rsidP="00956B49">
            <w:pPr>
              <w:spacing w:before="20" w:after="20" w:line="240" w:lineRule="auto"/>
              <w:jc w:val="center"/>
              <w:rPr>
                <w:sz w:val="18"/>
                <w:szCs w:val="18"/>
                <w:lang w:val="en-US"/>
              </w:rPr>
            </w:pPr>
            <w:r w:rsidRPr="00396230">
              <w:rPr>
                <w:sz w:val="18"/>
                <w:szCs w:val="18"/>
                <w:lang w:val="en-US"/>
              </w:rPr>
              <w:t>3.50∙10</w:t>
            </w:r>
            <w:r w:rsidRPr="00396230">
              <w:rPr>
                <w:sz w:val="18"/>
                <w:szCs w:val="18"/>
                <w:vertAlign w:val="superscript"/>
                <w:lang w:val="en-US"/>
              </w:rPr>
              <w:t>2</w:t>
            </w:r>
          </w:p>
        </w:tc>
        <w:tc>
          <w:tcPr>
            <w:tcW w:w="1134" w:type="dxa"/>
            <w:tcBorders>
              <w:bottom w:val="single" w:sz="4" w:space="0" w:color="auto"/>
            </w:tcBorders>
            <w:tcMar>
              <w:top w:w="0" w:type="dxa"/>
              <w:left w:w="28" w:type="dxa"/>
              <w:bottom w:w="0" w:type="dxa"/>
              <w:right w:w="28" w:type="dxa"/>
            </w:tcMar>
            <w:vAlign w:val="center"/>
          </w:tcPr>
          <w:p w14:paraId="60098B16" w14:textId="77777777" w:rsidR="00F0383F" w:rsidRPr="00396230" w:rsidRDefault="00F0383F" w:rsidP="00956B49">
            <w:pPr>
              <w:spacing w:before="20" w:after="20" w:line="240" w:lineRule="auto"/>
              <w:jc w:val="center"/>
              <w:rPr>
                <w:sz w:val="18"/>
                <w:szCs w:val="18"/>
                <w:lang w:val="en-US"/>
              </w:rPr>
            </w:pPr>
          </w:p>
        </w:tc>
      </w:tr>
      <w:tr w:rsidR="00F0383F" w:rsidRPr="00396230" w14:paraId="6D9A275A" w14:textId="77777777" w:rsidTr="00956B49">
        <w:tc>
          <w:tcPr>
            <w:tcW w:w="312" w:type="dxa"/>
            <w:vMerge/>
            <w:tcMar>
              <w:top w:w="0" w:type="dxa"/>
              <w:left w:w="28" w:type="dxa"/>
              <w:bottom w:w="0" w:type="dxa"/>
              <w:right w:w="28" w:type="dxa"/>
            </w:tcMar>
            <w:vAlign w:val="center"/>
          </w:tcPr>
          <w:p w14:paraId="7EE462B1" w14:textId="77777777" w:rsidR="00F0383F" w:rsidRPr="00396230" w:rsidRDefault="00F0383F" w:rsidP="00956B49">
            <w:pPr>
              <w:spacing w:before="20" w:after="20" w:line="240" w:lineRule="auto"/>
              <w:jc w:val="center"/>
              <w:rPr>
                <w:sz w:val="18"/>
                <w:szCs w:val="18"/>
                <w:lang w:val="en-US"/>
              </w:rPr>
            </w:pPr>
          </w:p>
        </w:tc>
        <w:tc>
          <w:tcPr>
            <w:tcW w:w="1984" w:type="dxa"/>
            <w:tcBorders>
              <w:bottom w:val="single" w:sz="4" w:space="0" w:color="auto"/>
            </w:tcBorders>
            <w:tcMar>
              <w:top w:w="0" w:type="dxa"/>
              <w:left w:w="28" w:type="dxa"/>
              <w:bottom w:w="0" w:type="dxa"/>
              <w:right w:w="28" w:type="dxa"/>
            </w:tcMar>
            <w:vAlign w:val="center"/>
          </w:tcPr>
          <w:p w14:paraId="1AAB22FA" w14:textId="77777777" w:rsidR="00F0383F" w:rsidRPr="00396230" w:rsidRDefault="00F0383F" w:rsidP="00956B49">
            <w:pPr>
              <w:spacing w:before="20" w:after="20" w:line="240" w:lineRule="auto"/>
              <w:rPr>
                <w:sz w:val="18"/>
                <w:szCs w:val="18"/>
                <w:lang w:val="en-US"/>
              </w:rPr>
            </w:pPr>
            <w:r w:rsidRPr="00396230">
              <w:rPr>
                <w:sz w:val="18"/>
                <w:szCs w:val="18"/>
                <w:lang w:val="en-US"/>
              </w:rPr>
              <w:t>Segment 10 and below</w:t>
            </w:r>
          </w:p>
        </w:tc>
        <w:tc>
          <w:tcPr>
            <w:tcW w:w="709" w:type="dxa"/>
            <w:tcBorders>
              <w:bottom w:val="single" w:sz="4" w:space="0" w:color="auto"/>
            </w:tcBorders>
            <w:tcMar>
              <w:top w:w="0" w:type="dxa"/>
              <w:left w:w="28" w:type="dxa"/>
              <w:bottom w:w="0" w:type="dxa"/>
              <w:right w:w="28" w:type="dxa"/>
            </w:tcMar>
            <w:vAlign w:val="center"/>
          </w:tcPr>
          <w:p w14:paraId="3269A245" w14:textId="77777777" w:rsidR="00F0383F" w:rsidRPr="00396230" w:rsidRDefault="00F0383F" w:rsidP="00956B49">
            <w:pPr>
              <w:spacing w:before="20" w:after="20" w:line="240" w:lineRule="auto"/>
              <w:jc w:val="center"/>
              <w:rPr>
                <w:sz w:val="18"/>
                <w:szCs w:val="18"/>
                <w:lang w:val="en-US"/>
              </w:rPr>
            </w:pPr>
            <w:r w:rsidRPr="00396230">
              <w:rPr>
                <w:sz w:val="18"/>
                <w:szCs w:val="18"/>
                <w:lang w:val="en-US"/>
              </w:rPr>
              <w:t>4°D</w:t>
            </w:r>
          </w:p>
        </w:tc>
        <w:tc>
          <w:tcPr>
            <w:tcW w:w="1276" w:type="dxa"/>
            <w:vAlign w:val="center"/>
          </w:tcPr>
          <w:p w14:paraId="1982F58E" w14:textId="77777777" w:rsidR="00F0383F" w:rsidRPr="00396230" w:rsidRDefault="00F0383F" w:rsidP="00956B49">
            <w:pPr>
              <w:spacing w:before="20" w:after="20" w:line="240" w:lineRule="auto"/>
              <w:jc w:val="center"/>
              <w:rPr>
                <w:sz w:val="18"/>
                <w:szCs w:val="18"/>
                <w:lang w:val="en-US"/>
              </w:rPr>
            </w:pPr>
            <w:r w:rsidRPr="00396230">
              <w:rPr>
                <w:sz w:val="18"/>
                <w:szCs w:val="18"/>
                <w:lang w:val="en-US"/>
              </w:rPr>
              <w:t>4.5°L to 2°R</w:t>
            </w:r>
          </w:p>
        </w:tc>
        <w:tc>
          <w:tcPr>
            <w:tcW w:w="850" w:type="dxa"/>
            <w:tcMar>
              <w:top w:w="0" w:type="dxa"/>
              <w:left w:w="28" w:type="dxa"/>
              <w:bottom w:w="0" w:type="dxa"/>
              <w:right w:w="28" w:type="dxa"/>
            </w:tcMar>
            <w:vAlign w:val="center"/>
          </w:tcPr>
          <w:p w14:paraId="5012FCCF" w14:textId="77777777" w:rsidR="00F0383F" w:rsidRPr="00396230" w:rsidRDefault="00F0383F" w:rsidP="00956B49">
            <w:pPr>
              <w:spacing w:before="20" w:after="20" w:line="240" w:lineRule="auto"/>
              <w:jc w:val="center"/>
              <w:rPr>
                <w:sz w:val="18"/>
                <w:szCs w:val="18"/>
                <w:lang w:val="en-US"/>
              </w:rPr>
            </w:pPr>
          </w:p>
        </w:tc>
        <w:tc>
          <w:tcPr>
            <w:tcW w:w="993" w:type="dxa"/>
            <w:vAlign w:val="center"/>
          </w:tcPr>
          <w:p w14:paraId="03798232" w14:textId="77777777" w:rsidR="00F0383F" w:rsidRPr="00396230" w:rsidRDefault="00F0383F" w:rsidP="00956B49">
            <w:pPr>
              <w:spacing w:before="20" w:after="20" w:line="240" w:lineRule="auto"/>
              <w:jc w:val="center"/>
              <w:rPr>
                <w:sz w:val="18"/>
                <w:szCs w:val="18"/>
                <w:lang w:val="en-US"/>
              </w:rPr>
            </w:pPr>
            <w:r w:rsidRPr="00396230">
              <w:rPr>
                <w:sz w:val="18"/>
                <w:szCs w:val="18"/>
                <w:lang w:val="en-US"/>
              </w:rPr>
              <w:t xml:space="preserve">0,8 x the actual </w:t>
            </w:r>
          </w:p>
          <w:p w14:paraId="67846857" w14:textId="77777777" w:rsidR="00F0383F" w:rsidRPr="00396230" w:rsidRDefault="00F0383F" w:rsidP="00956B49">
            <w:pPr>
              <w:spacing w:before="20" w:after="20" w:line="240" w:lineRule="auto"/>
              <w:jc w:val="center"/>
              <w:rPr>
                <w:sz w:val="18"/>
                <w:szCs w:val="18"/>
                <w:lang w:val="en-US"/>
              </w:rPr>
            </w:pPr>
            <w:r w:rsidRPr="00396230">
              <w:rPr>
                <w:sz w:val="18"/>
                <w:szCs w:val="18"/>
                <w:lang w:val="en-US"/>
              </w:rPr>
              <w:t>measured value at 50R</w:t>
            </w:r>
          </w:p>
        </w:tc>
        <w:tc>
          <w:tcPr>
            <w:tcW w:w="850" w:type="dxa"/>
            <w:tcBorders>
              <w:bottom w:val="single" w:sz="4" w:space="0" w:color="auto"/>
            </w:tcBorders>
            <w:tcMar>
              <w:top w:w="0" w:type="dxa"/>
              <w:left w:w="28" w:type="dxa"/>
              <w:bottom w:w="0" w:type="dxa"/>
              <w:right w:w="28" w:type="dxa"/>
            </w:tcMar>
            <w:vAlign w:val="center"/>
          </w:tcPr>
          <w:p w14:paraId="5DA3C9F0" w14:textId="77777777" w:rsidR="00F0383F" w:rsidRPr="00396230" w:rsidRDefault="00F0383F" w:rsidP="00956B49">
            <w:pPr>
              <w:spacing w:before="20" w:after="20" w:line="240" w:lineRule="auto"/>
              <w:jc w:val="center"/>
              <w:rPr>
                <w:sz w:val="18"/>
                <w:szCs w:val="18"/>
                <w:lang w:val="en-US"/>
              </w:rPr>
            </w:pPr>
          </w:p>
        </w:tc>
        <w:tc>
          <w:tcPr>
            <w:tcW w:w="1134" w:type="dxa"/>
            <w:tcBorders>
              <w:bottom w:val="single" w:sz="4" w:space="0" w:color="auto"/>
            </w:tcBorders>
            <w:tcMar>
              <w:top w:w="0" w:type="dxa"/>
              <w:left w:w="28" w:type="dxa"/>
              <w:bottom w:w="0" w:type="dxa"/>
              <w:right w:w="28" w:type="dxa"/>
            </w:tcMar>
            <w:vAlign w:val="center"/>
          </w:tcPr>
          <w:p w14:paraId="6F86F173" w14:textId="77777777" w:rsidR="00F0383F" w:rsidRPr="00396230" w:rsidRDefault="00F0383F" w:rsidP="00956B49">
            <w:pPr>
              <w:spacing w:before="20" w:after="20" w:line="240" w:lineRule="auto"/>
              <w:jc w:val="center"/>
              <w:rPr>
                <w:sz w:val="18"/>
                <w:szCs w:val="18"/>
                <w:lang w:val="en-US"/>
              </w:rPr>
            </w:pPr>
            <w:r w:rsidRPr="00396230">
              <w:rPr>
                <w:sz w:val="18"/>
                <w:szCs w:val="18"/>
                <w:lang w:val="en-US"/>
              </w:rPr>
              <w:t xml:space="preserve">0,8 x the actual </w:t>
            </w:r>
          </w:p>
          <w:p w14:paraId="26E9ACE2" w14:textId="77777777" w:rsidR="00F0383F" w:rsidRPr="00396230" w:rsidRDefault="00F0383F" w:rsidP="00956B49">
            <w:pPr>
              <w:spacing w:before="20" w:after="20" w:line="240" w:lineRule="auto"/>
              <w:jc w:val="center"/>
              <w:rPr>
                <w:sz w:val="18"/>
                <w:szCs w:val="18"/>
                <w:lang w:val="en-US"/>
              </w:rPr>
            </w:pPr>
            <w:r w:rsidRPr="00396230">
              <w:rPr>
                <w:sz w:val="18"/>
                <w:szCs w:val="18"/>
                <w:lang w:val="en-US"/>
              </w:rPr>
              <w:t xml:space="preserve">measured value at </w:t>
            </w:r>
            <w:r w:rsidRPr="00396230">
              <w:rPr>
                <w:strike/>
                <w:sz w:val="18"/>
                <w:szCs w:val="18"/>
                <w:lang w:val="en-US"/>
              </w:rPr>
              <w:t>50R</w:t>
            </w:r>
            <w:r w:rsidRPr="00396230">
              <w:rPr>
                <w:b/>
                <w:bCs/>
                <w:sz w:val="18"/>
                <w:szCs w:val="18"/>
                <w:lang w:val="en-US"/>
              </w:rPr>
              <w:t>25V</w:t>
            </w:r>
          </w:p>
        </w:tc>
      </w:tr>
      <w:tr w:rsidR="00F0383F" w:rsidRPr="00396230" w14:paraId="2842B312" w14:textId="77777777" w:rsidTr="00956B49">
        <w:tc>
          <w:tcPr>
            <w:tcW w:w="312" w:type="dxa"/>
            <w:vMerge/>
            <w:tcBorders>
              <w:bottom w:val="single" w:sz="12" w:space="0" w:color="auto"/>
            </w:tcBorders>
            <w:tcMar>
              <w:top w:w="0" w:type="dxa"/>
              <w:left w:w="28" w:type="dxa"/>
              <w:bottom w:w="0" w:type="dxa"/>
              <w:right w:w="28" w:type="dxa"/>
            </w:tcMar>
            <w:vAlign w:val="center"/>
          </w:tcPr>
          <w:p w14:paraId="4DE48BF3" w14:textId="77777777" w:rsidR="00F0383F" w:rsidRPr="00396230" w:rsidRDefault="00F0383F" w:rsidP="00956B49">
            <w:pPr>
              <w:spacing w:before="20" w:after="20" w:line="240" w:lineRule="auto"/>
              <w:jc w:val="center"/>
              <w:rPr>
                <w:sz w:val="18"/>
                <w:szCs w:val="18"/>
                <w:lang w:val="en-US"/>
              </w:rPr>
            </w:pPr>
          </w:p>
        </w:tc>
        <w:tc>
          <w:tcPr>
            <w:tcW w:w="1984" w:type="dxa"/>
            <w:tcBorders>
              <w:bottom w:val="single" w:sz="12" w:space="0" w:color="auto"/>
            </w:tcBorders>
            <w:tcMar>
              <w:top w:w="0" w:type="dxa"/>
              <w:left w:w="28" w:type="dxa"/>
              <w:bottom w:w="0" w:type="dxa"/>
              <w:right w:w="28" w:type="dxa"/>
            </w:tcMar>
            <w:vAlign w:val="center"/>
          </w:tcPr>
          <w:p w14:paraId="53D9C49D" w14:textId="77777777" w:rsidR="00F0383F" w:rsidRPr="00396230" w:rsidRDefault="00F0383F" w:rsidP="00956B49">
            <w:pPr>
              <w:spacing w:before="20" w:after="20" w:line="240" w:lineRule="auto"/>
              <w:rPr>
                <w:sz w:val="18"/>
                <w:szCs w:val="18"/>
                <w:lang w:val="en-US"/>
              </w:rPr>
            </w:pPr>
            <w:r w:rsidRPr="00396230">
              <w:rPr>
                <w:sz w:val="18"/>
                <w:szCs w:val="18"/>
                <w:lang w:val="en-US"/>
              </w:rPr>
              <w:t>I</w:t>
            </w:r>
            <w:r w:rsidRPr="00396230">
              <w:rPr>
                <w:sz w:val="18"/>
                <w:szCs w:val="18"/>
                <w:vertAlign w:val="subscript"/>
                <w:lang w:val="en-US"/>
              </w:rPr>
              <w:t>max</w:t>
            </w:r>
          </w:p>
        </w:tc>
        <w:tc>
          <w:tcPr>
            <w:tcW w:w="709" w:type="dxa"/>
            <w:tcBorders>
              <w:bottom w:val="single" w:sz="12" w:space="0" w:color="auto"/>
            </w:tcBorders>
            <w:tcMar>
              <w:top w:w="0" w:type="dxa"/>
              <w:left w:w="28" w:type="dxa"/>
              <w:bottom w:w="0" w:type="dxa"/>
              <w:right w:w="28" w:type="dxa"/>
            </w:tcMar>
            <w:vAlign w:val="center"/>
          </w:tcPr>
          <w:p w14:paraId="6458A4FB" w14:textId="77777777" w:rsidR="00F0383F" w:rsidRPr="00396230" w:rsidRDefault="00F0383F" w:rsidP="00956B49">
            <w:pPr>
              <w:spacing w:before="20" w:after="20" w:line="240" w:lineRule="auto"/>
              <w:jc w:val="center"/>
              <w:rPr>
                <w:sz w:val="18"/>
                <w:szCs w:val="18"/>
                <w:lang w:val="en-US"/>
              </w:rPr>
            </w:pPr>
            <w:r w:rsidRPr="00396230">
              <w:rPr>
                <w:sz w:val="18"/>
                <w:szCs w:val="18"/>
                <w:lang w:val="en-US"/>
              </w:rPr>
              <w:t>-</w:t>
            </w:r>
          </w:p>
        </w:tc>
        <w:tc>
          <w:tcPr>
            <w:tcW w:w="1276" w:type="dxa"/>
            <w:tcBorders>
              <w:bottom w:val="single" w:sz="12" w:space="0" w:color="auto"/>
            </w:tcBorders>
            <w:vAlign w:val="center"/>
          </w:tcPr>
          <w:p w14:paraId="37BE2B3E" w14:textId="77777777" w:rsidR="00F0383F" w:rsidRPr="00396230" w:rsidRDefault="00F0383F" w:rsidP="00956B49">
            <w:pPr>
              <w:spacing w:before="20" w:after="20" w:line="240" w:lineRule="auto"/>
              <w:jc w:val="center"/>
              <w:rPr>
                <w:sz w:val="18"/>
                <w:szCs w:val="18"/>
                <w:lang w:val="en-US"/>
              </w:rPr>
            </w:pPr>
            <w:r w:rsidRPr="00396230">
              <w:rPr>
                <w:sz w:val="18"/>
                <w:szCs w:val="18"/>
                <w:lang w:val="en-US"/>
              </w:rPr>
              <w:t>-</w:t>
            </w:r>
          </w:p>
        </w:tc>
        <w:tc>
          <w:tcPr>
            <w:tcW w:w="850" w:type="dxa"/>
            <w:tcBorders>
              <w:bottom w:val="single" w:sz="12" w:space="0" w:color="auto"/>
            </w:tcBorders>
            <w:tcMar>
              <w:top w:w="0" w:type="dxa"/>
              <w:left w:w="28" w:type="dxa"/>
              <w:bottom w:w="0" w:type="dxa"/>
              <w:right w:w="28" w:type="dxa"/>
            </w:tcMar>
            <w:vAlign w:val="center"/>
          </w:tcPr>
          <w:p w14:paraId="158DBF3F" w14:textId="77777777" w:rsidR="00F0383F" w:rsidRPr="00396230" w:rsidRDefault="00F0383F" w:rsidP="00956B49">
            <w:pPr>
              <w:spacing w:before="20" w:after="20" w:line="240" w:lineRule="auto"/>
              <w:jc w:val="center"/>
              <w:rPr>
                <w:strike/>
                <w:sz w:val="18"/>
                <w:szCs w:val="18"/>
                <w:lang w:val="en-US"/>
              </w:rPr>
            </w:pPr>
          </w:p>
        </w:tc>
        <w:tc>
          <w:tcPr>
            <w:tcW w:w="993" w:type="dxa"/>
            <w:tcBorders>
              <w:bottom w:val="single" w:sz="12" w:space="0" w:color="auto"/>
            </w:tcBorders>
            <w:vAlign w:val="center"/>
          </w:tcPr>
          <w:p w14:paraId="79EE7F91" w14:textId="77777777" w:rsidR="00F0383F" w:rsidRPr="00396230" w:rsidRDefault="00F0383F" w:rsidP="00956B49">
            <w:pPr>
              <w:spacing w:before="20" w:after="20" w:line="240" w:lineRule="auto"/>
              <w:jc w:val="center"/>
              <w:rPr>
                <w:strike/>
                <w:sz w:val="18"/>
                <w:szCs w:val="18"/>
                <w:lang w:val="en-US"/>
              </w:rPr>
            </w:pPr>
          </w:p>
        </w:tc>
        <w:tc>
          <w:tcPr>
            <w:tcW w:w="850" w:type="dxa"/>
            <w:tcBorders>
              <w:bottom w:val="single" w:sz="12" w:space="0" w:color="auto"/>
            </w:tcBorders>
            <w:tcMar>
              <w:top w:w="0" w:type="dxa"/>
              <w:left w:w="28" w:type="dxa"/>
              <w:bottom w:w="0" w:type="dxa"/>
              <w:right w:w="28" w:type="dxa"/>
            </w:tcMar>
            <w:vAlign w:val="center"/>
          </w:tcPr>
          <w:p w14:paraId="4DA0D9E8" w14:textId="77777777" w:rsidR="00F0383F" w:rsidRPr="00396230" w:rsidRDefault="00F0383F" w:rsidP="00956B49">
            <w:pPr>
              <w:spacing w:before="20" w:after="20" w:line="240" w:lineRule="auto"/>
              <w:jc w:val="center"/>
              <w:rPr>
                <w:strike/>
                <w:sz w:val="18"/>
                <w:szCs w:val="18"/>
                <w:lang w:val="en-US"/>
              </w:rPr>
            </w:pPr>
          </w:p>
        </w:tc>
        <w:tc>
          <w:tcPr>
            <w:tcW w:w="1134" w:type="dxa"/>
            <w:tcBorders>
              <w:bottom w:val="single" w:sz="12" w:space="0" w:color="auto"/>
            </w:tcBorders>
            <w:tcMar>
              <w:top w:w="0" w:type="dxa"/>
              <w:left w:w="28" w:type="dxa"/>
              <w:bottom w:w="0" w:type="dxa"/>
              <w:right w:w="28" w:type="dxa"/>
            </w:tcMar>
            <w:vAlign w:val="center"/>
          </w:tcPr>
          <w:p w14:paraId="2ED4796A" w14:textId="77777777" w:rsidR="00F0383F" w:rsidRPr="00396230" w:rsidRDefault="00F0383F" w:rsidP="00956B49">
            <w:pPr>
              <w:spacing w:before="20" w:after="20" w:line="240" w:lineRule="auto"/>
              <w:jc w:val="center"/>
              <w:rPr>
                <w:sz w:val="18"/>
                <w:szCs w:val="18"/>
                <w:lang w:val="en-US"/>
              </w:rPr>
            </w:pPr>
            <w:r w:rsidRPr="00396230">
              <w:rPr>
                <w:sz w:val="18"/>
                <w:szCs w:val="18"/>
                <w:lang w:val="en-US"/>
              </w:rPr>
              <w:t>4.41∙10</w:t>
            </w:r>
            <w:r w:rsidRPr="00396230">
              <w:rPr>
                <w:sz w:val="18"/>
                <w:szCs w:val="18"/>
                <w:vertAlign w:val="superscript"/>
                <w:lang w:val="en-US"/>
              </w:rPr>
              <w:t>4</w:t>
            </w:r>
          </w:p>
        </w:tc>
      </w:tr>
    </w:tbl>
    <w:p w14:paraId="21DC9208" w14:textId="77777777" w:rsidR="00F0383F" w:rsidRPr="00396230" w:rsidRDefault="00F0383F" w:rsidP="00F0383F">
      <w:pPr>
        <w:spacing w:after="120"/>
        <w:ind w:left="2268" w:right="1395"/>
        <w:jc w:val="both"/>
        <w:rPr>
          <w:i/>
          <w:lang w:val="en-US"/>
        </w:rPr>
      </w:pPr>
      <w:r w:rsidRPr="00396230">
        <w:rPr>
          <w:i/>
          <w:lang w:val="en-US"/>
        </w:rPr>
        <w:t>”</w:t>
      </w:r>
    </w:p>
    <w:p w14:paraId="271CB4BA" w14:textId="65047FD0" w:rsidR="00487E1A" w:rsidRPr="00396230" w:rsidRDefault="00035B2B" w:rsidP="00D04F93">
      <w:pPr>
        <w:spacing w:after="120"/>
        <w:ind w:left="2268" w:right="1134" w:hanging="1134"/>
        <w:rPr>
          <w:rFonts w:asciiTheme="majorBidi" w:eastAsia="MS Mincho" w:hAnsiTheme="majorBidi" w:cstheme="majorBidi"/>
          <w:iCs/>
        </w:rPr>
      </w:pPr>
      <w:bookmarkStart w:id="1" w:name="_Hlk94186962"/>
      <w:r w:rsidRPr="00396230">
        <w:rPr>
          <w:rFonts w:asciiTheme="majorBidi" w:eastAsia="MS Mincho" w:hAnsiTheme="majorBidi" w:cstheme="majorBidi"/>
          <w:i/>
        </w:rPr>
        <w:t xml:space="preserve">Paragraph </w:t>
      </w:r>
      <w:r w:rsidR="00710059" w:rsidRPr="00396230">
        <w:rPr>
          <w:rFonts w:asciiTheme="majorBidi" w:eastAsia="MS Mincho" w:hAnsiTheme="majorBidi" w:cstheme="majorBidi"/>
          <w:i/>
        </w:rPr>
        <w:t>5.2.3</w:t>
      </w:r>
      <w:r w:rsidRPr="00396230">
        <w:rPr>
          <w:rFonts w:asciiTheme="majorBidi" w:eastAsia="MS Mincho" w:hAnsiTheme="majorBidi" w:cstheme="majorBidi"/>
          <w:i/>
        </w:rPr>
        <w:t>.,</w:t>
      </w:r>
      <w:r w:rsidRPr="00396230">
        <w:rPr>
          <w:rFonts w:asciiTheme="majorBidi" w:eastAsia="MS Mincho" w:hAnsiTheme="majorBidi" w:cstheme="majorBidi"/>
          <w:iCs/>
        </w:rPr>
        <w:t xml:space="preserve"> amend to read:</w:t>
      </w:r>
    </w:p>
    <w:p w14:paraId="1003C69D" w14:textId="0616A942" w:rsidR="00836B65" w:rsidRPr="00396230" w:rsidRDefault="00035B2B" w:rsidP="009A262E">
      <w:pPr>
        <w:pStyle w:val="3para3rdlevel"/>
        <w:rPr>
          <w:lang w:val="en-US"/>
        </w:rPr>
      </w:pPr>
      <w:r w:rsidRPr="00396230">
        <w:t>“</w:t>
      </w:r>
      <w:r w:rsidR="00710059" w:rsidRPr="00396230">
        <w:t>5.2.3.</w:t>
      </w:r>
      <w:r w:rsidR="00710059" w:rsidRPr="00396230">
        <w:tab/>
        <w:t xml:space="preserve">There shall be no lateral variations detrimental to good visibility in </w:t>
      </w:r>
      <w:r w:rsidR="00710059" w:rsidRPr="00396230">
        <w:rPr>
          <w:strike/>
        </w:rPr>
        <w:t>any of the</w:t>
      </w:r>
      <w:r w:rsidR="00710059" w:rsidRPr="00396230">
        <w:t xml:space="preserve"> zone</w:t>
      </w:r>
      <w:r w:rsidR="00710059" w:rsidRPr="00396230">
        <w:rPr>
          <w:strike/>
        </w:rPr>
        <w:t>s I,</w:t>
      </w:r>
      <w:r w:rsidR="00710059" w:rsidRPr="00396230">
        <w:t xml:space="preserve"> III </w:t>
      </w:r>
      <w:r w:rsidR="00710059" w:rsidRPr="00396230">
        <w:rPr>
          <w:strike/>
        </w:rPr>
        <w:t>and IV</w:t>
      </w:r>
      <w:r w:rsidR="00710059" w:rsidRPr="00396230">
        <w:t>.</w:t>
      </w:r>
      <w:r w:rsidRPr="00396230">
        <w:rPr>
          <w:lang w:val="en-US"/>
        </w:rPr>
        <w:t>”</w:t>
      </w:r>
      <w:bookmarkEnd w:id="1"/>
    </w:p>
    <w:p w14:paraId="1D5C3253" w14:textId="65AA558F" w:rsidR="00505CC7" w:rsidRPr="00396230" w:rsidRDefault="00505CC7" w:rsidP="00505CC7">
      <w:pPr>
        <w:spacing w:after="120"/>
        <w:ind w:left="2268" w:right="1395" w:hanging="1134"/>
        <w:jc w:val="both"/>
        <w:rPr>
          <w:rFonts w:asciiTheme="majorBidi" w:hAnsiTheme="majorBidi" w:cstheme="majorBidi"/>
          <w:lang w:val="en-US"/>
        </w:rPr>
      </w:pPr>
      <w:r w:rsidRPr="00396230">
        <w:rPr>
          <w:i/>
          <w:lang w:val="en-US"/>
        </w:rPr>
        <w:t>Table 7</w:t>
      </w:r>
      <w:r w:rsidRPr="00396230">
        <w:rPr>
          <w:rFonts w:asciiTheme="majorBidi" w:hAnsiTheme="majorBidi" w:cstheme="majorBidi"/>
          <w:i/>
          <w:lang w:val="en-US"/>
        </w:rPr>
        <w:t>, Part A,</w:t>
      </w:r>
      <w:r w:rsidRPr="00396230">
        <w:rPr>
          <w:rFonts w:asciiTheme="majorBidi" w:hAnsiTheme="majorBidi" w:cstheme="majorBidi"/>
          <w:lang w:val="en-US"/>
        </w:rPr>
        <w:t xml:space="preserve"> amend to read:</w:t>
      </w:r>
    </w:p>
    <w:p w14:paraId="75034F6C" w14:textId="77777777" w:rsidR="00505CC7" w:rsidRPr="00396230" w:rsidRDefault="00505CC7" w:rsidP="00505CC7">
      <w:pPr>
        <w:ind w:left="2835" w:right="1134" w:hanging="567"/>
        <w:jc w:val="both"/>
        <w:rPr>
          <w:rFonts w:eastAsia="SimSun"/>
        </w:rPr>
      </w:pPr>
      <w:r w:rsidRPr="00396230">
        <w:rPr>
          <w:i/>
          <w:lang w:val="en-US"/>
        </w:rPr>
        <w:t>“</w:t>
      </w:r>
      <w:r w:rsidRPr="00396230">
        <w:rPr>
          <w:rFonts w:eastAsia="SimSun"/>
        </w:rPr>
        <w:t>Table 7</w:t>
      </w:r>
    </w:p>
    <w:p w14:paraId="1B0AE80F" w14:textId="77777777" w:rsidR="00505CC7" w:rsidRPr="00396230" w:rsidRDefault="00505CC7" w:rsidP="00C03C84">
      <w:pPr>
        <w:spacing w:after="120"/>
        <w:ind w:left="2268" w:right="1134"/>
        <w:rPr>
          <w:i/>
          <w:lang w:val="en-US"/>
        </w:rPr>
      </w:pPr>
      <w:r w:rsidRPr="00396230">
        <w:rPr>
          <w:b/>
        </w:rPr>
        <w:t>Type approval photometric requirements for Classes C, V, E and W passing-beam in conjunction with Figure A4-VI (indicated for right-hand traffic)</w:t>
      </w:r>
    </w:p>
    <w:tbl>
      <w:tblPr>
        <w:tblStyle w:val="TableGrid"/>
        <w:tblW w:w="9242" w:type="dxa"/>
        <w:jc w:val="center"/>
        <w:tblLayout w:type="fixed"/>
        <w:tblLook w:val="04A0" w:firstRow="1" w:lastRow="0" w:firstColumn="1" w:lastColumn="0" w:noHBand="0" w:noVBand="1"/>
      </w:tblPr>
      <w:tblGrid>
        <w:gridCol w:w="314"/>
        <w:gridCol w:w="1699"/>
        <w:gridCol w:w="709"/>
        <w:gridCol w:w="992"/>
        <w:gridCol w:w="706"/>
        <w:gridCol w:w="570"/>
        <w:gridCol w:w="708"/>
        <w:gridCol w:w="709"/>
        <w:gridCol w:w="709"/>
        <w:gridCol w:w="748"/>
        <w:gridCol w:w="669"/>
        <w:gridCol w:w="709"/>
      </w:tblGrid>
      <w:tr w:rsidR="00505CC7" w:rsidRPr="00396230" w14:paraId="00111F6B" w14:textId="77777777" w:rsidTr="00956B49">
        <w:trPr>
          <w:jc w:val="center"/>
        </w:trPr>
        <w:tc>
          <w:tcPr>
            <w:tcW w:w="314" w:type="dxa"/>
            <w:vMerge w:val="restart"/>
            <w:tcMar>
              <w:top w:w="0" w:type="dxa"/>
              <w:left w:w="28" w:type="dxa"/>
              <w:bottom w:w="0" w:type="dxa"/>
              <w:right w:w="28" w:type="dxa"/>
            </w:tcMar>
            <w:textDirection w:val="btLr"/>
            <w:vAlign w:val="center"/>
          </w:tcPr>
          <w:p w14:paraId="0C754AD0" w14:textId="77777777" w:rsidR="00505CC7" w:rsidRPr="00396230" w:rsidRDefault="00505CC7" w:rsidP="00956B49">
            <w:pPr>
              <w:spacing w:before="20" w:after="20" w:line="240" w:lineRule="auto"/>
              <w:ind w:left="113" w:right="113"/>
              <w:jc w:val="center"/>
              <w:rPr>
                <w:i/>
                <w:sz w:val="18"/>
                <w:szCs w:val="18"/>
                <w:lang w:val="en-US"/>
              </w:rPr>
            </w:pPr>
            <w:r w:rsidRPr="00396230">
              <w:rPr>
                <w:rStyle w:val="CommentReference"/>
                <w:sz w:val="18"/>
                <w:szCs w:val="18"/>
                <w:lang w:val="en-US"/>
              </w:rPr>
              <w:t>Part A</w:t>
            </w:r>
          </w:p>
        </w:tc>
        <w:tc>
          <w:tcPr>
            <w:tcW w:w="1699" w:type="dxa"/>
            <w:vMerge w:val="restart"/>
            <w:vAlign w:val="center"/>
          </w:tcPr>
          <w:p w14:paraId="0AC3CC5B" w14:textId="77777777" w:rsidR="00505CC7" w:rsidRPr="00396230" w:rsidRDefault="00505CC7" w:rsidP="00956B49">
            <w:pPr>
              <w:spacing w:before="20" w:after="20" w:line="240" w:lineRule="auto"/>
              <w:jc w:val="center"/>
              <w:rPr>
                <w:b/>
                <w:bCs/>
                <w:i/>
                <w:sz w:val="16"/>
                <w:szCs w:val="16"/>
                <w:lang w:val="en-US"/>
              </w:rPr>
            </w:pPr>
            <w:r w:rsidRPr="00396230">
              <w:rPr>
                <w:b/>
                <w:bCs/>
                <w:i/>
                <w:sz w:val="16"/>
                <w:szCs w:val="16"/>
                <w:lang w:val="en-US"/>
              </w:rPr>
              <w:t>Element</w:t>
            </w:r>
          </w:p>
        </w:tc>
        <w:tc>
          <w:tcPr>
            <w:tcW w:w="1701" w:type="dxa"/>
            <w:gridSpan w:val="2"/>
            <w:tcMar>
              <w:top w:w="0" w:type="dxa"/>
              <w:left w:w="28" w:type="dxa"/>
              <w:bottom w:w="0" w:type="dxa"/>
              <w:right w:w="28" w:type="dxa"/>
            </w:tcMar>
            <w:vAlign w:val="center"/>
          </w:tcPr>
          <w:p w14:paraId="14837AC8" w14:textId="77777777" w:rsidR="00505CC7" w:rsidRPr="00396230" w:rsidRDefault="00505CC7" w:rsidP="00956B49">
            <w:pPr>
              <w:spacing w:before="20" w:after="20" w:line="240" w:lineRule="auto"/>
              <w:jc w:val="center"/>
              <w:rPr>
                <w:b/>
                <w:bCs/>
                <w:i/>
                <w:sz w:val="16"/>
                <w:szCs w:val="16"/>
                <w:lang w:val="en-US"/>
              </w:rPr>
            </w:pPr>
            <w:r w:rsidRPr="00396230">
              <w:rPr>
                <w:rFonts w:eastAsia="HGSGothicM"/>
                <w:b/>
                <w:bCs/>
                <w:i/>
                <w:sz w:val="16"/>
                <w:szCs w:val="16"/>
                <w:lang w:val="en-US"/>
              </w:rPr>
              <w:t>Angular coordinates in deg.</w:t>
            </w:r>
          </w:p>
        </w:tc>
        <w:tc>
          <w:tcPr>
            <w:tcW w:w="5528" w:type="dxa"/>
            <w:gridSpan w:val="8"/>
            <w:tcMar>
              <w:top w:w="0" w:type="dxa"/>
              <w:left w:w="28" w:type="dxa"/>
              <w:bottom w:w="0" w:type="dxa"/>
              <w:right w:w="28" w:type="dxa"/>
            </w:tcMar>
            <w:vAlign w:val="center"/>
          </w:tcPr>
          <w:p w14:paraId="1309F538" w14:textId="77777777" w:rsidR="00505CC7" w:rsidRPr="00396230" w:rsidRDefault="00505CC7" w:rsidP="00956B49">
            <w:pPr>
              <w:spacing w:before="20" w:after="20" w:line="240" w:lineRule="auto"/>
              <w:jc w:val="center"/>
              <w:rPr>
                <w:b/>
                <w:bCs/>
                <w:i/>
                <w:sz w:val="16"/>
                <w:szCs w:val="16"/>
                <w:lang w:val="en-US"/>
              </w:rPr>
            </w:pPr>
            <w:r w:rsidRPr="00396230">
              <w:rPr>
                <w:b/>
                <w:bCs/>
                <w:i/>
                <w:sz w:val="16"/>
                <w:szCs w:val="16"/>
                <w:lang w:val="en-US"/>
              </w:rPr>
              <w:t>Luminous intensity in cd</w:t>
            </w:r>
          </w:p>
        </w:tc>
      </w:tr>
      <w:tr w:rsidR="00505CC7" w:rsidRPr="00396230" w14:paraId="105252ED" w14:textId="77777777" w:rsidTr="00956B49">
        <w:trPr>
          <w:jc w:val="center"/>
        </w:trPr>
        <w:tc>
          <w:tcPr>
            <w:tcW w:w="314" w:type="dxa"/>
            <w:vMerge/>
            <w:tcMar>
              <w:top w:w="0" w:type="dxa"/>
              <w:left w:w="28" w:type="dxa"/>
              <w:bottom w:w="0" w:type="dxa"/>
              <w:right w:w="28" w:type="dxa"/>
            </w:tcMar>
            <w:vAlign w:val="center"/>
          </w:tcPr>
          <w:p w14:paraId="2BEEF695" w14:textId="77777777" w:rsidR="00505CC7" w:rsidRPr="00396230" w:rsidRDefault="00505CC7" w:rsidP="00956B49">
            <w:pPr>
              <w:spacing w:before="20" w:after="20" w:line="240" w:lineRule="auto"/>
              <w:ind w:left="113" w:right="113"/>
              <w:jc w:val="center"/>
              <w:rPr>
                <w:sz w:val="16"/>
                <w:szCs w:val="16"/>
                <w:lang w:val="en-US"/>
              </w:rPr>
            </w:pPr>
          </w:p>
        </w:tc>
        <w:tc>
          <w:tcPr>
            <w:tcW w:w="1699" w:type="dxa"/>
            <w:vMerge/>
            <w:vAlign w:val="center"/>
          </w:tcPr>
          <w:p w14:paraId="09767A24" w14:textId="77777777" w:rsidR="00505CC7" w:rsidRPr="00396230" w:rsidRDefault="00505CC7" w:rsidP="00956B49">
            <w:pPr>
              <w:spacing w:before="20" w:after="20" w:line="240" w:lineRule="auto"/>
              <w:rPr>
                <w:b/>
                <w:bCs/>
                <w:sz w:val="16"/>
                <w:szCs w:val="16"/>
                <w:lang w:val="en-US"/>
              </w:rPr>
            </w:pPr>
          </w:p>
        </w:tc>
        <w:tc>
          <w:tcPr>
            <w:tcW w:w="709" w:type="dxa"/>
            <w:vMerge w:val="restart"/>
            <w:tcMar>
              <w:top w:w="0" w:type="dxa"/>
              <w:left w:w="28" w:type="dxa"/>
              <w:bottom w:w="0" w:type="dxa"/>
              <w:right w:w="28" w:type="dxa"/>
            </w:tcMar>
            <w:vAlign w:val="center"/>
          </w:tcPr>
          <w:p w14:paraId="2138672F" w14:textId="77777777" w:rsidR="00505CC7" w:rsidRPr="00396230" w:rsidRDefault="00505CC7" w:rsidP="00956B49">
            <w:pPr>
              <w:spacing w:before="20" w:after="20" w:line="240" w:lineRule="auto"/>
              <w:jc w:val="center"/>
              <w:rPr>
                <w:b/>
                <w:bCs/>
                <w:i/>
                <w:sz w:val="16"/>
                <w:szCs w:val="16"/>
                <w:lang w:val="en-US"/>
              </w:rPr>
            </w:pPr>
            <w:r w:rsidRPr="00396230">
              <w:rPr>
                <w:b/>
                <w:bCs/>
                <w:i/>
                <w:sz w:val="16"/>
                <w:szCs w:val="16"/>
                <w:lang w:val="en-US"/>
              </w:rPr>
              <w:t>vertical</w:t>
            </w:r>
          </w:p>
        </w:tc>
        <w:tc>
          <w:tcPr>
            <w:tcW w:w="992" w:type="dxa"/>
            <w:vMerge w:val="restart"/>
            <w:tcMar>
              <w:top w:w="0" w:type="dxa"/>
              <w:left w:w="28" w:type="dxa"/>
              <w:bottom w:w="0" w:type="dxa"/>
              <w:right w:w="28" w:type="dxa"/>
            </w:tcMar>
            <w:vAlign w:val="center"/>
          </w:tcPr>
          <w:p w14:paraId="0BDB4115" w14:textId="77777777" w:rsidR="00505CC7" w:rsidRPr="00396230" w:rsidRDefault="00505CC7" w:rsidP="00956B49">
            <w:pPr>
              <w:spacing w:before="20" w:after="20" w:line="240" w:lineRule="auto"/>
              <w:jc w:val="center"/>
              <w:rPr>
                <w:b/>
                <w:bCs/>
                <w:i/>
                <w:sz w:val="16"/>
                <w:szCs w:val="16"/>
                <w:lang w:val="en-US"/>
              </w:rPr>
            </w:pPr>
            <w:r w:rsidRPr="00396230">
              <w:rPr>
                <w:b/>
                <w:bCs/>
                <w:i/>
                <w:sz w:val="16"/>
                <w:szCs w:val="16"/>
                <w:lang w:val="en-US"/>
              </w:rPr>
              <w:t>horizontal</w:t>
            </w:r>
          </w:p>
        </w:tc>
        <w:tc>
          <w:tcPr>
            <w:tcW w:w="1276" w:type="dxa"/>
            <w:gridSpan w:val="2"/>
            <w:tcBorders>
              <w:bottom w:val="single" w:sz="4" w:space="0" w:color="auto"/>
            </w:tcBorders>
            <w:tcMar>
              <w:top w:w="0" w:type="dxa"/>
              <w:left w:w="28" w:type="dxa"/>
              <w:bottom w:w="0" w:type="dxa"/>
              <w:right w:w="28" w:type="dxa"/>
            </w:tcMar>
            <w:vAlign w:val="center"/>
          </w:tcPr>
          <w:p w14:paraId="755C6F49" w14:textId="77777777" w:rsidR="00505CC7" w:rsidRPr="00396230" w:rsidRDefault="00505CC7" w:rsidP="00956B49">
            <w:pPr>
              <w:spacing w:before="20" w:after="20" w:line="240" w:lineRule="auto"/>
              <w:jc w:val="center"/>
              <w:rPr>
                <w:b/>
                <w:bCs/>
                <w:i/>
                <w:sz w:val="16"/>
                <w:szCs w:val="16"/>
                <w:lang w:val="en-US"/>
              </w:rPr>
            </w:pPr>
            <w:r w:rsidRPr="00396230">
              <w:rPr>
                <w:b/>
                <w:bCs/>
                <w:i/>
                <w:sz w:val="16"/>
                <w:szCs w:val="16"/>
                <w:lang w:val="en-US"/>
              </w:rPr>
              <w:t>Class C</w:t>
            </w:r>
          </w:p>
        </w:tc>
        <w:tc>
          <w:tcPr>
            <w:tcW w:w="1417" w:type="dxa"/>
            <w:gridSpan w:val="2"/>
            <w:tcBorders>
              <w:bottom w:val="single" w:sz="4" w:space="0" w:color="auto"/>
            </w:tcBorders>
            <w:tcMar>
              <w:top w:w="0" w:type="dxa"/>
              <w:left w:w="28" w:type="dxa"/>
              <w:bottom w:w="0" w:type="dxa"/>
              <w:right w:w="28" w:type="dxa"/>
            </w:tcMar>
            <w:vAlign w:val="center"/>
          </w:tcPr>
          <w:p w14:paraId="7626273F" w14:textId="77777777" w:rsidR="00505CC7" w:rsidRPr="00396230" w:rsidRDefault="00505CC7" w:rsidP="00956B49">
            <w:pPr>
              <w:spacing w:before="20" w:after="20" w:line="240" w:lineRule="auto"/>
              <w:jc w:val="center"/>
              <w:rPr>
                <w:b/>
                <w:bCs/>
                <w:i/>
                <w:sz w:val="16"/>
                <w:szCs w:val="16"/>
                <w:lang w:val="en-US"/>
              </w:rPr>
            </w:pPr>
            <w:r w:rsidRPr="00396230">
              <w:rPr>
                <w:b/>
                <w:bCs/>
                <w:i/>
                <w:sz w:val="16"/>
                <w:szCs w:val="16"/>
                <w:lang w:val="en-US"/>
              </w:rPr>
              <w:t>Class V</w:t>
            </w:r>
          </w:p>
        </w:tc>
        <w:tc>
          <w:tcPr>
            <w:tcW w:w="1457" w:type="dxa"/>
            <w:gridSpan w:val="2"/>
            <w:tcBorders>
              <w:bottom w:val="single" w:sz="4" w:space="0" w:color="auto"/>
            </w:tcBorders>
            <w:tcMar>
              <w:top w:w="0" w:type="dxa"/>
              <w:left w:w="28" w:type="dxa"/>
              <w:bottom w:w="0" w:type="dxa"/>
              <w:right w:w="28" w:type="dxa"/>
            </w:tcMar>
            <w:vAlign w:val="center"/>
          </w:tcPr>
          <w:p w14:paraId="30BC9319" w14:textId="77777777" w:rsidR="00505CC7" w:rsidRPr="00396230" w:rsidRDefault="00505CC7" w:rsidP="00956B49">
            <w:pPr>
              <w:spacing w:before="20" w:after="20" w:line="240" w:lineRule="auto"/>
              <w:jc w:val="center"/>
              <w:rPr>
                <w:b/>
                <w:bCs/>
                <w:i/>
                <w:sz w:val="16"/>
                <w:szCs w:val="16"/>
                <w:lang w:val="en-US"/>
              </w:rPr>
            </w:pPr>
            <w:r w:rsidRPr="00396230">
              <w:rPr>
                <w:b/>
                <w:bCs/>
                <w:i/>
                <w:sz w:val="16"/>
                <w:szCs w:val="16"/>
                <w:lang w:val="en-US"/>
              </w:rPr>
              <w:t>Class E</w:t>
            </w:r>
          </w:p>
        </w:tc>
        <w:tc>
          <w:tcPr>
            <w:tcW w:w="1378" w:type="dxa"/>
            <w:gridSpan w:val="2"/>
            <w:tcBorders>
              <w:bottom w:val="single" w:sz="4" w:space="0" w:color="auto"/>
            </w:tcBorders>
            <w:tcMar>
              <w:top w:w="0" w:type="dxa"/>
              <w:left w:w="28" w:type="dxa"/>
              <w:bottom w:w="0" w:type="dxa"/>
              <w:right w:w="28" w:type="dxa"/>
            </w:tcMar>
            <w:vAlign w:val="center"/>
          </w:tcPr>
          <w:p w14:paraId="4D63FF9F" w14:textId="77777777" w:rsidR="00505CC7" w:rsidRPr="00396230" w:rsidRDefault="00505CC7" w:rsidP="00956B49">
            <w:pPr>
              <w:spacing w:before="20" w:after="20" w:line="240" w:lineRule="auto"/>
              <w:jc w:val="center"/>
              <w:rPr>
                <w:b/>
                <w:bCs/>
                <w:i/>
                <w:sz w:val="16"/>
                <w:szCs w:val="16"/>
                <w:lang w:val="en-US"/>
              </w:rPr>
            </w:pPr>
            <w:r w:rsidRPr="00396230">
              <w:rPr>
                <w:b/>
                <w:bCs/>
                <w:i/>
                <w:sz w:val="16"/>
                <w:szCs w:val="16"/>
                <w:lang w:val="en-US"/>
              </w:rPr>
              <w:t xml:space="preserve">Class W </w:t>
            </w:r>
            <w:r w:rsidRPr="00396230">
              <w:rPr>
                <w:b/>
                <w:bCs/>
                <w:sz w:val="16"/>
                <w:szCs w:val="16"/>
                <w:vertAlign w:val="superscript"/>
                <w:lang w:val="en-US"/>
              </w:rPr>
              <w:t>b</w:t>
            </w:r>
          </w:p>
        </w:tc>
      </w:tr>
      <w:tr w:rsidR="00505CC7" w:rsidRPr="00396230" w14:paraId="05AFC83E" w14:textId="77777777" w:rsidTr="00956B49">
        <w:trPr>
          <w:jc w:val="center"/>
        </w:trPr>
        <w:tc>
          <w:tcPr>
            <w:tcW w:w="314" w:type="dxa"/>
            <w:vMerge/>
            <w:tcMar>
              <w:top w:w="0" w:type="dxa"/>
              <w:left w:w="28" w:type="dxa"/>
              <w:bottom w:w="0" w:type="dxa"/>
              <w:right w:w="28" w:type="dxa"/>
            </w:tcMar>
            <w:vAlign w:val="center"/>
          </w:tcPr>
          <w:p w14:paraId="4144119C" w14:textId="77777777" w:rsidR="00505CC7" w:rsidRPr="00396230" w:rsidRDefault="00505CC7" w:rsidP="00956B49">
            <w:pPr>
              <w:spacing w:before="20" w:after="20" w:line="240" w:lineRule="auto"/>
              <w:ind w:left="113" w:right="113"/>
              <w:jc w:val="center"/>
              <w:rPr>
                <w:sz w:val="16"/>
                <w:szCs w:val="16"/>
                <w:lang w:val="en-US"/>
              </w:rPr>
            </w:pPr>
          </w:p>
        </w:tc>
        <w:tc>
          <w:tcPr>
            <w:tcW w:w="1699" w:type="dxa"/>
            <w:vMerge/>
            <w:tcBorders>
              <w:bottom w:val="single" w:sz="12" w:space="0" w:color="auto"/>
            </w:tcBorders>
            <w:tcMar>
              <w:top w:w="0" w:type="dxa"/>
              <w:left w:w="28" w:type="dxa"/>
              <w:bottom w:w="0" w:type="dxa"/>
              <w:right w:w="28" w:type="dxa"/>
            </w:tcMar>
            <w:vAlign w:val="center"/>
          </w:tcPr>
          <w:p w14:paraId="6B645A65" w14:textId="77777777" w:rsidR="00505CC7" w:rsidRPr="00396230" w:rsidRDefault="00505CC7" w:rsidP="00956B49">
            <w:pPr>
              <w:spacing w:before="20" w:after="20" w:line="240" w:lineRule="auto"/>
              <w:rPr>
                <w:b/>
                <w:bCs/>
                <w:i/>
                <w:sz w:val="16"/>
                <w:szCs w:val="16"/>
                <w:lang w:val="en-US"/>
              </w:rPr>
            </w:pPr>
          </w:p>
        </w:tc>
        <w:tc>
          <w:tcPr>
            <w:tcW w:w="709" w:type="dxa"/>
            <w:vMerge/>
            <w:tcBorders>
              <w:bottom w:val="single" w:sz="12" w:space="0" w:color="auto"/>
            </w:tcBorders>
            <w:tcMar>
              <w:top w:w="0" w:type="dxa"/>
              <w:left w:w="28" w:type="dxa"/>
              <w:bottom w:w="0" w:type="dxa"/>
              <w:right w:w="28" w:type="dxa"/>
            </w:tcMar>
            <w:vAlign w:val="center"/>
          </w:tcPr>
          <w:p w14:paraId="03ECD4E6" w14:textId="77777777" w:rsidR="00505CC7" w:rsidRPr="00396230" w:rsidRDefault="00505CC7" w:rsidP="00956B49">
            <w:pPr>
              <w:spacing w:before="20" w:after="20" w:line="240" w:lineRule="auto"/>
              <w:jc w:val="center"/>
              <w:rPr>
                <w:b/>
                <w:bCs/>
                <w:i/>
                <w:sz w:val="16"/>
                <w:szCs w:val="16"/>
                <w:lang w:val="en-US"/>
              </w:rPr>
            </w:pPr>
          </w:p>
        </w:tc>
        <w:tc>
          <w:tcPr>
            <w:tcW w:w="992" w:type="dxa"/>
            <w:vMerge/>
            <w:tcBorders>
              <w:bottom w:val="single" w:sz="12" w:space="0" w:color="auto"/>
            </w:tcBorders>
            <w:tcMar>
              <w:top w:w="0" w:type="dxa"/>
              <w:left w:w="28" w:type="dxa"/>
              <w:bottom w:w="0" w:type="dxa"/>
              <w:right w:w="28" w:type="dxa"/>
            </w:tcMar>
            <w:vAlign w:val="center"/>
          </w:tcPr>
          <w:p w14:paraId="2FB026F1" w14:textId="77777777" w:rsidR="00505CC7" w:rsidRPr="00396230" w:rsidRDefault="00505CC7" w:rsidP="00956B49">
            <w:pPr>
              <w:spacing w:before="20" w:after="20" w:line="240" w:lineRule="auto"/>
              <w:jc w:val="center"/>
              <w:rPr>
                <w:b/>
                <w:bCs/>
                <w:i/>
                <w:sz w:val="16"/>
                <w:szCs w:val="16"/>
                <w:lang w:val="en-US"/>
              </w:rPr>
            </w:pPr>
          </w:p>
        </w:tc>
        <w:tc>
          <w:tcPr>
            <w:tcW w:w="706" w:type="dxa"/>
            <w:tcBorders>
              <w:bottom w:val="single" w:sz="12" w:space="0" w:color="auto"/>
            </w:tcBorders>
            <w:tcMar>
              <w:top w:w="0" w:type="dxa"/>
              <w:left w:w="28" w:type="dxa"/>
              <w:bottom w:w="0" w:type="dxa"/>
              <w:right w:w="28" w:type="dxa"/>
            </w:tcMar>
            <w:vAlign w:val="center"/>
          </w:tcPr>
          <w:p w14:paraId="13D2A58C" w14:textId="77777777" w:rsidR="00505CC7" w:rsidRPr="00396230" w:rsidRDefault="00505CC7" w:rsidP="00956B49">
            <w:pPr>
              <w:spacing w:before="20" w:after="20" w:line="240" w:lineRule="auto"/>
              <w:jc w:val="center"/>
              <w:rPr>
                <w:b/>
                <w:bCs/>
                <w:i/>
                <w:sz w:val="16"/>
                <w:szCs w:val="16"/>
                <w:lang w:val="en-US"/>
              </w:rPr>
            </w:pPr>
            <w:r w:rsidRPr="00396230">
              <w:rPr>
                <w:b/>
                <w:bCs/>
                <w:i/>
                <w:sz w:val="16"/>
                <w:szCs w:val="16"/>
                <w:lang w:val="en-US"/>
              </w:rPr>
              <w:t>min</w:t>
            </w:r>
          </w:p>
        </w:tc>
        <w:tc>
          <w:tcPr>
            <w:tcW w:w="570" w:type="dxa"/>
            <w:tcBorders>
              <w:bottom w:val="single" w:sz="12" w:space="0" w:color="auto"/>
            </w:tcBorders>
            <w:tcMar>
              <w:top w:w="0" w:type="dxa"/>
              <w:left w:w="28" w:type="dxa"/>
              <w:bottom w:w="0" w:type="dxa"/>
              <w:right w:w="28" w:type="dxa"/>
            </w:tcMar>
            <w:vAlign w:val="center"/>
          </w:tcPr>
          <w:p w14:paraId="1325B5F7" w14:textId="77777777" w:rsidR="00505CC7" w:rsidRPr="00396230" w:rsidRDefault="00505CC7" w:rsidP="00956B49">
            <w:pPr>
              <w:spacing w:before="20" w:after="20" w:line="240" w:lineRule="auto"/>
              <w:jc w:val="center"/>
              <w:rPr>
                <w:b/>
                <w:bCs/>
                <w:i/>
                <w:sz w:val="16"/>
                <w:szCs w:val="16"/>
                <w:lang w:val="en-US"/>
              </w:rPr>
            </w:pPr>
            <w:r w:rsidRPr="00396230">
              <w:rPr>
                <w:b/>
                <w:bCs/>
                <w:i/>
                <w:sz w:val="16"/>
                <w:szCs w:val="16"/>
                <w:lang w:val="en-US"/>
              </w:rPr>
              <w:t>max</w:t>
            </w:r>
          </w:p>
        </w:tc>
        <w:tc>
          <w:tcPr>
            <w:tcW w:w="708" w:type="dxa"/>
            <w:tcBorders>
              <w:bottom w:val="single" w:sz="12" w:space="0" w:color="auto"/>
            </w:tcBorders>
            <w:tcMar>
              <w:top w:w="0" w:type="dxa"/>
              <w:left w:w="28" w:type="dxa"/>
              <w:bottom w:w="0" w:type="dxa"/>
              <w:right w:w="28" w:type="dxa"/>
            </w:tcMar>
            <w:vAlign w:val="center"/>
          </w:tcPr>
          <w:p w14:paraId="28C290DC" w14:textId="77777777" w:rsidR="00505CC7" w:rsidRPr="00396230" w:rsidRDefault="00505CC7" w:rsidP="00956B49">
            <w:pPr>
              <w:spacing w:before="20" w:after="20" w:line="240" w:lineRule="auto"/>
              <w:jc w:val="center"/>
              <w:rPr>
                <w:b/>
                <w:bCs/>
                <w:i/>
                <w:sz w:val="16"/>
                <w:szCs w:val="16"/>
                <w:lang w:val="en-US"/>
              </w:rPr>
            </w:pPr>
            <w:r w:rsidRPr="00396230">
              <w:rPr>
                <w:b/>
                <w:bCs/>
                <w:i/>
                <w:sz w:val="16"/>
                <w:szCs w:val="16"/>
                <w:lang w:val="en-US"/>
              </w:rPr>
              <w:t>min</w:t>
            </w:r>
          </w:p>
        </w:tc>
        <w:tc>
          <w:tcPr>
            <w:tcW w:w="709" w:type="dxa"/>
            <w:tcBorders>
              <w:bottom w:val="single" w:sz="12" w:space="0" w:color="auto"/>
            </w:tcBorders>
            <w:tcMar>
              <w:top w:w="0" w:type="dxa"/>
              <w:left w:w="28" w:type="dxa"/>
              <w:bottom w:w="0" w:type="dxa"/>
              <w:right w:w="28" w:type="dxa"/>
            </w:tcMar>
            <w:vAlign w:val="center"/>
          </w:tcPr>
          <w:p w14:paraId="4B3C1061" w14:textId="77777777" w:rsidR="00505CC7" w:rsidRPr="00396230" w:rsidRDefault="00505CC7" w:rsidP="00956B49">
            <w:pPr>
              <w:spacing w:before="20" w:after="20" w:line="240" w:lineRule="auto"/>
              <w:jc w:val="center"/>
              <w:rPr>
                <w:b/>
                <w:bCs/>
                <w:i/>
                <w:sz w:val="16"/>
                <w:szCs w:val="16"/>
                <w:lang w:val="en-US"/>
              </w:rPr>
            </w:pPr>
            <w:r w:rsidRPr="00396230">
              <w:rPr>
                <w:b/>
                <w:bCs/>
                <w:i/>
                <w:sz w:val="16"/>
                <w:szCs w:val="16"/>
                <w:lang w:val="en-US"/>
              </w:rPr>
              <w:t>max</w:t>
            </w:r>
          </w:p>
        </w:tc>
        <w:tc>
          <w:tcPr>
            <w:tcW w:w="709" w:type="dxa"/>
            <w:tcBorders>
              <w:bottom w:val="single" w:sz="12" w:space="0" w:color="auto"/>
            </w:tcBorders>
            <w:tcMar>
              <w:top w:w="0" w:type="dxa"/>
              <w:left w:w="28" w:type="dxa"/>
              <w:bottom w:w="0" w:type="dxa"/>
              <w:right w:w="28" w:type="dxa"/>
            </w:tcMar>
            <w:vAlign w:val="center"/>
          </w:tcPr>
          <w:p w14:paraId="5A4D2584" w14:textId="77777777" w:rsidR="00505CC7" w:rsidRPr="00396230" w:rsidRDefault="00505CC7" w:rsidP="00956B49">
            <w:pPr>
              <w:spacing w:before="20" w:after="20" w:line="240" w:lineRule="auto"/>
              <w:jc w:val="center"/>
              <w:rPr>
                <w:b/>
                <w:bCs/>
                <w:i/>
                <w:sz w:val="16"/>
                <w:szCs w:val="16"/>
                <w:lang w:val="en-US"/>
              </w:rPr>
            </w:pPr>
            <w:r w:rsidRPr="00396230">
              <w:rPr>
                <w:b/>
                <w:bCs/>
                <w:i/>
                <w:sz w:val="16"/>
                <w:szCs w:val="16"/>
                <w:lang w:val="en-US"/>
              </w:rPr>
              <w:t>min</w:t>
            </w:r>
          </w:p>
        </w:tc>
        <w:tc>
          <w:tcPr>
            <w:tcW w:w="748" w:type="dxa"/>
            <w:tcBorders>
              <w:bottom w:val="single" w:sz="12" w:space="0" w:color="auto"/>
            </w:tcBorders>
            <w:tcMar>
              <w:top w:w="0" w:type="dxa"/>
              <w:left w:w="28" w:type="dxa"/>
              <w:bottom w:w="0" w:type="dxa"/>
              <w:right w:w="28" w:type="dxa"/>
            </w:tcMar>
            <w:vAlign w:val="center"/>
          </w:tcPr>
          <w:p w14:paraId="5CA50F58" w14:textId="77777777" w:rsidR="00505CC7" w:rsidRPr="00396230" w:rsidRDefault="00505CC7" w:rsidP="00956B49">
            <w:pPr>
              <w:spacing w:before="20" w:after="20" w:line="240" w:lineRule="auto"/>
              <w:jc w:val="center"/>
              <w:rPr>
                <w:b/>
                <w:bCs/>
                <w:i/>
                <w:sz w:val="16"/>
                <w:szCs w:val="16"/>
                <w:lang w:val="en-US"/>
              </w:rPr>
            </w:pPr>
            <w:r w:rsidRPr="00396230">
              <w:rPr>
                <w:b/>
                <w:bCs/>
                <w:i/>
                <w:sz w:val="16"/>
                <w:szCs w:val="16"/>
                <w:lang w:val="en-US"/>
              </w:rPr>
              <w:t>max</w:t>
            </w:r>
          </w:p>
        </w:tc>
        <w:tc>
          <w:tcPr>
            <w:tcW w:w="669" w:type="dxa"/>
            <w:tcBorders>
              <w:bottom w:val="single" w:sz="12" w:space="0" w:color="auto"/>
            </w:tcBorders>
            <w:tcMar>
              <w:top w:w="0" w:type="dxa"/>
              <w:left w:w="28" w:type="dxa"/>
              <w:bottom w:w="0" w:type="dxa"/>
              <w:right w:w="28" w:type="dxa"/>
            </w:tcMar>
            <w:vAlign w:val="center"/>
          </w:tcPr>
          <w:p w14:paraId="434A8D5E" w14:textId="77777777" w:rsidR="00505CC7" w:rsidRPr="00396230" w:rsidRDefault="00505CC7" w:rsidP="00956B49">
            <w:pPr>
              <w:spacing w:before="20" w:after="20" w:line="240" w:lineRule="auto"/>
              <w:jc w:val="center"/>
              <w:rPr>
                <w:b/>
                <w:bCs/>
                <w:i/>
                <w:sz w:val="16"/>
                <w:szCs w:val="16"/>
                <w:lang w:val="en-US"/>
              </w:rPr>
            </w:pPr>
            <w:r w:rsidRPr="00396230">
              <w:rPr>
                <w:b/>
                <w:bCs/>
                <w:i/>
                <w:sz w:val="16"/>
                <w:szCs w:val="16"/>
                <w:lang w:val="en-US"/>
              </w:rPr>
              <w:t>min</w:t>
            </w:r>
          </w:p>
        </w:tc>
        <w:tc>
          <w:tcPr>
            <w:tcW w:w="709" w:type="dxa"/>
            <w:tcBorders>
              <w:bottom w:val="single" w:sz="12" w:space="0" w:color="auto"/>
            </w:tcBorders>
            <w:tcMar>
              <w:top w:w="0" w:type="dxa"/>
              <w:left w:w="28" w:type="dxa"/>
              <w:bottom w:w="0" w:type="dxa"/>
              <w:right w:w="28" w:type="dxa"/>
            </w:tcMar>
            <w:vAlign w:val="center"/>
          </w:tcPr>
          <w:p w14:paraId="1E1E264B" w14:textId="77777777" w:rsidR="00505CC7" w:rsidRPr="00396230" w:rsidRDefault="00505CC7" w:rsidP="00956B49">
            <w:pPr>
              <w:spacing w:before="20" w:after="20" w:line="240" w:lineRule="auto"/>
              <w:jc w:val="center"/>
              <w:rPr>
                <w:b/>
                <w:bCs/>
                <w:i/>
                <w:sz w:val="16"/>
                <w:szCs w:val="16"/>
                <w:lang w:val="en-US"/>
              </w:rPr>
            </w:pPr>
            <w:r w:rsidRPr="00396230">
              <w:rPr>
                <w:b/>
                <w:bCs/>
                <w:i/>
                <w:sz w:val="16"/>
                <w:szCs w:val="16"/>
                <w:lang w:val="en-US"/>
              </w:rPr>
              <w:t>max</w:t>
            </w:r>
          </w:p>
        </w:tc>
      </w:tr>
      <w:tr w:rsidR="00505CC7" w:rsidRPr="00396230" w14:paraId="3EBDCFF3" w14:textId="77777777" w:rsidTr="00956B49">
        <w:trPr>
          <w:jc w:val="center"/>
        </w:trPr>
        <w:tc>
          <w:tcPr>
            <w:tcW w:w="314" w:type="dxa"/>
            <w:vMerge/>
            <w:tcMar>
              <w:top w:w="0" w:type="dxa"/>
              <w:left w:w="28" w:type="dxa"/>
              <w:bottom w:w="0" w:type="dxa"/>
              <w:right w:w="28" w:type="dxa"/>
            </w:tcMar>
            <w:vAlign w:val="center"/>
          </w:tcPr>
          <w:p w14:paraId="43A1A074" w14:textId="77777777" w:rsidR="00505CC7" w:rsidRPr="00396230" w:rsidRDefault="00505CC7" w:rsidP="00956B49">
            <w:pPr>
              <w:spacing w:before="20" w:after="20" w:line="240" w:lineRule="auto"/>
              <w:jc w:val="center"/>
              <w:rPr>
                <w:sz w:val="16"/>
                <w:szCs w:val="16"/>
                <w:lang w:val="en-US"/>
              </w:rPr>
            </w:pPr>
          </w:p>
        </w:tc>
        <w:tc>
          <w:tcPr>
            <w:tcW w:w="1699" w:type="dxa"/>
            <w:tcMar>
              <w:top w:w="0" w:type="dxa"/>
              <w:left w:w="28" w:type="dxa"/>
              <w:bottom w:w="0" w:type="dxa"/>
              <w:right w:w="28" w:type="dxa"/>
            </w:tcMar>
            <w:vAlign w:val="center"/>
          </w:tcPr>
          <w:p w14:paraId="2A95693E" w14:textId="77777777" w:rsidR="00505CC7" w:rsidRPr="00396230" w:rsidRDefault="00505CC7" w:rsidP="00956B49">
            <w:pPr>
              <w:spacing w:before="20" w:after="20" w:line="240" w:lineRule="auto"/>
              <w:rPr>
                <w:sz w:val="16"/>
                <w:szCs w:val="16"/>
                <w:lang w:val="en-US"/>
              </w:rPr>
            </w:pPr>
            <w:r w:rsidRPr="00396230">
              <w:rPr>
                <w:sz w:val="16"/>
                <w:szCs w:val="16"/>
                <w:lang w:val="en-US"/>
              </w:rPr>
              <w:t>Zone III</w:t>
            </w:r>
          </w:p>
        </w:tc>
        <w:tc>
          <w:tcPr>
            <w:tcW w:w="1701" w:type="dxa"/>
            <w:gridSpan w:val="2"/>
            <w:tcMar>
              <w:top w:w="0" w:type="dxa"/>
              <w:left w:w="28" w:type="dxa"/>
              <w:bottom w:w="0" w:type="dxa"/>
              <w:right w:w="28" w:type="dxa"/>
            </w:tcMar>
            <w:vAlign w:val="center"/>
          </w:tcPr>
          <w:p w14:paraId="40F346F7"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As specified in Table 9</w:t>
            </w:r>
          </w:p>
        </w:tc>
        <w:tc>
          <w:tcPr>
            <w:tcW w:w="706" w:type="dxa"/>
            <w:tcMar>
              <w:top w:w="0" w:type="dxa"/>
              <w:left w:w="28" w:type="dxa"/>
              <w:bottom w:w="0" w:type="dxa"/>
              <w:right w:w="28" w:type="dxa"/>
            </w:tcMar>
            <w:vAlign w:val="center"/>
          </w:tcPr>
          <w:p w14:paraId="4FF64A98"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w:t>
            </w:r>
          </w:p>
        </w:tc>
        <w:tc>
          <w:tcPr>
            <w:tcW w:w="570" w:type="dxa"/>
            <w:vAlign w:val="center"/>
          </w:tcPr>
          <w:p w14:paraId="36989365"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6.25∙10</w:t>
            </w:r>
            <w:r w:rsidRPr="00396230">
              <w:rPr>
                <w:sz w:val="16"/>
                <w:szCs w:val="16"/>
                <w:vertAlign w:val="superscript"/>
                <w:lang w:val="en-US"/>
              </w:rPr>
              <w:t>2</w:t>
            </w:r>
          </w:p>
        </w:tc>
        <w:tc>
          <w:tcPr>
            <w:tcW w:w="708" w:type="dxa"/>
            <w:tcMar>
              <w:top w:w="0" w:type="dxa"/>
              <w:left w:w="28" w:type="dxa"/>
              <w:bottom w:w="0" w:type="dxa"/>
              <w:right w:w="28" w:type="dxa"/>
            </w:tcMar>
            <w:vAlign w:val="center"/>
          </w:tcPr>
          <w:p w14:paraId="165B4BEE"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w:t>
            </w:r>
          </w:p>
        </w:tc>
        <w:tc>
          <w:tcPr>
            <w:tcW w:w="709" w:type="dxa"/>
            <w:tcMar>
              <w:top w:w="0" w:type="dxa"/>
              <w:left w:w="28" w:type="dxa"/>
              <w:bottom w:w="0" w:type="dxa"/>
              <w:right w:w="28" w:type="dxa"/>
            </w:tcMar>
            <w:vAlign w:val="center"/>
          </w:tcPr>
          <w:p w14:paraId="477CB2D1"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6.25∙10</w:t>
            </w:r>
            <w:r w:rsidRPr="00396230">
              <w:rPr>
                <w:sz w:val="16"/>
                <w:szCs w:val="16"/>
                <w:vertAlign w:val="superscript"/>
                <w:lang w:val="en-US"/>
              </w:rPr>
              <w:t>2</w:t>
            </w:r>
          </w:p>
        </w:tc>
        <w:tc>
          <w:tcPr>
            <w:tcW w:w="709" w:type="dxa"/>
            <w:tcMar>
              <w:top w:w="0" w:type="dxa"/>
              <w:left w:w="28" w:type="dxa"/>
              <w:bottom w:w="0" w:type="dxa"/>
              <w:right w:w="28" w:type="dxa"/>
            </w:tcMar>
            <w:vAlign w:val="center"/>
          </w:tcPr>
          <w:p w14:paraId="15E4CF19"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w:t>
            </w:r>
          </w:p>
        </w:tc>
        <w:tc>
          <w:tcPr>
            <w:tcW w:w="748" w:type="dxa"/>
            <w:tcMar>
              <w:top w:w="0" w:type="dxa"/>
              <w:left w:w="28" w:type="dxa"/>
              <w:bottom w:w="0" w:type="dxa"/>
              <w:right w:w="28" w:type="dxa"/>
            </w:tcMar>
            <w:vAlign w:val="center"/>
          </w:tcPr>
          <w:p w14:paraId="05E9BD64"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8.80∙10</w:t>
            </w:r>
            <w:r w:rsidRPr="00396230">
              <w:rPr>
                <w:sz w:val="16"/>
                <w:szCs w:val="16"/>
                <w:vertAlign w:val="superscript"/>
                <w:lang w:val="en-US"/>
              </w:rPr>
              <w:t>2</w:t>
            </w:r>
          </w:p>
        </w:tc>
        <w:tc>
          <w:tcPr>
            <w:tcW w:w="669" w:type="dxa"/>
            <w:tcMar>
              <w:top w:w="0" w:type="dxa"/>
              <w:left w:w="28" w:type="dxa"/>
              <w:bottom w:w="0" w:type="dxa"/>
              <w:right w:w="28" w:type="dxa"/>
            </w:tcMar>
            <w:vAlign w:val="center"/>
          </w:tcPr>
          <w:p w14:paraId="7313477E"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w:t>
            </w:r>
          </w:p>
        </w:tc>
        <w:tc>
          <w:tcPr>
            <w:tcW w:w="709" w:type="dxa"/>
            <w:tcMar>
              <w:top w:w="0" w:type="dxa"/>
              <w:left w:w="28" w:type="dxa"/>
              <w:bottom w:w="0" w:type="dxa"/>
              <w:right w:w="28" w:type="dxa"/>
            </w:tcMar>
            <w:vAlign w:val="center"/>
          </w:tcPr>
          <w:p w14:paraId="45AAA662"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8.80∙10</w:t>
            </w:r>
            <w:r w:rsidRPr="00396230">
              <w:rPr>
                <w:sz w:val="16"/>
                <w:szCs w:val="16"/>
                <w:vertAlign w:val="superscript"/>
                <w:lang w:val="en-US"/>
              </w:rPr>
              <w:t>2</w:t>
            </w:r>
          </w:p>
        </w:tc>
      </w:tr>
      <w:tr w:rsidR="00505CC7" w:rsidRPr="00396230" w14:paraId="2C1F572E" w14:textId="77777777" w:rsidTr="00956B49">
        <w:trPr>
          <w:jc w:val="center"/>
        </w:trPr>
        <w:tc>
          <w:tcPr>
            <w:tcW w:w="314" w:type="dxa"/>
            <w:vMerge/>
            <w:tcMar>
              <w:top w:w="0" w:type="dxa"/>
              <w:left w:w="28" w:type="dxa"/>
              <w:bottom w:w="0" w:type="dxa"/>
              <w:right w:w="28" w:type="dxa"/>
            </w:tcMar>
            <w:vAlign w:val="center"/>
          </w:tcPr>
          <w:p w14:paraId="12DF68A9" w14:textId="77777777" w:rsidR="00505CC7" w:rsidRPr="00396230" w:rsidRDefault="00505CC7" w:rsidP="00956B49">
            <w:pPr>
              <w:spacing w:before="20" w:after="20" w:line="240" w:lineRule="auto"/>
              <w:jc w:val="center"/>
              <w:rPr>
                <w:sz w:val="16"/>
                <w:szCs w:val="16"/>
                <w:lang w:val="en-US"/>
              </w:rPr>
            </w:pPr>
          </w:p>
        </w:tc>
        <w:tc>
          <w:tcPr>
            <w:tcW w:w="1699" w:type="dxa"/>
            <w:tcMar>
              <w:top w:w="0" w:type="dxa"/>
              <w:left w:w="28" w:type="dxa"/>
              <w:bottom w:w="0" w:type="dxa"/>
              <w:right w:w="28" w:type="dxa"/>
            </w:tcMar>
            <w:vAlign w:val="center"/>
          </w:tcPr>
          <w:p w14:paraId="1FBEC488" w14:textId="77777777" w:rsidR="00505CC7" w:rsidRPr="00396230" w:rsidRDefault="00505CC7" w:rsidP="00956B49">
            <w:pPr>
              <w:spacing w:before="20" w:after="20" w:line="240" w:lineRule="auto"/>
              <w:rPr>
                <w:sz w:val="16"/>
                <w:szCs w:val="16"/>
                <w:lang w:val="en-US"/>
              </w:rPr>
            </w:pPr>
            <w:r w:rsidRPr="00396230">
              <w:rPr>
                <w:sz w:val="16"/>
                <w:szCs w:val="16"/>
                <w:lang w:val="en-US"/>
              </w:rPr>
              <w:t>S50+S50LL+S50RR</w:t>
            </w:r>
          </w:p>
        </w:tc>
        <w:tc>
          <w:tcPr>
            <w:tcW w:w="1701" w:type="dxa"/>
            <w:gridSpan w:val="2"/>
            <w:tcMar>
              <w:top w:w="0" w:type="dxa"/>
              <w:left w:w="28" w:type="dxa"/>
              <w:bottom w:w="0" w:type="dxa"/>
              <w:right w:w="28" w:type="dxa"/>
            </w:tcMar>
            <w:vAlign w:val="center"/>
          </w:tcPr>
          <w:p w14:paraId="74866487"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As specified in Table 11</w:t>
            </w:r>
          </w:p>
        </w:tc>
        <w:tc>
          <w:tcPr>
            <w:tcW w:w="706" w:type="dxa"/>
            <w:tcMar>
              <w:top w:w="0" w:type="dxa"/>
              <w:left w:w="28" w:type="dxa"/>
              <w:bottom w:w="0" w:type="dxa"/>
              <w:right w:w="28" w:type="dxa"/>
            </w:tcMar>
            <w:vAlign w:val="center"/>
          </w:tcPr>
          <w:p w14:paraId="62CB880D"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1.90∙10</w:t>
            </w:r>
            <w:r w:rsidRPr="00396230">
              <w:rPr>
                <w:sz w:val="16"/>
                <w:szCs w:val="16"/>
                <w:vertAlign w:val="superscript"/>
                <w:lang w:val="en-US"/>
              </w:rPr>
              <w:t>2</w:t>
            </w:r>
            <w:r w:rsidRPr="00396230">
              <w:rPr>
                <w:sz w:val="16"/>
                <w:szCs w:val="16"/>
                <w:lang w:val="en-US"/>
              </w:rPr>
              <w:t xml:space="preserve"> </w:t>
            </w:r>
            <w:r w:rsidRPr="00396230">
              <w:rPr>
                <w:rStyle w:val="FootnoteReference"/>
                <w:sz w:val="16"/>
                <w:szCs w:val="16"/>
                <w:lang w:val="en-US"/>
              </w:rPr>
              <w:t>d</w:t>
            </w:r>
          </w:p>
        </w:tc>
        <w:tc>
          <w:tcPr>
            <w:tcW w:w="570" w:type="dxa"/>
            <w:vAlign w:val="center"/>
          </w:tcPr>
          <w:p w14:paraId="352F420D"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w:t>
            </w:r>
          </w:p>
        </w:tc>
        <w:tc>
          <w:tcPr>
            <w:tcW w:w="708" w:type="dxa"/>
            <w:tcMar>
              <w:top w:w="0" w:type="dxa"/>
              <w:left w:w="28" w:type="dxa"/>
              <w:bottom w:w="0" w:type="dxa"/>
              <w:right w:w="28" w:type="dxa"/>
            </w:tcMar>
            <w:vAlign w:val="center"/>
          </w:tcPr>
          <w:p w14:paraId="7105B2B4"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w:t>
            </w:r>
          </w:p>
        </w:tc>
        <w:tc>
          <w:tcPr>
            <w:tcW w:w="709" w:type="dxa"/>
            <w:tcMar>
              <w:top w:w="0" w:type="dxa"/>
              <w:left w:w="28" w:type="dxa"/>
              <w:bottom w:w="0" w:type="dxa"/>
              <w:right w:w="28" w:type="dxa"/>
            </w:tcMar>
            <w:vAlign w:val="center"/>
          </w:tcPr>
          <w:p w14:paraId="02A59643"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w:t>
            </w:r>
          </w:p>
        </w:tc>
        <w:tc>
          <w:tcPr>
            <w:tcW w:w="709" w:type="dxa"/>
            <w:tcMar>
              <w:top w:w="0" w:type="dxa"/>
              <w:left w:w="28" w:type="dxa"/>
              <w:bottom w:w="0" w:type="dxa"/>
              <w:right w:w="28" w:type="dxa"/>
            </w:tcMar>
            <w:vAlign w:val="center"/>
          </w:tcPr>
          <w:p w14:paraId="258226FD"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1.90∙10</w:t>
            </w:r>
            <w:r w:rsidRPr="00396230">
              <w:rPr>
                <w:sz w:val="16"/>
                <w:szCs w:val="16"/>
                <w:vertAlign w:val="superscript"/>
                <w:lang w:val="en-US"/>
              </w:rPr>
              <w:t>2</w:t>
            </w:r>
            <w:r w:rsidRPr="00396230">
              <w:rPr>
                <w:rStyle w:val="FootnoteReference"/>
                <w:sz w:val="16"/>
                <w:szCs w:val="16"/>
                <w:lang w:val="en-US"/>
              </w:rPr>
              <w:t xml:space="preserve"> d</w:t>
            </w:r>
          </w:p>
        </w:tc>
        <w:tc>
          <w:tcPr>
            <w:tcW w:w="748" w:type="dxa"/>
            <w:tcMar>
              <w:top w:w="0" w:type="dxa"/>
              <w:left w:w="28" w:type="dxa"/>
              <w:bottom w:w="0" w:type="dxa"/>
              <w:right w:w="28" w:type="dxa"/>
            </w:tcMar>
            <w:vAlign w:val="center"/>
          </w:tcPr>
          <w:p w14:paraId="0D1E768E"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w:t>
            </w:r>
          </w:p>
        </w:tc>
        <w:tc>
          <w:tcPr>
            <w:tcW w:w="669" w:type="dxa"/>
            <w:tcMar>
              <w:top w:w="0" w:type="dxa"/>
              <w:left w:w="28" w:type="dxa"/>
              <w:bottom w:w="0" w:type="dxa"/>
              <w:right w:w="28" w:type="dxa"/>
            </w:tcMar>
            <w:vAlign w:val="center"/>
          </w:tcPr>
          <w:p w14:paraId="64B6EA5E"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1.90∙10</w:t>
            </w:r>
            <w:r w:rsidRPr="00396230">
              <w:rPr>
                <w:sz w:val="16"/>
                <w:szCs w:val="16"/>
                <w:vertAlign w:val="superscript"/>
                <w:lang w:val="en-US"/>
              </w:rPr>
              <w:t>2 d</w:t>
            </w:r>
          </w:p>
        </w:tc>
        <w:tc>
          <w:tcPr>
            <w:tcW w:w="709" w:type="dxa"/>
            <w:tcMar>
              <w:top w:w="0" w:type="dxa"/>
              <w:left w:w="28" w:type="dxa"/>
              <w:bottom w:w="0" w:type="dxa"/>
              <w:right w:w="28" w:type="dxa"/>
            </w:tcMar>
            <w:vAlign w:val="center"/>
          </w:tcPr>
          <w:p w14:paraId="584A0E9C"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w:t>
            </w:r>
          </w:p>
        </w:tc>
      </w:tr>
      <w:tr w:rsidR="00505CC7" w:rsidRPr="00396230" w14:paraId="70EC5D93" w14:textId="77777777" w:rsidTr="00956B49">
        <w:trPr>
          <w:jc w:val="center"/>
        </w:trPr>
        <w:tc>
          <w:tcPr>
            <w:tcW w:w="314" w:type="dxa"/>
            <w:vMerge/>
            <w:tcMar>
              <w:top w:w="0" w:type="dxa"/>
              <w:left w:w="28" w:type="dxa"/>
              <w:bottom w:w="0" w:type="dxa"/>
              <w:right w:w="28" w:type="dxa"/>
            </w:tcMar>
            <w:vAlign w:val="center"/>
          </w:tcPr>
          <w:p w14:paraId="496057C0" w14:textId="77777777" w:rsidR="00505CC7" w:rsidRPr="00396230" w:rsidRDefault="00505CC7" w:rsidP="00956B49">
            <w:pPr>
              <w:spacing w:before="20" w:after="20" w:line="240" w:lineRule="auto"/>
              <w:jc w:val="center"/>
              <w:rPr>
                <w:sz w:val="16"/>
                <w:szCs w:val="16"/>
                <w:lang w:val="en-US"/>
              </w:rPr>
            </w:pPr>
          </w:p>
        </w:tc>
        <w:tc>
          <w:tcPr>
            <w:tcW w:w="1699" w:type="dxa"/>
            <w:tcMar>
              <w:top w:w="0" w:type="dxa"/>
              <w:left w:w="28" w:type="dxa"/>
              <w:bottom w:w="0" w:type="dxa"/>
              <w:right w:w="28" w:type="dxa"/>
            </w:tcMar>
            <w:vAlign w:val="center"/>
          </w:tcPr>
          <w:p w14:paraId="10134B00" w14:textId="77777777" w:rsidR="00505CC7" w:rsidRPr="00396230" w:rsidRDefault="00505CC7" w:rsidP="00956B49">
            <w:pPr>
              <w:spacing w:before="20" w:after="20" w:line="240" w:lineRule="auto"/>
              <w:rPr>
                <w:sz w:val="16"/>
                <w:szCs w:val="16"/>
                <w:lang w:val="en-US"/>
              </w:rPr>
            </w:pPr>
            <w:r w:rsidRPr="00396230">
              <w:rPr>
                <w:sz w:val="16"/>
                <w:szCs w:val="16"/>
                <w:lang w:val="en-US"/>
              </w:rPr>
              <w:t>S100+S100LL+S100RR</w:t>
            </w:r>
          </w:p>
        </w:tc>
        <w:tc>
          <w:tcPr>
            <w:tcW w:w="1701" w:type="dxa"/>
            <w:gridSpan w:val="2"/>
            <w:tcMar>
              <w:top w:w="0" w:type="dxa"/>
              <w:left w:w="28" w:type="dxa"/>
              <w:bottom w:w="0" w:type="dxa"/>
              <w:right w:w="28" w:type="dxa"/>
            </w:tcMar>
            <w:vAlign w:val="center"/>
          </w:tcPr>
          <w:p w14:paraId="4F310834"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As specified in Table 11</w:t>
            </w:r>
          </w:p>
        </w:tc>
        <w:tc>
          <w:tcPr>
            <w:tcW w:w="706" w:type="dxa"/>
            <w:tcMar>
              <w:top w:w="0" w:type="dxa"/>
              <w:left w:w="28" w:type="dxa"/>
              <w:bottom w:w="0" w:type="dxa"/>
              <w:right w:w="28" w:type="dxa"/>
            </w:tcMar>
            <w:vAlign w:val="center"/>
          </w:tcPr>
          <w:p w14:paraId="27149E7D"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3.75∙10</w:t>
            </w:r>
            <w:r w:rsidRPr="00396230">
              <w:rPr>
                <w:strike/>
                <w:sz w:val="16"/>
                <w:szCs w:val="16"/>
                <w:vertAlign w:val="superscript"/>
                <w:lang w:val="en-US"/>
              </w:rPr>
              <w:t>3</w:t>
            </w:r>
            <w:r w:rsidRPr="00396230">
              <w:rPr>
                <w:b/>
                <w:bCs/>
                <w:sz w:val="16"/>
                <w:szCs w:val="16"/>
                <w:vertAlign w:val="superscript"/>
                <w:lang w:val="en-US"/>
              </w:rPr>
              <w:t>2</w:t>
            </w:r>
            <w:r w:rsidRPr="00396230">
              <w:rPr>
                <w:sz w:val="16"/>
                <w:szCs w:val="16"/>
                <w:vertAlign w:val="superscript"/>
                <w:lang w:val="en-US"/>
              </w:rPr>
              <w:t xml:space="preserve"> </w:t>
            </w:r>
            <w:r w:rsidRPr="00396230">
              <w:rPr>
                <w:rStyle w:val="FootnoteReference"/>
                <w:sz w:val="16"/>
                <w:szCs w:val="16"/>
                <w:lang w:val="en-US"/>
              </w:rPr>
              <w:t>d</w:t>
            </w:r>
          </w:p>
        </w:tc>
        <w:tc>
          <w:tcPr>
            <w:tcW w:w="570" w:type="dxa"/>
            <w:vAlign w:val="center"/>
          </w:tcPr>
          <w:p w14:paraId="5D10F4F4"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w:t>
            </w:r>
          </w:p>
        </w:tc>
        <w:tc>
          <w:tcPr>
            <w:tcW w:w="708" w:type="dxa"/>
            <w:tcMar>
              <w:top w:w="0" w:type="dxa"/>
              <w:left w:w="28" w:type="dxa"/>
              <w:bottom w:w="0" w:type="dxa"/>
              <w:right w:w="28" w:type="dxa"/>
            </w:tcMar>
            <w:vAlign w:val="center"/>
          </w:tcPr>
          <w:p w14:paraId="6E9222C8"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w:t>
            </w:r>
          </w:p>
        </w:tc>
        <w:tc>
          <w:tcPr>
            <w:tcW w:w="709" w:type="dxa"/>
            <w:tcMar>
              <w:top w:w="0" w:type="dxa"/>
              <w:left w:w="28" w:type="dxa"/>
              <w:bottom w:w="0" w:type="dxa"/>
              <w:right w:w="28" w:type="dxa"/>
            </w:tcMar>
            <w:vAlign w:val="center"/>
          </w:tcPr>
          <w:p w14:paraId="774D534E"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w:t>
            </w:r>
          </w:p>
        </w:tc>
        <w:tc>
          <w:tcPr>
            <w:tcW w:w="709" w:type="dxa"/>
            <w:tcMar>
              <w:top w:w="0" w:type="dxa"/>
              <w:left w:w="28" w:type="dxa"/>
              <w:bottom w:w="0" w:type="dxa"/>
              <w:right w:w="28" w:type="dxa"/>
            </w:tcMar>
            <w:vAlign w:val="center"/>
          </w:tcPr>
          <w:p w14:paraId="6C81D2E4"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3.75∙10</w:t>
            </w:r>
            <w:r w:rsidRPr="00396230">
              <w:rPr>
                <w:sz w:val="16"/>
                <w:szCs w:val="16"/>
                <w:vertAlign w:val="superscript"/>
                <w:lang w:val="en-US"/>
              </w:rPr>
              <w:t>2</w:t>
            </w:r>
            <w:r w:rsidRPr="00396230">
              <w:rPr>
                <w:rStyle w:val="FootnoteReference"/>
                <w:sz w:val="16"/>
                <w:szCs w:val="16"/>
                <w:lang w:val="en-US"/>
              </w:rPr>
              <w:t xml:space="preserve"> d</w:t>
            </w:r>
          </w:p>
        </w:tc>
        <w:tc>
          <w:tcPr>
            <w:tcW w:w="748" w:type="dxa"/>
            <w:tcMar>
              <w:top w:w="0" w:type="dxa"/>
              <w:left w:w="28" w:type="dxa"/>
              <w:bottom w:w="0" w:type="dxa"/>
              <w:right w:w="28" w:type="dxa"/>
            </w:tcMar>
            <w:vAlign w:val="center"/>
          </w:tcPr>
          <w:p w14:paraId="4B8462E6"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w:t>
            </w:r>
          </w:p>
        </w:tc>
        <w:tc>
          <w:tcPr>
            <w:tcW w:w="669" w:type="dxa"/>
            <w:tcMar>
              <w:top w:w="0" w:type="dxa"/>
              <w:left w:w="28" w:type="dxa"/>
              <w:bottom w:w="0" w:type="dxa"/>
              <w:right w:w="28" w:type="dxa"/>
            </w:tcMar>
            <w:vAlign w:val="center"/>
          </w:tcPr>
          <w:p w14:paraId="30D2E4F3"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3.75∙10</w:t>
            </w:r>
            <w:r w:rsidRPr="00396230">
              <w:rPr>
                <w:sz w:val="16"/>
                <w:szCs w:val="16"/>
                <w:vertAlign w:val="superscript"/>
                <w:lang w:val="en-US"/>
              </w:rPr>
              <w:t>2 d</w:t>
            </w:r>
          </w:p>
        </w:tc>
        <w:tc>
          <w:tcPr>
            <w:tcW w:w="709" w:type="dxa"/>
            <w:tcMar>
              <w:top w:w="0" w:type="dxa"/>
              <w:left w:w="28" w:type="dxa"/>
              <w:bottom w:w="0" w:type="dxa"/>
              <w:right w:w="28" w:type="dxa"/>
            </w:tcMar>
            <w:vAlign w:val="center"/>
          </w:tcPr>
          <w:p w14:paraId="25A61E7D"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w:t>
            </w:r>
          </w:p>
        </w:tc>
      </w:tr>
      <w:tr w:rsidR="00505CC7" w:rsidRPr="00396230" w14:paraId="40C44019" w14:textId="77777777" w:rsidTr="00956B49">
        <w:trPr>
          <w:jc w:val="center"/>
        </w:trPr>
        <w:tc>
          <w:tcPr>
            <w:tcW w:w="314" w:type="dxa"/>
            <w:vMerge/>
            <w:tcMar>
              <w:top w:w="0" w:type="dxa"/>
              <w:left w:w="28" w:type="dxa"/>
              <w:bottom w:w="0" w:type="dxa"/>
              <w:right w:w="28" w:type="dxa"/>
            </w:tcMar>
            <w:vAlign w:val="center"/>
          </w:tcPr>
          <w:p w14:paraId="36CECB23" w14:textId="77777777" w:rsidR="00505CC7" w:rsidRPr="00396230" w:rsidRDefault="00505CC7" w:rsidP="00956B49">
            <w:pPr>
              <w:spacing w:before="20" w:after="20" w:line="240" w:lineRule="auto"/>
              <w:jc w:val="center"/>
              <w:rPr>
                <w:sz w:val="16"/>
                <w:szCs w:val="16"/>
                <w:lang w:val="en-US"/>
              </w:rPr>
            </w:pPr>
          </w:p>
        </w:tc>
        <w:tc>
          <w:tcPr>
            <w:tcW w:w="1699" w:type="dxa"/>
            <w:tcMar>
              <w:top w:w="0" w:type="dxa"/>
              <w:left w:w="28" w:type="dxa"/>
              <w:bottom w:w="0" w:type="dxa"/>
              <w:right w:w="28" w:type="dxa"/>
            </w:tcMar>
            <w:vAlign w:val="center"/>
          </w:tcPr>
          <w:p w14:paraId="3653C592" w14:textId="77777777" w:rsidR="00505CC7" w:rsidRPr="00396230" w:rsidRDefault="00505CC7" w:rsidP="00956B49">
            <w:pPr>
              <w:spacing w:before="20" w:after="20" w:line="240" w:lineRule="auto"/>
              <w:rPr>
                <w:sz w:val="16"/>
                <w:szCs w:val="16"/>
                <w:lang w:val="en-US"/>
              </w:rPr>
            </w:pPr>
            <w:r w:rsidRPr="00396230">
              <w:rPr>
                <w:sz w:val="16"/>
                <w:szCs w:val="16"/>
                <w:lang w:val="en-US"/>
              </w:rPr>
              <w:t>BR</w:t>
            </w:r>
          </w:p>
        </w:tc>
        <w:tc>
          <w:tcPr>
            <w:tcW w:w="709" w:type="dxa"/>
            <w:tcMar>
              <w:top w:w="0" w:type="dxa"/>
              <w:left w:w="28" w:type="dxa"/>
              <w:bottom w:w="0" w:type="dxa"/>
              <w:right w:w="28" w:type="dxa"/>
            </w:tcMar>
            <w:vAlign w:val="center"/>
          </w:tcPr>
          <w:p w14:paraId="46CF534C"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1°U</w:t>
            </w:r>
          </w:p>
        </w:tc>
        <w:tc>
          <w:tcPr>
            <w:tcW w:w="992" w:type="dxa"/>
            <w:tcMar>
              <w:top w:w="0" w:type="dxa"/>
              <w:left w:w="28" w:type="dxa"/>
              <w:bottom w:w="0" w:type="dxa"/>
              <w:right w:w="28" w:type="dxa"/>
            </w:tcMar>
            <w:vAlign w:val="center"/>
          </w:tcPr>
          <w:p w14:paraId="1ABB5B9C"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2.5°R</w:t>
            </w:r>
          </w:p>
        </w:tc>
        <w:tc>
          <w:tcPr>
            <w:tcW w:w="706" w:type="dxa"/>
            <w:tcMar>
              <w:top w:w="0" w:type="dxa"/>
              <w:left w:w="28" w:type="dxa"/>
              <w:bottom w:w="0" w:type="dxa"/>
              <w:right w:w="28" w:type="dxa"/>
            </w:tcMar>
            <w:vAlign w:val="center"/>
          </w:tcPr>
          <w:p w14:paraId="20B630B6"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w:t>
            </w:r>
          </w:p>
        </w:tc>
        <w:tc>
          <w:tcPr>
            <w:tcW w:w="570" w:type="dxa"/>
            <w:vAlign w:val="center"/>
          </w:tcPr>
          <w:p w14:paraId="08778312"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1.75∙10</w:t>
            </w:r>
            <w:r w:rsidRPr="00396230">
              <w:rPr>
                <w:sz w:val="16"/>
                <w:szCs w:val="16"/>
                <w:vertAlign w:val="superscript"/>
                <w:lang w:val="en-US"/>
              </w:rPr>
              <w:t>3</w:t>
            </w:r>
          </w:p>
        </w:tc>
        <w:tc>
          <w:tcPr>
            <w:tcW w:w="708" w:type="dxa"/>
            <w:tcMar>
              <w:top w:w="0" w:type="dxa"/>
              <w:left w:w="28" w:type="dxa"/>
              <w:bottom w:w="0" w:type="dxa"/>
              <w:right w:w="28" w:type="dxa"/>
            </w:tcMar>
            <w:vAlign w:val="center"/>
          </w:tcPr>
          <w:p w14:paraId="6BEC11EB" w14:textId="77777777" w:rsidR="00505CC7" w:rsidRPr="00396230" w:rsidRDefault="00505CC7" w:rsidP="00956B49">
            <w:pPr>
              <w:spacing w:before="20" w:after="20" w:line="240" w:lineRule="auto"/>
              <w:jc w:val="center"/>
              <w:rPr>
                <w:sz w:val="16"/>
                <w:szCs w:val="16"/>
                <w:lang w:val="en-US"/>
              </w:rPr>
            </w:pPr>
          </w:p>
        </w:tc>
        <w:tc>
          <w:tcPr>
            <w:tcW w:w="709" w:type="dxa"/>
            <w:tcMar>
              <w:top w:w="0" w:type="dxa"/>
              <w:left w:w="28" w:type="dxa"/>
              <w:bottom w:w="0" w:type="dxa"/>
              <w:right w:w="28" w:type="dxa"/>
            </w:tcMar>
            <w:vAlign w:val="center"/>
          </w:tcPr>
          <w:p w14:paraId="5A78500B"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1.75∙10</w:t>
            </w:r>
            <w:r w:rsidRPr="00396230">
              <w:rPr>
                <w:sz w:val="16"/>
                <w:szCs w:val="16"/>
                <w:vertAlign w:val="superscript"/>
                <w:lang w:val="en-US"/>
              </w:rPr>
              <w:t>3</w:t>
            </w:r>
          </w:p>
        </w:tc>
        <w:tc>
          <w:tcPr>
            <w:tcW w:w="709" w:type="dxa"/>
            <w:tcMar>
              <w:top w:w="0" w:type="dxa"/>
              <w:left w:w="28" w:type="dxa"/>
              <w:bottom w:w="0" w:type="dxa"/>
              <w:right w:w="28" w:type="dxa"/>
            </w:tcMar>
            <w:vAlign w:val="center"/>
          </w:tcPr>
          <w:p w14:paraId="54A39095"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w:t>
            </w:r>
          </w:p>
        </w:tc>
        <w:tc>
          <w:tcPr>
            <w:tcW w:w="748" w:type="dxa"/>
            <w:tcMar>
              <w:top w:w="0" w:type="dxa"/>
              <w:left w:w="28" w:type="dxa"/>
              <w:bottom w:w="0" w:type="dxa"/>
              <w:right w:w="28" w:type="dxa"/>
            </w:tcMar>
            <w:vAlign w:val="center"/>
          </w:tcPr>
          <w:p w14:paraId="21EE951F"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1.75∙10</w:t>
            </w:r>
            <w:r w:rsidRPr="00396230">
              <w:rPr>
                <w:sz w:val="16"/>
                <w:szCs w:val="16"/>
                <w:vertAlign w:val="superscript"/>
                <w:lang w:val="en-US"/>
              </w:rPr>
              <w:t>3</w:t>
            </w:r>
          </w:p>
        </w:tc>
        <w:tc>
          <w:tcPr>
            <w:tcW w:w="669" w:type="dxa"/>
            <w:tcMar>
              <w:top w:w="0" w:type="dxa"/>
              <w:left w:w="28" w:type="dxa"/>
              <w:bottom w:w="0" w:type="dxa"/>
              <w:right w:w="28" w:type="dxa"/>
            </w:tcMar>
            <w:vAlign w:val="center"/>
          </w:tcPr>
          <w:p w14:paraId="58DB9CCD"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w:t>
            </w:r>
          </w:p>
        </w:tc>
        <w:tc>
          <w:tcPr>
            <w:tcW w:w="709" w:type="dxa"/>
            <w:tcMar>
              <w:top w:w="0" w:type="dxa"/>
              <w:left w:w="28" w:type="dxa"/>
              <w:bottom w:w="0" w:type="dxa"/>
              <w:right w:w="28" w:type="dxa"/>
            </w:tcMar>
            <w:vAlign w:val="center"/>
          </w:tcPr>
          <w:p w14:paraId="7C1B5CCE"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2.65∙10</w:t>
            </w:r>
            <w:r w:rsidRPr="00396230">
              <w:rPr>
                <w:sz w:val="16"/>
                <w:szCs w:val="16"/>
                <w:vertAlign w:val="superscript"/>
                <w:lang w:val="en-US"/>
              </w:rPr>
              <w:t>3</w:t>
            </w:r>
          </w:p>
        </w:tc>
      </w:tr>
    </w:tbl>
    <w:p w14:paraId="414B744B" w14:textId="77777777" w:rsidR="00505CC7" w:rsidRPr="00396230" w:rsidRDefault="00505CC7" w:rsidP="00505CC7">
      <w:pPr>
        <w:spacing w:after="120"/>
        <w:ind w:left="2268" w:right="1395" w:hanging="1134"/>
        <w:jc w:val="both"/>
        <w:rPr>
          <w:i/>
          <w:lang w:val="en-US"/>
        </w:rPr>
      </w:pPr>
      <w:r w:rsidRPr="00396230">
        <w:rPr>
          <w:i/>
          <w:lang w:val="en-US"/>
        </w:rPr>
        <w:t xml:space="preserve">… </w:t>
      </w:r>
    </w:p>
    <w:tbl>
      <w:tblPr>
        <w:tblStyle w:val="TableGrid"/>
        <w:tblW w:w="9242" w:type="dxa"/>
        <w:jc w:val="center"/>
        <w:tblLayout w:type="fixed"/>
        <w:tblLook w:val="04A0" w:firstRow="1" w:lastRow="0" w:firstColumn="1" w:lastColumn="0" w:noHBand="0" w:noVBand="1"/>
      </w:tblPr>
      <w:tblGrid>
        <w:gridCol w:w="314"/>
        <w:gridCol w:w="1699"/>
        <w:gridCol w:w="709"/>
        <w:gridCol w:w="992"/>
        <w:gridCol w:w="706"/>
        <w:gridCol w:w="570"/>
        <w:gridCol w:w="708"/>
        <w:gridCol w:w="709"/>
        <w:gridCol w:w="709"/>
        <w:gridCol w:w="748"/>
        <w:gridCol w:w="669"/>
        <w:gridCol w:w="709"/>
      </w:tblGrid>
      <w:tr w:rsidR="00505CC7" w:rsidRPr="00396230" w14:paraId="0CCEDD20" w14:textId="77777777" w:rsidTr="00505CC7">
        <w:trPr>
          <w:jc w:val="center"/>
        </w:trPr>
        <w:tc>
          <w:tcPr>
            <w:tcW w:w="314" w:type="dxa"/>
            <w:vMerge w:val="restart"/>
            <w:tcMar>
              <w:top w:w="0" w:type="dxa"/>
              <w:left w:w="28" w:type="dxa"/>
              <w:bottom w:w="0" w:type="dxa"/>
              <w:right w:w="28" w:type="dxa"/>
            </w:tcMar>
            <w:textDirection w:val="btLr"/>
            <w:vAlign w:val="center"/>
          </w:tcPr>
          <w:p w14:paraId="7C095812" w14:textId="6713B933" w:rsidR="00505CC7" w:rsidRPr="00396230" w:rsidRDefault="00505CC7" w:rsidP="00505CC7">
            <w:pPr>
              <w:spacing w:before="20" w:after="20" w:line="240" w:lineRule="auto"/>
              <w:ind w:left="113" w:right="113"/>
              <w:jc w:val="center"/>
              <w:rPr>
                <w:sz w:val="16"/>
                <w:szCs w:val="16"/>
                <w:lang w:val="en-US"/>
              </w:rPr>
            </w:pPr>
            <w:r w:rsidRPr="00396230">
              <w:rPr>
                <w:rStyle w:val="CommentReference"/>
                <w:sz w:val="18"/>
                <w:szCs w:val="18"/>
                <w:lang w:val="en-US"/>
              </w:rPr>
              <w:t>Part A</w:t>
            </w:r>
          </w:p>
        </w:tc>
        <w:tc>
          <w:tcPr>
            <w:tcW w:w="1699" w:type="dxa"/>
            <w:tcMar>
              <w:top w:w="0" w:type="dxa"/>
              <w:left w:w="28" w:type="dxa"/>
              <w:bottom w:w="0" w:type="dxa"/>
              <w:right w:w="28" w:type="dxa"/>
            </w:tcMar>
            <w:vAlign w:val="center"/>
          </w:tcPr>
          <w:p w14:paraId="0D84A919" w14:textId="77777777" w:rsidR="00505CC7" w:rsidRPr="00396230" w:rsidRDefault="00505CC7" w:rsidP="00956B49">
            <w:pPr>
              <w:spacing w:before="20" w:after="20" w:line="240" w:lineRule="auto"/>
              <w:rPr>
                <w:sz w:val="16"/>
                <w:szCs w:val="16"/>
                <w:lang w:val="en-US"/>
              </w:rPr>
            </w:pPr>
            <w:r w:rsidRPr="00396230">
              <w:rPr>
                <w:sz w:val="16"/>
                <w:szCs w:val="16"/>
                <w:lang w:val="en-US"/>
              </w:rPr>
              <w:t xml:space="preserve">Segment 10 </w:t>
            </w:r>
          </w:p>
        </w:tc>
        <w:tc>
          <w:tcPr>
            <w:tcW w:w="709" w:type="dxa"/>
            <w:tcMar>
              <w:top w:w="0" w:type="dxa"/>
              <w:left w:w="28" w:type="dxa"/>
              <w:bottom w:w="0" w:type="dxa"/>
              <w:right w:w="28" w:type="dxa"/>
            </w:tcMar>
            <w:vAlign w:val="center"/>
          </w:tcPr>
          <w:p w14:paraId="3557CF9E"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4°D</w:t>
            </w:r>
          </w:p>
        </w:tc>
        <w:tc>
          <w:tcPr>
            <w:tcW w:w="992" w:type="dxa"/>
            <w:tcMar>
              <w:top w:w="0" w:type="dxa"/>
              <w:left w:w="28" w:type="dxa"/>
              <w:bottom w:w="0" w:type="dxa"/>
              <w:right w:w="28" w:type="dxa"/>
            </w:tcMar>
            <w:vAlign w:val="center"/>
          </w:tcPr>
          <w:p w14:paraId="04C4A855"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4.5°L to 2°R</w:t>
            </w:r>
          </w:p>
        </w:tc>
        <w:tc>
          <w:tcPr>
            <w:tcW w:w="706" w:type="dxa"/>
            <w:tcMar>
              <w:top w:w="0" w:type="dxa"/>
              <w:left w:w="28" w:type="dxa"/>
              <w:bottom w:w="0" w:type="dxa"/>
              <w:right w:w="28" w:type="dxa"/>
            </w:tcMar>
            <w:vAlign w:val="center"/>
          </w:tcPr>
          <w:p w14:paraId="077A86BF"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5.00∙10</w:t>
            </w:r>
            <w:r w:rsidRPr="00396230">
              <w:rPr>
                <w:sz w:val="16"/>
                <w:szCs w:val="16"/>
                <w:vertAlign w:val="superscript"/>
                <w:lang w:val="en-US"/>
              </w:rPr>
              <w:t>2</w:t>
            </w:r>
          </w:p>
        </w:tc>
        <w:tc>
          <w:tcPr>
            <w:tcW w:w="570" w:type="dxa"/>
            <w:vAlign w:val="center"/>
          </w:tcPr>
          <w:p w14:paraId="028FF3E7"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w:t>
            </w:r>
          </w:p>
        </w:tc>
        <w:tc>
          <w:tcPr>
            <w:tcW w:w="708" w:type="dxa"/>
            <w:tcMar>
              <w:top w:w="0" w:type="dxa"/>
              <w:left w:w="28" w:type="dxa"/>
              <w:bottom w:w="0" w:type="dxa"/>
              <w:right w:w="28" w:type="dxa"/>
            </w:tcMar>
            <w:vAlign w:val="center"/>
          </w:tcPr>
          <w:p w14:paraId="678CA654"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3.50∙10</w:t>
            </w:r>
            <w:r w:rsidRPr="00396230">
              <w:rPr>
                <w:sz w:val="16"/>
                <w:szCs w:val="16"/>
                <w:vertAlign w:val="superscript"/>
                <w:lang w:val="en-US"/>
              </w:rPr>
              <w:t>2</w:t>
            </w:r>
          </w:p>
        </w:tc>
        <w:tc>
          <w:tcPr>
            <w:tcW w:w="709" w:type="dxa"/>
            <w:tcMar>
              <w:top w:w="0" w:type="dxa"/>
              <w:left w:w="28" w:type="dxa"/>
              <w:bottom w:w="0" w:type="dxa"/>
              <w:right w:w="28" w:type="dxa"/>
            </w:tcMar>
            <w:vAlign w:val="center"/>
          </w:tcPr>
          <w:p w14:paraId="19D5D450"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w:t>
            </w:r>
          </w:p>
        </w:tc>
        <w:tc>
          <w:tcPr>
            <w:tcW w:w="709" w:type="dxa"/>
            <w:tcMar>
              <w:top w:w="0" w:type="dxa"/>
              <w:left w:w="28" w:type="dxa"/>
              <w:bottom w:w="0" w:type="dxa"/>
              <w:right w:w="28" w:type="dxa"/>
            </w:tcMar>
            <w:vAlign w:val="center"/>
          </w:tcPr>
          <w:p w14:paraId="3B3ECBD7"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5.00∙10</w:t>
            </w:r>
            <w:r w:rsidRPr="00396230">
              <w:rPr>
                <w:sz w:val="16"/>
                <w:szCs w:val="16"/>
                <w:vertAlign w:val="superscript"/>
                <w:lang w:val="en-US"/>
              </w:rPr>
              <w:t>2</w:t>
            </w:r>
          </w:p>
        </w:tc>
        <w:tc>
          <w:tcPr>
            <w:tcW w:w="748" w:type="dxa"/>
            <w:tcMar>
              <w:top w:w="0" w:type="dxa"/>
              <w:left w:w="28" w:type="dxa"/>
              <w:bottom w:w="0" w:type="dxa"/>
              <w:right w:w="28" w:type="dxa"/>
            </w:tcMar>
            <w:vAlign w:val="center"/>
          </w:tcPr>
          <w:p w14:paraId="731EDB95"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w:t>
            </w:r>
          </w:p>
        </w:tc>
        <w:tc>
          <w:tcPr>
            <w:tcW w:w="669" w:type="dxa"/>
            <w:shd w:val="clear" w:color="auto" w:fill="auto"/>
            <w:tcMar>
              <w:top w:w="0" w:type="dxa"/>
              <w:left w:w="28" w:type="dxa"/>
              <w:bottom w:w="0" w:type="dxa"/>
              <w:right w:w="28" w:type="dxa"/>
            </w:tcMar>
            <w:vAlign w:val="center"/>
          </w:tcPr>
          <w:p w14:paraId="01DAD33A"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w:t>
            </w:r>
          </w:p>
        </w:tc>
        <w:tc>
          <w:tcPr>
            <w:tcW w:w="709" w:type="dxa"/>
            <w:tcMar>
              <w:top w:w="0" w:type="dxa"/>
              <w:left w:w="28" w:type="dxa"/>
              <w:bottom w:w="0" w:type="dxa"/>
              <w:right w:w="28" w:type="dxa"/>
            </w:tcMar>
            <w:vAlign w:val="center"/>
          </w:tcPr>
          <w:p w14:paraId="42E6015B"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w:t>
            </w:r>
          </w:p>
        </w:tc>
      </w:tr>
      <w:tr w:rsidR="00505CC7" w:rsidRPr="00396230" w14:paraId="6A5F15D9" w14:textId="77777777" w:rsidTr="00956B49">
        <w:trPr>
          <w:jc w:val="center"/>
        </w:trPr>
        <w:tc>
          <w:tcPr>
            <w:tcW w:w="314" w:type="dxa"/>
            <w:vMerge/>
            <w:tcMar>
              <w:top w:w="0" w:type="dxa"/>
              <w:left w:w="28" w:type="dxa"/>
              <w:bottom w:w="0" w:type="dxa"/>
              <w:right w:w="28" w:type="dxa"/>
            </w:tcMar>
            <w:vAlign w:val="center"/>
          </w:tcPr>
          <w:p w14:paraId="7705CFAA" w14:textId="77777777" w:rsidR="00505CC7" w:rsidRPr="00396230" w:rsidRDefault="00505CC7" w:rsidP="00956B49">
            <w:pPr>
              <w:spacing w:before="20" w:after="20" w:line="240" w:lineRule="auto"/>
              <w:jc w:val="center"/>
              <w:rPr>
                <w:sz w:val="16"/>
                <w:szCs w:val="16"/>
                <w:lang w:val="en-US"/>
              </w:rPr>
            </w:pPr>
          </w:p>
        </w:tc>
        <w:tc>
          <w:tcPr>
            <w:tcW w:w="1699" w:type="dxa"/>
            <w:tcMar>
              <w:top w:w="0" w:type="dxa"/>
              <w:left w:w="28" w:type="dxa"/>
              <w:bottom w:w="0" w:type="dxa"/>
              <w:right w:w="28" w:type="dxa"/>
            </w:tcMar>
            <w:vAlign w:val="center"/>
          </w:tcPr>
          <w:p w14:paraId="34FCB20E" w14:textId="77777777" w:rsidR="00505CC7" w:rsidRPr="00396230" w:rsidRDefault="00505CC7" w:rsidP="00956B49">
            <w:pPr>
              <w:spacing w:before="20" w:after="20" w:line="240" w:lineRule="auto"/>
              <w:rPr>
                <w:sz w:val="16"/>
                <w:szCs w:val="16"/>
                <w:lang w:val="en-US"/>
              </w:rPr>
            </w:pPr>
            <w:r w:rsidRPr="00396230">
              <w:rPr>
                <w:sz w:val="16"/>
                <w:szCs w:val="16"/>
                <w:lang w:val="en-US"/>
              </w:rPr>
              <w:t>Segment 10 and below</w:t>
            </w:r>
          </w:p>
        </w:tc>
        <w:tc>
          <w:tcPr>
            <w:tcW w:w="709" w:type="dxa"/>
            <w:tcMar>
              <w:top w:w="0" w:type="dxa"/>
              <w:left w:w="28" w:type="dxa"/>
              <w:bottom w:w="0" w:type="dxa"/>
              <w:right w:w="28" w:type="dxa"/>
            </w:tcMar>
            <w:vAlign w:val="center"/>
          </w:tcPr>
          <w:p w14:paraId="5D47A251"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4°D</w:t>
            </w:r>
          </w:p>
        </w:tc>
        <w:tc>
          <w:tcPr>
            <w:tcW w:w="992" w:type="dxa"/>
            <w:tcMar>
              <w:top w:w="0" w:type="dxa"/>
              <w:left w:w="28" w:type="dxa"/>
              <w:bottom w:w="0" w:type="dxa"/>
              <w:right w:w="28" w:type="dxa"/>
            </w:tcMar>
            <w:vAlign w:val="center"/>
          </w:tcPr>
          <w:p w14:paraId="202AF876"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4.5°L to 2°R</w:t>
            </w:r>
          </w:p>
        </w:tc>
        <w:tc>
          <w:tcPr>
            <w:tcW w:w="706" w:type="dxa"/>
            <w:tcMar>
              <w:top w:w="0" w:type="dxa"/>
              <w:left w:w="28" w:type="dxa"/>
              <w:bottom w:w="0" w:type="dxa"/>
              <w:right w:w="28" w:type="dxa"/>
            </w:tcMar>
            <w:vAlign w:val="center"/>
          </w:tcPr>
          <w:p w14:paraId="2B8A8416" w14:textId="77777777" w:rsidR="00505CC7" w:rsidRPr="00396230" w:rsidRDefault="00505CC7" w:rsidP="00956B49">
            <w:pPr>
              <w:spacing w:before="20" w:after="20" w:line="240" w:lineRule="auto"/>
              <w:jc w:val="center"/>
              <w:rPr>
                <w:sz w:val="16"/>
                <w:szCs w:val="16"/>
                <w:lang w:val="en-US"/>
              </w:rPr>
            </w:pPr>
          </w:p>
        </w:tc>
        <w:tc>
          <w:tcPr>
            <w:tcW w:w="570" w:type="dxa"/>
            <w:vAlign w:val="center"/>
          </w:tcPr>
          <w:p w14:paraId="7BFA02D3"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0.8 x the actual measured value at 50R</w:t>
            </w:r>
          </w:p>
        </w:tc>
        <w:tc>
          <w:tcPr>
            <w:tcW w:w="708" w:type="dxa"/>
            <w:tcMar>
              <w:top w:w="0" w:type="dxa"/>
              <w:left w:w="28" w:type="dxa"/>
              <w:bottom w:w="0" w:type="dxa"/>
              <w:right w:w="28" w:type="dxa"/>
            </w:tcMar>
            <w:vAlign w:val="center"/>
          </w:tcPr>
          <w:p w14:paraId="414B59C1"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w:t>
            </w:r>
          </w:p>
        </w:tc>
        <w:tc>
          <w:tcPr>
            <w:tcW w:w="709" w:type="dxa"/>
            <w:tcMar>
              <w:top w:w="0" w:type="dxa"/>
              <w:left w:w="28" w:type="dxa"/>
              <w:bottom w:w="0" w:type="dxa"/>
              <w:right w:w="28" w:type="dxa"/>
            </w:tcMar>
            <w:vAlign w:val="center"/>
          </w:tcPr>
          <w:p w14:paraId="02BF19C2" w14:textId="06D41937" w:rsidR="00505CC7" w:rsidRPr="00396230" w:rsidRDefault="00505CC7" w:rsidP="00956B49">
            <w:pPr>
              <w:spacing w:before="20" w:after="20" w:line="240" w:lineRule="auto"/>
              <w:jc w:val="center"/>
              <w:rPr>
                <w:sz w:val="16"/>
                <w:szCs w:val="16"/>
                <w:lang w:val="en-US"/>
              </w:rPr>
            </w:pPr>
            <w:r w:rsidRPr="00396230">
              <w:rPr>
                <w:sz w:val="16"/>
                <w:szCs w:val="16"/>
                <w:lang w:val="en-US"/>
              </w:rPr>
              <w:t xml:space="preserve">0.8 x the actual measured   value at </w:t>
            </w:r>
            <w:r w:rsidRPr="00396230">
              <w:rPr>
                <w:strike/>
                <w:sz w:val="16"/>
                <w:szCs w:val="16"/>
                <w:lang w:val="en-US"/>
              </w:rPr>
              <w:t>50R</w:t>
            </w:r>
            <w:r w:rsidRPr="00396230">
              <w:rPr>
                <w:b/>
                <w:bCs/>
                <w:sz w:val="16"/>
                <w:szCs w:val="16"/>
                <w:lang w:val="en-US"/>
              </w:rPr>
              <w:t>25V</w:t>
            </w:r>
          </w:p>
        </w:tc>
        <w:tc>
          <w:tcPr>
            <w:tcW w:w="709" w:type="dxa"/>
            <w:tcMar>
              <w:top w:w="0" w:type="dxa"/>
              <w:left w:w="28" w:type="dxa"/>
              <w:bottom w:w="0" w:type="dxa"/>
              <w:right w:w="28" w:type="dxa"/>
            </w:tcMar>
            <w:vAlign w:val="center"/>
          </w:tcPr>
          <w:p w14:paraId="784BD661"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w:t>
            </w:r>
          </w:p>
        </w:tc>
        <w:tc>
          <w:tcPr>
            <w:tcW w:w="748" w:type="dxa"/>
            <w:tcMar>
              <w:top w:w="0" w:type="dxa"/>
              <w:left w:w="28" w:type="dxa"/>
              <w:bottom w:w="0" w:type="dxa"/>
              <w:right w:w="28" w:type="dxa"/>
            </w:tcMar>
            <w:vAlign w:val="center"/>
          </w:tcPr>
          <w:p w14:paraId="106C3C35"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0.8 x the actual measured value at</w:t>
            </w:r>
          </w:p>
          <w:p w14:paraId="234E7620"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50R</w:t>
            </w:r>
          </w:p>
        </w:tc>
        <w:tc>
          <w:tcPr>
            <w:tcW w:w="669" w:type="dxa"/>
            <w:shd w:val="clear" w:color="auto" w:fill="auto"/>
            <w:tcMar>
              <w:top w:w="0" w:type="dxa"/>
              <w:left w:w="28" w:type="dxa"/>
              <w:bottom w:w="0" w:type="dxa"/>
              <w:right w:w="28" w:type="dxa"/>
            </w:tcMar>
            <w:vAlign w:val="center"/>
          </w:tcPr>
          <w:p w14:paraId="14167E4C"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w:t>
            </w:r>
          </w:p>
        </w:tc>
        <w:tc>
          <w:tcPr>
            <w:tcW w:w="709" w:type="dxa"/>
            <w:tcMar>
              <w:top w:w="0" w:type="dxa"/>
              <w:left w:w="28" w:type="dxa"/>
              <w:bottom w:w="0" w:type="dxa"/>
              <w:right w:w="28" w:type="dxa"/>
            </w:tcMar>
            <w:vAlign w:val="center"/>
          </w:tcPr>
          <w:p w14:paraId="3DF7E6D4" w14:textId="77777777" w:rsidR="00505CC7" w:rsidRPr="00396230" w:rsidRDefault="00505CC7" w:rsidP="00956B49">
            <w:pPr>
              <w:spacing w:before="20" w:after="20" w:line="240" w:lineRule="auto"/>
              <w:jc w:val="center"/>
              <w:rPr>
                <w:sz w:val="16"/>
                <w:szCs w:val="16"/>
                <w:vertAlign w:val="superscript"/>
                <w:lang w:val="en-US"/>
              </w:rPr>
            </w:pPr>
            <w:r w:rsidRPr="00396230">
              <w:rPr>
                <w:sz w:val="16"/>
                <w:szCs w:val="16"/>
                <w:lang w:val="en-US"/>
              </w:rPr>
              <w:t>7.10∙10</w:t>
            </w:r>
            <w:r w:rsidRPr="00396230">
              <w:rPr>
                <w:sz w:val="16"/>
                <w:szCs w:val="16"/>
                <w:vertAlign w:val="superscript"/>
                <w:lang w:val="en-US"/>
              </w:rPr>
              <w:t>3</w:t>
            </w:r>
          </w:p>
        </w:tc>
      </w:tr>
      <w:tr w:rsidR="00505CC7" w:rsidRPr="00396230" w14:paraId="0EC1F923" w14:textId="77777777" w:rsidTr="00956B49">
        <w:trPr>
          <w:jc w:val="center"/>
        </w:trPr>
        <w:tc>
          <w:tcPr>
            <w:tcW w:w="314" w:type="dxa"/>
            <w:vMerge/>
            <w:tcBorders>
              <w:bottom w:val="single" w:sz="12" w:space="0" w:color="auto"/>
            </w:tcBorders>
            <w:tcMar>
              <w:top w:w="0" w:type="dxa"/>
              <w:left w:w="28" w:type="dxa"/>
              <w:bottom w:w="0" w:type="dxa"/>
              <w:right w:w="28" w:type="dxa"/>
            </w:tcMar>
            <w:vAlign w:val="center"/>
          </w:tcPr>
          <w:p w14:paraId="5CD626EF" w14:textId="77777777" w:rsidR="00505CC7" w:rsidRPr="00396230" w:rsidRDefault="00505CC7" w:rsidP="00956B49">
            <w:pPr>
              <w:spacing w:before="20" w:after="20" w:line="240" w:lineRule="auto"/>
              <w:jc w:val="center"/>
              <w:rPr>
                <w:sz w:val="16"/>
                <w:szCs w:val="16"/>
                <w:lang w:val="en-US"/>
              </w:rPr>
            </w:pPr>
          </w:p>
        </w:tc>
        <w:tc>
          <w:tcPr>
            <w:tcW w:w="1699" w:type="dxa"/>
            <w:tcBorders>
              <w:bottom w:val="single" w:sz="12" w:space="0" w:color="auto"/>
            </w:tcBorders>
            <w:tcMar>
              <w:top w:w="0" w:type="dxa"/>
              <w:left w:w="28" w:type="dxa"/>
              <w:bottom w:w="0" w:type="dxa"/>
              <w:right w:w="28" w:type="dxa"/>
            </w:tcMar>
            <w:vAlign w:val="center"/>
          </w:tcPr>
          <w:p w14:paraId="1EA07764" w14:textId="77777777" w:rsidR="00505CC7" w:rsidRPr="00396230" w:rsidRDefault="00505CC7" w:rsidP="00956B49">
            <w:pPr>
              <w:spacing w:before="20" w:after="20" w:line="240" w:lineRule="auto"/>
              <w:rPr>
                <w:sz w:val="16"/>
                <w:szCs w:val="16"/>
                <w:lang w:val="en-US"/>
              </w:rPr>
            </w:pPr>
            <w:r w:rsidRPr="00396230">
              <w:rPr>
                <w:sz w:val="16"/>
                <w:szCs w:val="16"/>
                <w:lang w:val="en-US"/>
              </w:rPr>
              <w:t>I</w:t>
            </w:r>
            <w:r w:rsidRPr="00396230">
              <w:rPr>
                <w:sz w:val="16"/>
                <w:szCs w:val="16"/>
                <w:vertAlign w:val="subscript"/>
                <w:lang w:val="en-US"/>
              </w:rPr>
              <w:t xml:space="preserve">max </w:t>
            </w:r>
            <w:r w:rsidRPr="00396230">
              <w:rPr>
                <w:sz w:val="16"/>
                <w:szCs w:val="16"/>
                <w:vertAlign w:val="superscript"/>
                <w:lang w:val="en-US"/>
              </w:rPr>
              <w:t>c</w:t>
            </w:r>
          </w:p>
        </w:tc>
        <w:tc>
          <w:tcPr>
            <w:tcW w:w="709" w:type="dxa"/>
            <w:tcBorders>
              <w:bottom w:val="single" w:sz="12" w:space="0" w:color="auto"/>
            </w:tcBorders>
            <w:tcMar>
              <w:top w:w="0" w:type="dxa"/>
              <w:left w:w="28" w:type="dxa"/>
              <w:bottom w:w="0" w:type="dxa"/>
              <w:right w:w="28" w:type="dxa"/>
            </w:tcMar>
            <w:vAlign w:val="center"/>
          </w:tcPr>
          <w:p w14:paraId="0D1105A2"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w:t>
            </w:r>
          </w:p>
        </w:tc>
        <w:tc>
          <w:tcPr>
            <w:tcW w:w="992" w:type="dxa"/>
            <w:tcBorders>
              <w:bottom w:val="single" w:sz="12" w:space="0" w:color="auto"/>
            </w:tcBorders>
            <w:vAlign w:val="center"/>
          </w:tcPr>
          <w:p w14:paraId="6111C435"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w:t>
            </w:r>
          </w:p>
        </w:tc>
        <w:tc>
          <w:tcPr>
            <w:tcW w:w="706" w:type="dxa"/>
            <w:tcBorders>
              <w:bottom w:val="single" w:sz="12" w:space="0" w:color="auto"/>
            </w:tcBorders>
            <w:tcMar>
              <w:top w:w="0" w:type="dxa"/>
              <w:left w:w="28" w:type="dxa"/>
              <w:bottom w:w="0" w:type="dxa"/>
              <w:right w:w="28" w:type="dxa"/>
            </w:tcMar>
            <w:vAlign w:val="center"/>
          </w:tcPr>
          <w:p w14:paraId="01A1137A" w14:textId="77777777" w:rsidR="00505CC7" w:rsidRPr="00396230" w:rsidRDefault="00505CC7" w:rsidP="00956B49">
            <w:pPr>
              <w:spacing w:before="20" w:after="20" w:line="240" w:lineRule="auto"/>
              <w:jc w:val="center"/>
              <w:rPr>
                <w:sz w:val="16"/>
                <w:szCs w:val="16"/>
                <w:lang w:val="en-US"/>
              </w:rPr>
            </w:pPr>
          </w:p>
        </w:tc>
        <w:tc>
          <w:tcPr>
            <w:tcW w:w="570" w:type="dxa"/>
            <w:tcBorders>
              <w:bottom w:val="single" w:sz="12" w:space="0" w:color="auto"/>
            </w:tcBorders>
            <w:vAlign w:val="center"/>
          </w:tcPr>
          <w:p w14:paraId="1B74EA37"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w:t>
            </w:r>
          </w:p>
        </w:tc>
        <w:tc>
          <w:tcPr>
            <w:tcW w:w="708" w:type="dxa"/>
            <w:tcBorders>
              <w:bottom w:val="single" w:sz="12" w:space="0" w:color="auto"/>
            </w:tcBorders>
            <w:tcMar>
              <w:top w:w="0" w:type="dxa"/>
              <w:left w:w="28" w:type="dxa"/>
              <w:bottom w:w="0" w:type="dxa"/>
              <w:right w:w="28" w:type="dxa"/>
            </w:tcMar>
            <w:vAlign w:val="center"/>
          </w:tcPr>
          <w:p w14:paraId="6F4A10FA"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w:t>
            </w:r>
          </w:p>
        </w:tc>
        <w:tc>
          <w:tcPr>
            <w:tcW w:w="709" w:type="dxa"/>
            <w:tcBorders>
              <w:bottom w:val="single" w:sz="12" w:space="0" w:color="auto"/>
            </w:tcBorders>
            <w:tcMar>
              <w:top w:w="0" w:type="dxa"/>
              <w:left w:w="28" w:type="dxa"/>
              <w:bottom w:w="0" w:type="dxa"/>
              <w:right w:w="28" w:type="dxa"/>
            </w:tcMar>
            <w:vAlign w:val="center"/>
          </w:tcPr>
          <w:p w14:paraId="077A39BA"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4.41∙10</w:t>
            </w:r>
            <w:r w:rsidRPr="00396230">
              <w:rPr>
                <w:sz w:val="16"/>
                <w:szCs w:val="16"/>
                <w:vertAlign w:val="superscript"/>
                <w:lang w:val="en-US"/>
              </w:rPr>
              <w:t>4</w:t>
            </w:r>
          </w:p>
        </w:tc>
        <w:tc>
          <w:tcPr>
            <w:tcW w:w="709" w:type="dxa"/>
            <w:tcBorders>
              <w:bottom w:val="single" w:sz="12" w:space="0" w:color="auto"/>
            </w:tcBorders>
            <w:tcMar>
              <w:top w:w="0" w:type="dxa"/>
              <w:left w:w="28" w:type="dxa"/>
              <w:bottom w:w="0" w:type="dxa"/>
              <w:right w:w="28" w:type="dxa"/>
            </w:tcMar>
            <w:vAlign w:val="center"/>
          </w:tcPr>
          <w:p w14:paraId="770549D7"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w:t>
            </w:r>
          </w:p>
        </w:tc>
        <w:tc>
          <w:tcPr>
            <w:tcW w:w="748" w:type="dxa"/>
            <w:tcBorders>
              <w:bottom w:val="single" w:sz="12" w:space="0" w:color="auto"/>
            </w:tcBorders>
            <w:tcMar>
              <w:top w:w="0" w:type="dxa"/>
              <w:left w:w="28" w:type="dxa"/>
              <w:bottom w:w="0" w:type="dxa"/>
              <w:right w:w="28" w:type="dxa"/>
            </w:tcMar>
            <w:vAlign w:val="center"/>
          </w:tcPr>
          <w:p w14:paraId="20EEC2EE"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w:t>
            </w:r>
          </w:p>
        </w:tc>
        <w:tc>
          <w:tcPr>
            <w:tcW w:w="669" w:type="dxa"/>
            <w:tcBorders>
              <w:bottom w:val="single" w:sz="12" w:space="0" w:color="auto"/>
            </w:tcBorders>
            <w:tcMar>
              <w:top w:w="0" w:type="dxa"/>
              <w:left w:w="28" w:type="dxa"/>
              <w:bottom w:w="0" w:type="dxa"/>
              <w:right w:w="28" w:type="dxa"/>
            </w:tcMar>
            <w:vAlign w:val="center"/>
          </w:tcPr>
          <w:p w14:paraId="02B8E7D3"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w:t>
            </w:r>
          </w:p>
        </w:tc>
        <w:tc>
          <w:tcPr>
            <w:tcW w:w="709" w:type="dxa"/>
            <w:tcBorders>
              <w:bottom w:val="single" w:sz="12" w:space="0" w:color="auto"/>
            </w:tcBorders>
            <w:tcMar>
              <w:top w:w="0" w:type="dxa"/>
              <w:left w:w="28" w:type="dxa"/>
              <w:bottom w:w="0" w:type="dxa"/>
              <w:right w:w="28" w:type="dxa"/>
            </w:tcMar>
            <w:vAlign w:val="center"/>
          </w:tcPr>
          <w:p w14:paraId="0AA24872" w14:textId="77777777" w:rsidR="00505CC7" w:rsidRPr="00396230" w:rsidRDefault="00505CC7" w:rsidP="00956B49">
            <w:pPr>
              <w:spacing w:before="20" w:after="20" w:line="240" w:lineRule="auto"/>
              <w:jc w:val="center"/>
              <w:rPr>
                <w:sz w:val="16"/>
                <w:szCs w:val="16"/>
                <w:lang w:val="en-US"/>
              </w:rPr>
            </w:pPr>
            <w:r w:rsidRPr="00396230">
              <w:rPr>
                <w:sz w:val="16"/>
                <w:szCs w:val="16"/>
                <w:lang w:val="en-US"/>
              </w:rPr>
              <w:t>-</w:t>
            </w:r>
          </w:p>
        </w:tc>
      </w:tr>
    </w:tbl>
    <w:p w14:paraId="43DBE343" w14:textId="06B92895" w:rsidR="00505CC7" w:rsidRPr="00396230" w:rsidRDefault="00505CC7" w:rsidP="00505CC7">
      <w:pPr>
        <w:spacing w:after="120"/>
        <w:ind w:left="2268" w:right="1395" w:hanging="1134"/>
        <w:jc w:val="both"/>
        <w:rPr>
          <w:i/>
          <w:sz w:val="22"/>
          <w:szCs w:val="22"/>
          <w:lang w:val="en-US"/>
        </w:rPr>
      </w:pPr>
      <w:r w:rsidRPr="00396230">
        <w:rPr>
          <w:i/>
          <w:lang w:val="en-US"/>
        </w:rPr>
        <w:t>”</w:t>
      </w:r>
    </w:p>
    <w:p w14:paraId="3915E73D" w14:textId="77777777" w:rsidR="00BC320B" w:rsidRDefault="00BC320B">
      <w:pPr>
        <w:suppressAutoHyphens w:val="0"/>
        <w:spacing w:line="240" w:lineRule="auto"/>
        <w:rPr>
          <w:i/>
          <w:lang w:val="en-US"/>
        </w:rPr>
      </w:pPr>
      <w:r>
        <w:rPr>
          <w:i/>
          <w:lang w:val="en-US"/>
        </w:rPr>
        <w:br w:type="page"/>
      </w:r>
    </w:p>
    <w:p w14:paraId="57624715" w14:textId="190D94E5" w:rsidR="00043FA7" w:rsidRPr="00396230" w:rsidRDefault="00043FA7" w:rsidP="00043FA7">
      <w:pPr>
        <w:spacing w:after="120"/>
        <w:ind w:left="2268" w:right="1395" w:hanging="1134"/>
        <w:jc w:val="both"/>
        <w:rPr>
          <w:rFonts w:asciiTheme="majorBidi" w:hAnsiTheme="majorBidi" w:cstheme="majorBidi"/>
          <w:lang w:val="en-US"/>
        </w:rPr>
      </w:pPr>
      <w:r w:rsidRPr="00396230">
        <w:rPr>
          <w:i/>
          <w:lang w:val="en-US"/>
        </w:rPr>
        <w:lastRenderedPageBreak/>
        <w:t>Table 16</w:t>
      </w:r>
      <w:r w:rsidRPr="00396230">
        <w:rPr>
          <w:rFonts w:asciiTheme="majorBidi" w:hAnsiTheme="majorBidi" w:cstheme="majorBidi"/>
          <w:i/>
          <w:lang w:val="en-US"/>
        </w:rPr>
        <w:t xml:space="preserve">, </w:t>
      </w:r>
      <w:r w:rsidRPr="00396230">
        <w:rPr>
          <w:rFonts w:asciiTheme="majorBidi" w:hAnsiTheme="majorBidi" w:cstheme="majorBidi"/>
          <w:lang w:val="en-US"/>
        </w:rPr>
        <w:t>amend to read:</w:t>
      </w:r>
    </w:p>
    <w:p w14:paraId="704DE6F0" w14:textId="716F1D58" w:rsidR="00043FA7" w:rsidRPr="00396230" w:rsidRDefault="00043FA7" w:rsidP="00043FA7">
      <w:pPr>
        <w:ind w:left="2835" w:right="1134" w:hanging="567"/>
        <w:jc w:val="both"/>
        <w:rPr>
          <w:rFonts w:eastAsia="SimSun"/>
        </w:rPr>
      </w:pPr>
      <w:r w:rsidRPr="00396230">
        <w:rPr>
          <w:i/>
          <w:lang w:val="en-US"/>
        </w:rPr>
        <w:t>“</w:t>
      </w:r>
      <w:r w:rsidRPr="00396230">
        <w:rPr>
          <w:rFonts w:eastAsia="SimSun"/>
        </w:rPr>
        <w:t>Table 16</w:t>
      </w:r>
    </w:p>
    <w:p w14:paraId="77A17E1E" w14:textId="6FABA2BF" w:rsidR="00043FA7" w:rsidRPr="00396230" w:rsidRDefault="00043FA7" w:rsidP="00043FA7">
      <w:pPr>
        <w:pStyle w:val="a0"/>
        <w:ind w:left="2268" w:firstLine="0"/>
        <w:rPr>
          <w:rFonts w:eastAsia="SimSun"/>
          <w:b/>
        </w:rPr>
      </w:pPr>
      <w:r w:rsidRPr="00396230">
        <w:rPr>
          <w:rFonts w:eastAsia="SimSun"/>
          <w:b/>
        </w:rPr>
        <w:t xml:space="preserve">Type </w:t>
      </w:r>
      <w:r w:rsidRPr="00396230">
        <w:rPr>
          <w:rFonts w:eastAsiaTheme="minorEastAsia"/>
          <w:b/>
          <w:bCs/>
        </w:rPr>
        <w:t>approval</w:t>
      </w:r>
      <w:r w:rsidRPr="00396230">
        <w:rPr>
          <w:rFonts w:eastAsia="SimSun"/>
          <w:b/>
        </w:rPr>
        <w:t xml:space="preserve"> photometric requirements for Class CS and Class DS passing-beam</w:t>
      </w:r>
    </w:p>
    <w:tbl>
      <w:tblPr>
        <w:tblW w:w="7782"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1"/>
        <w:gridCol w:w="1276"/>
        <w:gridCol w:w="1417"/>
        <w:gridCol w:w="1131"/>
        <w:gridCol w:w="1137"/>
        <w:gridCol w:w="1560"/>
      </w:tblGrid>
      <w:tr w:rsidR="00043FA7" w:rsidRPr="00396230" w14:paraId="4966B2BD" w14:textId="77777777" w:rsidTr="00956B49">
        <w:trPr>
          <w:cantSplit/>
          <w:trHeight w:val="280"/>
        </w:trPr>
        <w:tc>
          <w:tcPr>
            <w:tcW w:w="1261" w:type="dxa"/>
            <w:vMerge w:val="restart"/>
            <w:tcBorders>
              <w:bottom w:val="single" w:sz="12" w:space="0" w:color="auto"/>
            </w:tcBorders>
            <w:vAlign w:val="center"/>
          </w:tcPr>
          <w:p w14:paraId="0E3288B9" w14:textId="77777777" w:rsidR="00043FA7" w:rsidRPr="00396230" w:rsidRDefault="00043FA7" w:rsidP="00956B49">
            <w:pPr>
              <w:spacing w:before="20" w:after="20" w:line="240" w:lineRule="auto"/>
              <w:ind w:left="113" w:right="113"/>
              <w:jc w:val="center"/>
              <w:rPr>
                <w:b/>
                <w:bCs/>
                <w:i/>
                <w:iCs/>
                <w:sz w:val="16"/>
                <w:szCs w:val="16"/>
                <w:lang w:val="en-US"/>
              </w:rPr>
            </w:pPr>
            <w:r w:rsidRPr="00396230">
              <w:rPr>
                <w:b/>
                <w:bCs/>
                <w:i/>
                <w:iCs/>
                <w:sz w:val="16"/>
                <w:szCs w:val="16"/>
                <w:lang w:val="en-US"/>
              </w:rPr>
              <w:t>Element</w:t>
            </w:r>
          </w:p>
        </w:tc>
        <w:tc>
          <w:tcPr>
            <w:tcW w:w="2693" w:type="dxa"/>
            <w:gridSpan w:val="2"/>
            <w:vMerge w:val="restart"/>
            <w:tcBorders>
              <w:bottom w:val="single" w:sz="4" w:space="0" w:color="auto"/>
            </w:tcBorders>
            <w:vAlign w:val="center"/>
          </w:tcPr>
          <w:p w14:paraId="43B3E83D" w14:textId="77777777" w:rsidR="00043FA7" w:rsidRPr="00396230" w:rsidRDefault="00043FA7" w:rsidP="00956B49">
            <w:pPr>
              <w:spacing w:before="20" w:after="20" w:line="240" w:lineRule="auto"/>
              <w:ind w:left="113" w:right="113"/>
              <w:jc w:val="center"/>
              <w:rPr>
                <w:b/>
                <w:bCs/>
                <w:sz w:val="16"/>
                <w:szCs w:val="16"/>
                <w:lang w:val="en-US"/>
              </w:rPr>
            </w:pPr>
            <w:r w:rsidRPr="00396230">
              <w:rPr>
                <w:b/>
                <w:bCs/>
                <w:i/>
                <w:iCs/>
                <w:sz w:val="16"/>
                <w:szCs w:val="16"/>
                <w:lang w:val="en-US"/>
              </w:rPr>
              <w:t xml:space="preserve">Angular coordinates in deg. </w:t>
            </w:r>
            <w:r w:rsidRPr="00396230">
              <w:rPr>
                <w:b/>
                <w:bCs/>
                <w:sz w:val="16"/>
                <w:szCs w:val="16"/>
                <w:vertAlign w:val="superscript"/>
                <w:lang w:val="en-US"/>
              </w:rPr>
              <w:t>a</w:t>
            </w:r>
          </w:p>
        </w:tc>
        <w:tc>
          <w:tcPr>
            <w:tcW w:w="3828" w:type="dxa"/>
            <w:gridSpan w:val="3"/>
            <w:vMerge w:val="restart"/>
            <w:vAlign w:val="center"/>
          </w:tcPr>
          <w:p w14:paraId="67E14D7D" w14:textId="77777777" w:rsidR="00043FA7" w:rsidRPr="00396230" w:rsidRDefault="00043FA7" w:rsidP="00956B49">
            <w:pPr>
              <w:spacing w:before="20" w:after="20" w:line="240" w:lineRule="auto"/>
              <w:ind w:left="113" w:right="113"/>
              <w:jc w:val="center"/>
              <w:rPr>
                <w:b/>
                <w:bCs/>
                <w:i/>
                <w:iCs/>
                <w:sz w:val="16"/>
                <w:szCs w:val="16"/>
                <w:lang w:val="en-US"/>
              </w:rPr>
            </w:pPr>
            <w:r w:rsidRPr="00396230">
              <w:rPr>
                <w:b/>
                <w:bCs/>
                <w:i/>
                <w:sz w:val="16"/>
                <w:szCs w:val="16"/>
                <w:lang w:val="en-US"/>
              </w:rPr>
              <w:t>Luminous intensity in cd</w:t>
            </w:r>
          </w:p>
        </w:tc>
      </w:tr>
      <w:tr w:rsidR="00043FA7" w:rsidRPr="00396230" w14:paraId="5443E5A6" w14:textId="77777777" w:rsidTr="00956B49">
        <w:trPr>
          <w:cantSplit/>
          <w:trHeight w:val="360"/>
        </w:trPr>
        <w:tc>
          <w:tcPr>
            <w:tcW w:w="1261" w:type="dxa"/>
            <w:vMerge/>
            <w:tcBorders>
              <w:bottom w:val="single" w:sz="12" w:space="0" w:color="auto"/>
            </w:tcBorders>
            <w:vAlign w:val="center"/>
          </w:tcPr>
          <w:p w14:paraId="03E3DFF2" w14:textId="77777777" w:rsidR="00043FA7" w:rsidRPr="00396230" w:rsidRDefault="00043FA7" w:rsidP="00956B49">
            <w:pPr>
              <w:spacing w:before="20" w:after="20" w:line="240" w:lineRule="auto"/>
              <w:ind w:left="113" w:right="113"/>
              <w:rPr>
                <w:b/>
                <w:bCs/>
                <w:sz w:val="16"/>
                <w:szCs w:val="16"/>
                <w:lang w:val="en-US"/>
              </w:rPr>
            </w:pPr>
          </w:p>
        </w:tc>
        <w:tc>
          <w:tcPr>
            <w:tcW w:w="2693" w:type="dxa"/>
            <w:gridSpan w:val="2"/>
            <w:vMerge/>
            <w:tcBorders>
              <w:top w:val="single" w:sz="12" w:space="0" w:color="auto"/>
              <w:bottom w:val="single" w:sz="4" w:space="0" w:color="auto"/>
            </w:tcBorders>
            <w:vAlign w:val="center"/>
          </w:tcPr>
          <w:p w14:paraId="5812EDE0" w14:textId="77777777" w:rsidR="00043FA7" w:rsidRPr="00396230" w:rsidRDefault="00043FA7" w:rsidP="00956B49">
            <w:pPr>
              <w:spacing w:before="20" w:after="20" w:line="240" w:lineRule="auto"/>
              <w:ind w:left="113" w:right="113"/>
              <w:rPr>
                <w:b/>
                <w:bCs/>
                <w:sz w:val="16"/>
                <w:szCs w:val="16"/>
                <w:lang w:val="en-US"/>
              </w:rPr>
            </w:pPr>
          </w:p>
        </w:tc>
        <w:tc>
          <w:tcPr>
            <w:tcW w:w="3828" w:type="dxa"/>
            <w:gridSpan w:val="3"/>
            <w:vMerge/>
            <w:vAlign w:val="center"/>
          </w:tcPr>
          <w:p w14:paraId="693C9598" w14:textId="77777777" w:rsidR="00043FA7" w:rsidRPr="00396230" w:rsidRDefault="00043FA7" w:rsidP="00956B49">
            <w:pPr>
              <w:spacing w:before="20" w:after="20" w:line="240" w:lineRule="auto"/>
              <w:ind w:left="113" w:right="113"/>
              <w:jc w:val="center"/>
              <w:rPr>
                <w:b/>
                <w:bCs/>
                <w:sz w:val="16"/>
                <w:szCs w:val="16"/>
                <w:lang w:val="en-US"/>
              </w:rPr>
            </w:pPr>
          </w:p>
        </w:tc>
      </w:tr>
      <w:tr w:rsidR="00043FA7" w:rsidRPr="00396230" w14:paraId="1968B515" w14:textId="77777777" w:rsidTr="00956B49">
        <w:trPr>
          <w:cantSplit/>
          <w:trHeight w:val="20"/>
        </w:trPr>
        <w:tc>
          <w:tcPr>
            <w:tcW w:w="1261" w:type="dxa"/>
            <w:vMerge/>
            <w:tcBorders>
              <w:bottom w:val="single" w:sz="12" w:space="0" w:color="auto"/>
            </w:tcBorders>
            <w:vAlign w:val="center"/>
          </w:tcPr>
          <w:p w14:paraId="4BCDEDB1" w14:textId="77777777" w:rsidR="00043FA7" w:rsidRPr="00396230" w:rsidRDefault="00043FA7" w:rsidP="00956B49">
            <w:pPr>
              <w:spacing w:before="20" w:line="240" w:lineRule="auto"/>
              <w:ind w:left="113" w:right="113"/>
              <w:rPr>
                <w:b/>
                <w:bCs/>
                <w:sz w:val="16"/>
                <w:szCs w:val="16"/>
                <w:lang w:val="en-US"/>
              </w:rPr>
            </w:pPr>
          </w:p>
        </w:tc>
        <w:tc>
          <w:tcPr>
            <w:tcW w:w="1276" w:type="dxa"/>
            <w:vMerge w:val="restart"/>
            <w:tcBorders>
              <w:top w:val="single" w:sz="4" w:space="0" w:color="auto"/>
              <w:bottom w:val="single" w:sz="12" w:space="0" w:color="auto"/>
            </w:tcBorders>
            <w:vAlign w:val="center"/>
          </w:tcPr>
          <w:p w14:paraId="362477B8" w14:textId="77777777" w:rsidR="00043FA7" w:rsidRPr="00396230" w:rsidRDefault="00043FA7" w:rsidP="00956B49">
            <w:pPr>
              <w:spacing w:before="20" w:line="600" w:lineRule="auto"/>
              <w:ind w:right="113"/>
              <w:jc w:val="center"/>
              <w:rPr>
                <w:b/>
                <w:bCs/>
                <w:sz w:val="16"/>
                <w:szCs w:val="16"/>
                <w:lang w:val="en-US"/>
              </w:rPr>
            </w:pPr>
            <w:r w:rsidRPr="00396230">
              <w:rPr>
                <w:rFonts w:eastAsia="HGSGothicM"/>
                <w:b/>
                <w:bCs/>
                <w:i/>
                <w:sz w:val="16"/>
                <w:szCs w:val="16"/>
                <w:lang w:val="en-US"/>
              </w:rPr>
              <w:t>vertical</w:t>
            </w:r>
          </w:p>
        </w:tc>
        <w:tc>
          <w:tcPr>
            <w:tcW w:w="1417" w:type="dxa"/>
            <w:vMerge w:val="restart"/>
            <w:tcBorders>
              <w:top w:val="single" w:sz="4" w:space="0" w:color="auto"/>
              <w:bottom w:val="single" w:sz="12" w:space="0" w:color="auto"/>
            </w:tcBorders>
          </w:tcPr>
          <w:p w14:paraId="30118E35" w14:textId="77777777" w:rsidR="00043FA7" w:rsidRPr="00396230" w:rsidRDefault="00043FA7" w:rsidP="00956B49">
            <w:pPr>
              <w:spacing w:before="20" w:line="600" w:lineRule="auto"/>
              <w:ind w:right="113"/>
              <w:jc w:val="center"/>
              <w:rPr>
                <w:b/>
                <w:bCs/>
                <w:sz w:val="16"/>
                <w:szCs w:val="16"/>
                <w:lang w:val="en-US"/>
              </w:rPr>
            </w:pPr>
            <w:r w:rsidRPr="00396230">
              <w:rPr>
                <w:rFonts w:eastAsia="HGSGothicM"/>
                <w:b/>
                <w:bCs/>
                <w:i/>
                <w:sz w:val="16"/>
                <w:szCs w:val="16"/>
                <w:lang w:val="en-US"/>
              </w:rPr>
              <w:t>horizontal</w:t>
            </w:r>
          </w:p>
        </w:tc>
        <w:tc>
          <w:tcPr>
            <w:tcW w:w="2268" w:type="dxa"/>
            <w:gridSpan w:val="2"/>
            <w:tcBorders>
              <w:bottom w:val="single" w:sz="4" w:space="0" w:color="auto"/>
            </w:tcBorders>
            <w:noWrap/>
            <w:vAlign w:val="center"/>
          </w:tcPr>
          <w:p w14:paraId="2C896238" w14:textId="77777777" w:rsidR="00043FA7" w:rsidRPr="00396230" w:rsidRDefault="00043FA7" w:rsidP="00956B49">
            <w:pPr>
              <w:spacing w:before="20" w:line="240" w:lineRule="auto"/>
              <w:ind w:left="113" w:right="113"/>
              <w:jc w:val="center"/>
              <w:rPr>
                <w:b/>
                <w:bCs/>
                <w:i/>
                <w:iCs/>
                <w:sz w:val="16"/>
                <w:szCs w:val="16"/>
                <w:lang w:val="en-US"/>
              </w:rPr>
            </w:pPr>
            <w:r w:rsidRPr="00396230">
              <w:rPr>
                <w:b/>
                <w:bCs/>
                <w:i/>
                <w:iCs/>
                <w:sz w:val="16"/>
                <w:szCs w:val="16"/>
                <w:lang w:val="en-US"/>
              </w:rPr>
              <w:t>min</w:t>
            </w:r>
          </w:p>
        </w:tc>
        <w:tc>
          <w:tcPr>
            <w:tcW w:w="1560" w:type="dxa"/>
            <w:tcBorders>
              <w:bottom w:val="single" w:sz="4" w:space="0" w:color="auto"/>
            </w:tcBorders>
            <w:vAlign w:val="center"/>
          </w:tcPr>
          <w:p w14:paraId="2D89C574" w14:textId="77777777" w:rsidR="00043FA7" w:rsidRPr="00396230" w:rsidRDefault="00043FA7" w:rsidP="00956B49">
            <w:pPr>
              <w:spacing w:before="20" w:line="240" w:lineRule="auto"/>
              <w:ind w:left="113"/>
              <w:jc w:val="center"/>
              <w:rPr>
                <w:b/>
                <w:bCs/>
                <w:i/>
                <w:iCs/>
                <w:sz w:val="16"/>
                <w:szCs w:val="16"/>
                <w:lang w:val="en-US"/>
              </w:rPr>
            </w:pPr>
            <w:r w:rsidRPr="00396230">
              <w:rPr>
                <w:b/>
                <w:bCs/>
                <w:i/>
                <w:iCs/>
                <w:sz w:val="16"/>
                <w:szCs w:val="16"/>
                <w:lang w:val="en-US"/>
              </w:rPr>
              <w:t>max</w:t>
            </w:r>
          </w:p>
        </w:tc>
      </w:tr>
      <w:tr w:rsidR="00043FA7" w:rsidRPr="00396230" w14:paraId="6EC4D865" w14:textId="77777777" w:rsidTr="00956B49">
        <w:trPr>
          <w:cantSplit/>
          <w:trHeight w:val="20"/>
        </w:trPr>
        <w:tc>
          <w:tcPr>
            <w:tcW w:w="1261" w:type="dxa"/>
            <w:vMerge/>
            <w:tcBorders>
              <w:bottom w:val="single" w:sz="12" w:space="0" w:color="auto"/>
            </w:tcBorders>
            <w:vAlign w:val="center"/>
          </w:tcPr>
          <w:p w14:paraId="60F7941C" w14:textId="77777777" w:rsidR="00043FA7" w:rsidRPr="00396230" w:rsidRDefault="00043FA7" w:rsidP="00956B49">
            <w:pPr>
              <w:spacing w:before="20" w:after="20" w:line="240" w:lineRule="auto"/>
              <w:ind w:left="113" w:right="113"/>
              <w:rPr>
                <w:b/>
                <w:bCs/>
                <w:sz w:val="16"/>
                <w:szCs w:val="16"/>
                <w:lang w:val="en-US"/>
              </w:rPr>
            </w:pPr>
          </w:p>
        </w:tc>
        <w:tc>
          <w:tcPr>
            <w:tcW w:w="1276" w:type="dxa"/>
            <w:vMerge/>
            <w:tcBorders>
              <w:bottom w:val="single" w:sz="12" w:space="0" w:color="auto"/>
            </w:tcBorders>
            <w:vAlign w:val="center"/>
          </w:tcPr>
          <w:p w14:paraId="14F9D9D4" w14:textId="77777777" w:rsidR="00043FA7" w:rsidRPr="00396230" w:rsidRDefault="00043FA7" w:rsidP="00956B49">
            <w:pPr>
              <w:spacing w:before="20" w:after="20" w:line="240" w:lineRule="auto"/>
              <w:ind w:left="113" w:right="113"/>
              <w:rPr>
                <w:b/>
                <w:bCs/>
                <w:sz w:val="16"/>
                <w:szCs w:val="16"/>
                <w:lang w:val="en-US"/>
              </w:rPr>
            </w:pPr>
          </w:p>
        </w:tc>
        <w:tc>
          <w:tcPr>
            <w:tcW w:w="1417" w:type="dxa"/>
            <w:vMerge/>
            <w:tcBorders>
              <w:bottom w:val="single" w:sz="12" w:space="0" w:color="auto"/>
            </w:tcBorders>
            <w:vAlign w:val="center"/>
          </w:tcPr>
          <w:p w14:paraId="502663D2" w14:textId="77777777" w:rsidR="00043FA7" w:rsidRPr="00396230" w:rsidRDefault="00043FA7" w:rsidP="00956B49">
            <w:pPr>
              <w:spacing w:before="20" w:after="20" w:line="240" w:lineRule="auto"/>
              <w:ind w:left="113" w:right="113"/>
              <w:rPr>
                <w:b/>
                <w:bCs/>
                <w:sz w:val="16"/>
                <w:szCs w:val="16"/>
                <w:lang w:val="en-US"/>
              </w:rPr>
            </w:pPr>
          </w:p>
        </w:tc>
        <w:tc>
          <w:tcPr>
            <w:tcW w:w="1131" w:type="dxa"/>
            <w:tcBorders>
              <w:bottom w:val="single" w:sz="12" w:space="0" w:color="auto"/>
            </w:tcBorders>
            <w:noWrap/>
            <w:vAlign w:val="center"/>
          </w:tcPr>
          <w:p w14:paraId="6BD045E7" w14:textId="77777777" w:rsidR="00043FA7" w:rsidRPr="00396230" w:rsidRDefault="00043FA7" w:rsidP="00956B49">
            <w:pPr>
              <w:spacing w:before="20" w:after="20" w:line="240" w:lineRule="auto"/>
              <w:ind w:left="113" w:right="113"/>
              <w:jc w:val="center"/>
              <w:rPr>
                <w:b/>
                <w:bCs/>
                <w:i/>
                <w:iCs/>
                <w:sz w:val="16"/>
                <w:szCs w:val="16"/>
                <w:lang w:val="en-US"/>
              </w:rPr>
            </w:pPr>
            <w:r w:rsidRPr="00396230">
              <w:rPr>
                <w:b/>
                <w:bCs/>
                <w:i/>
                <w:iCs/>
                <w:sz w:val="16"/>
                <w:szCs w:val="16"/>
                <w:lang w:val="en-US"/>
              </w:rPr>
              <w:t>Class CS</w:t>
            </w:r>
          </w:p>
        </w:tc>
        <w:tc>
          <w:tcPr>
            <w:tcW w:w="1137" w:type="dxa"/>
            <w:tcBorders>
              <w:bottom w:val="single" w:sz="12" w:space="0" w:color="auto"/>
            </w:tcBorders>
            <w:noWrap/>
            <w:vAlign w:val="center"/>
          </w:tcPr>
          <w:p w14:paraId="3016AE39" w14:textId="77777777" w:rsidR="00043FA7" w:rsidRPr="00396230" w:rsidRDefault="00043FA7" w:rsidP="00956B49">
            <w:pPr>
              <w:spacing w:before="20" w:after="20" w:line="240" w:lineRule="auto"/>
              <w:ind w:left="113" w:right="113"/>
              <w:jc w:val="center"/>
              <w:rPr>
                <w:b/>
                <w:bCs/>
                <w:i/>
                <w:iCs/>
                <w:sz w:val="16"/>
                <w:szCs w:val="16"/>
                <w:lang w:val="en-US"/>
              </w:rPr>
            </w:pPr>
            <w:r w:rsidRPr="00396230">
              <w:rPr>
                <w:b/>
                <w:bCs/>
                <w:i/>
                <w:iCs/>
                <w:sz w:val="16"/>
                <w:szCs w:val="16"/>
                <w:lang w:val="en-US"/>
              </w:rPr>
              <w:t>Class DS</w:t>
            </w:r>
          </w:p>
        </w:tc>
        <w:tc>
          <w:tcPr>
            <w:tcW w:w="1560" w:type="dxa"/>
            <w:tcBorders>
              <w:bottom w:val="single" w:sz="12" w:space="0" w:color="auto"/>
            </w:tcBorders>
            <w:noWrap/>
            <w:vAlign w:val="center"/>
          </w:tcPr>
          <w:p w14:paraId="71268B8F" w14:textId="77777777" w:rsidR="00043FA7" w:rsidRPr="00396230" w:rsidRDefault="00043FA7" w:rsidP="00956B49">
            <w:pPr>
              <w:spacing w:before="20" w:after="20" w:line="240" w:lineRule="auto"/>
              <w:jc w:val="center"/>
              <w:rPr>
                <w:b/>
                <w:bCs/>
                <w:i/>
                <w:iCs/>
                <w:sz w:val="16"/>
                <w:szCs w:val="16"/>
                <w:lang w:val="en-US"/>
              </w:rPr>
            </w:pPr>
            <w:r w:rsidRPr="00396230">
              <w:rPr>
                <w:b/>
                <w:bCs/>
                <w:i/>
                <w:iCs/>
                <w:sz w:val="16"/>
                <w:szCs w:val="16"/>
                <w:lang w:val="en-US"/>
              </w:rPr>
              <w:t>Classes CS, DS</w:t>
            </w:r>
          </w:p>
        </w:tc>
      </w:tr>
    </w:tbl>
    <w:p w14:paraId="71540B8F" w14:textId="77777777" w:rsidR="00043FA7" w:rsidRPr="00396230" w:rsidRDefault="00043FA7" w:rsidP="00043FA7">
      <w:pPr>
        <w:spacing w:after="120"/>
        <w:ind w:left="2268" w:right="1395"/>
        <w:jc w:val="both"/>
        <w:rPr>
          <w:i/>
          <w:lang w:val="en-US"/>
        </w:rPr>
      </w:pPr>
      <w:r w:rsidRPr="00396230">
        <w:rPr>
          <w:i/>
          <w:lang w:val="en-US"/>
        </w:rPr>
        <w:t>…</w:t>
      </w:r>
    </w:p>
    <w:tbl>
      <w:tblPr>
        <w:tblW w:w="7782"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1"/>
        <w:gridCol w:w="1276"/>
        <w:gridCol w:w="1417"/>
        <w:gridCol w:w="1131"/>
        <w:gridCol w:w="1137"/>
        <w:gridCol w:w="1560"/>
      </w:tblGrid>
      <w:tr w:rsidR="00043FA7" w:rsidRPr="00396230" w14:paraId="459F5519" w14:textId="77777777" w:rsidTr="00956B49">
        <w:trPr>
          <w:trHeight w:val="312"/>
        </w:trPr>
        <w:tc>
          <w:tcPr>
            <w:tcW w:w="1261" w:type="dxa"/>
            <w:tcBorders>
              <w:bottom w:val="single" w:sz="4" w:space="0" w:color="auto"/>
            </w:tcBorders>
            <w:noWrap/>
            <w:vAlign w:val="center"/>
          </w:tcPr>
          <w:p w14:paraId="17E6849D" w14:textId="77777777" w:rsidR="00043FA7" w:rsidRPr="00396230" w:rsidRDefault="00043FA7" w:rsidP="00956B49">
            <w:pPr>
              <w:spacing w:before="20" w:after="20" w:line="240" w:lineRule="auto"/>
              <w:ind w:left="113" w:right="113"/>
              <w:rPr>
                <w:sz w:val="18"/>
                <w:szCs w:val="18"/>
                <w:lang w:val="en-US"/>
              </w:rPr>
            </w:pPr>
            <w:r w:rsidRPr="00396230">
              <w:rPr>
                <w:sz w:val="18"/>
                <w:szCs w:val="18"/>
                <w:lang w:val="en-US"/>
              </w:rPr>
              <w:t>Segment 5</w:t>
            </w:r>
          </w:p>
        </w:tc>
        <w:tc>
          <w:tcPr>
            <w:tcW w:w="1276" w:type="dxa"/>
            <w:tcBorders>
              <w:bottom w:val="single" w:sz="4" w:space="0" w:color="auto"/>
            </w:tcBorders>
            <w:noWrap/>
            <w:vAlign w:val="center"/>
          </w:tcPr>
          <w:p w14:paraId="017A41FF" w14:textId="77777777" w:rsidR="00043FA7" w:rsidRPr="00396230" w:rsidRDefault="00043FA7" w:rsidP="00956B49">
            <w:pPr>
              <w:spacing w:before="20" w:after="20" w:line="240" w:lineRule="auto"/>
              <w:ind w:left="113" w:right="113"/>
              <w:jc w:val="center"/>
              <w:rPr>
                <w:sz w:val="18"/>
                <w:szCs w:val="18"/>
                <w:lang w:val="en-US"/>
              </w:rPr>
            </w:pPr>
            <w:r w:rsidRPr="00396230">
              <w:rPr>
                <w:sz w:val="18"/>
                <w:szCs w:val="18"/>
                <w:lang w:val="en-US"/>
              </w:rPr>
              <w:t>2°D</w:t>
            </w:r>
          </w:p>
        </w:tc>
        <w:tc>
          <w:tcPr>
            <w:tcW w:w="1417" w:type="dxa"/>
            <w:tcBorders>
              <w:bottom w:val="single" w:sz="4" w:space="0" w:color="auto"/>
            </w:tcBorders>
            <w:noWrap/>
            <w:vAlign w:val="center"/>
          </w:tcPr>
          <w:p w14:paraId="4A4287A3" w14:textId="77777777" w:rsidR="00043FA7" w:rsidRPr="00396230" w:rsidRDefault="00043FA7" w:rsidP="00956B49">
            <w:pPr>
              <w:spacing w:before="20" w:after="20" w:line="240" w:lineRule="auto"/>
              <w:ind w:left="113" w:right="113"/>
              <w:jc w:val="center"/>
              <w:rPr>
                <w:sz w:val="18"/>
                <w:szCs w:val="18"/>
                <w:lang w:val="en-US"/>
              </w:rPr>
            </w:pPr>
            <w:r w:rsidRPr="00396230">
              <w:rPr>
                <w:sz w:val="18"/>
                <w:szCs w:val="18"/>
                <w:lang w:val="en-US"/>
              </w:rPr>
              <w:t>15°L to 15°R</w:t>
            </w:r>
          </w:p>
        </w:tc>
        <w:tc>
          <w:tcPr>
            <w:tcW w:w="1131" w:type="dxa"/>
            <w:tcBorders>
              <w:bottom w:val="single" w:sz="4" w:space="0" w:color="auto"/>
            </w:tcBorders>
            <w:noWrap/>
            <w:vAlign w:val="center"/>
          </w:tcPr>
          <w:p w14:paraId="755A544D" w14:textId="77777777" w:rsidR="00043FA7" w:rsidRPr="00396230" w:rsidRDefault="00043FA7" w:rsidP="00956B49">
            <w:pPr>
              <w:spacing w:before="20" w:after="20" w:line="240" w:lineRule="auto"/>
              <w:ind w:left="113" w:right="113"/>
              <w:jc w:val="center"/>
              <w:rPr>
                <w:sz w:val="18"/>
                <w:szCs w:val="18"/>
                <w:lang w:val="en-US"/>
              </w:rPr>
            </w:pPr>
            <w:r w:rsidRPr="00396230">
              <w:rPr>
                <w:sz w:val="18"/>
                <w:szCs w:val="18"/>
                <w:lang w:val="en-US"/>
              </w:rPr>
              <w:t>5.50∙10</w:t>
            </w:r>
            <w:r w:rsidRPr="00396230">
              <w:rPr>
                <w:sz w:val="18"/>
                <w:szCs w:val="18"/>
                <w:vertAlign w:val="superscript"/>
                <w:lang w:val="en-US"/>
              </w:rPr>
              <w:t>2</w:t>
            </w:r>
          </w:p>
        </w:tc>
        <w:tc>
          <w:tcPr>
            <w:tcW w:w="1137" w:type="dxa"/>
            <w:tcBorders>
              <w:bottom w:val="single" w:sz="4" w:space="0" w:color="auto"/>
            </w:tcBorders>
            <w:noWrap/>
            <w:vAlign w:val="center"/>
          </w:tcPr>
          <w:p w14:paraId="2560FC58" w14:textId="77777777" w:rsidR="00043FA7" w:rsidRPr="00396230" w:rsidRDefault="00043FA7" w:rsidP="00956B49">
            <w:pPr>
              <w:spacing w:before="20" w:after="20" w:line="240" w:lineRule="auto"/>
              <w:ind w:left="113" w:right="113"/>
              <w:jc w:val="center"/>
              <w:rPr>
                <w:sz w:val="18"/>
                <w:szCs w:val="18"/>
                <w:lang w:val="en-US"/>
              </w:rPr>
            </w:pPr>
            <w:r w:rsidRPr="00396230">
              <w:rPr>
                <w:sz w:val="18"/>
                <w:szCs w:val="18"/>
                <w:lang w:val="en-US"/>
              </w:rPr>
              <w:t>1.10∙10</w:t>
            </w:r>
            <w:r w:rsidRPr="00396230">
              <w:rPr>
                <w:sz w:val="18"/>
                <w:szCs w:val="18"/>
                <w:vertAlign w:val="superscript"/>
                <w:lang w:val="en-US"/>
              </w:rPr>
              <w:t>3</w:t>
            </w:r>
          </w:p>
        </w:tc>
        <w:tc>
          <w:tcPr>
            <w:tcW w:w="1560" w:type="dxa"/>
            <w:tcBorders>
              <w:bottom w:val="single" w:sz="4" w:space="0" w:color="auto"/>
            </w:tcBorders>
            <w:noWrap/>
            <w:vAlign w:val="center"/>
          </w:tcPr>
          <w:p w14:paraId="14BD84E0" w14:textId="77777777" w:rsidR="00043FA7" w:rsidRPr="00396230" w:rsidRDefault="00043FA7" w:rsidP="00956B49">
            <w:pPr>
              <w:spacing w:before="20" w:after="20" w:line="240" w:lineRule="auto"/>
              <w:ind w:left="113" w:right="113"/>
              <w:jc w:val="center"/>
              <w:rPr>
                <w:sz w:val="18"/>
                <w:szCs w:val="18"/>
                <w:lang w:val="en-US"/>
              </w:rPr>
            </w:pPr>
            <w:r w:rsidRPr="00396230">
              <w:rPr>
                <w:sz w:val="18"/>
                <w:szCs w:val="18"/>
                <w:lang w:val="en-US"/>
              </w:rPr>
              <w:t>--</w:t>
            </w:r>
          </w:p>
        </w:tc>
      </w:tr>
      <w:tr w:rsidR="00043FA7" w:rsidRPr="00396230" w14:paraId="13A0C54D" w14:textId="77777777" w:rsidTr="00956B49">
        <w:trPr>
          <w:trHeight w:val="324"/>
        </w:trPr>
        <w:tc>
          <w:tcPr>
            <w:tcW w:w="1261" w:type="dxa"/>
            <w:tcBorders>
              <w:bottom w:val="single" w:sz="12" w:space="0" w:color="000000"/>
            </w:tcBorders>
            <w:noWrap/>
            <w:vAlign w:val="center"/>
          </w:tcPr>
          <w:p w14:paraId="0C90841D" w14:textId="77777777" w:rsidR="00043FA7" w:rsidRPr="00396230" w:rsidRDefault="00043FA7" w:rsidP="00956B49">
            <w:pPr>
              <w:spacing w:before="20" w:after="20" w:line="240" w:lineRule="auto"/>
              <w:ind w:left="113" w:right="113"/>
              <w:rPr>
                <w:sz w:val="18"/>
                <w:szCs w:val="18"/>
                <w:lang w:val="en-US"/>
              </w:rPr>
            </w:pPr>
            <w:r w:rsidRPr="00396230">
              <w:rPr>
                <w:sz w:val="18"/>
                <w:szCs w:val="18"/>
                <w:lang w:val="en-US"/>
              </w:rPr>
              <w:t>Segment 6</w:t>
            </w:r>
          </w:p>
        </w:tc>
        <w:tc>
          <w:tcPr>
            <w:tcW w:w="1276" w:type="dxa"/>
            <w:tcBorders>
              <w:bottom w:val="single" w:sz="12" w:space="0" w:color="000000"/>
            </w:tcBorders>
            <w:noWrap/>
            <w:vAlign w:val="center"/>
          </w:tcPr>
          <w:p w14:paraId="1F2912D2" w14:textId="77777777" w:rsidR="00043FA7" w:rsidRPr="00396230" w:rsidRDefault="00043FA7" w:rsidP="00956B49">
            <w:pPr>
              <w:spacing w:before="20" w:after="20" w:line="240" w:lineRule="auto"/>
              <w:ind w:left="113" w:right="113"/>
              <w:jc w:val="center"/>
              <w:rPr>
                <w:sz w:val="18"/>
                <w:szCs w:val="18"/>
                <w:lang w:val="en-US"/>
              </w:rPr>
            </w:pPr>
            <w:r w:rsidRPr="00396230">
              <w:rPr>
                <w:sz w:val="18"/>
                <w:szCs w:val="18"/>
                <w:lang w:val="en-US"/>
              </w:rPr>
              <w:t>4°D</w:t>
            </w:r>
          </w:p>
        </w:tc>
        <w:tc>
          <w:tcPr>
            <w:tcW w:w="1417" w:type="dxa"/>
            <w:tcBorders>
              <w:bottom w:val="single" w:sz="12" w:space="0" w:color="000000"/>
            </w:tcBorders>
            <w:noWrap/>
            <w:vAlign w:val="center"/>
          </w:tcPr>
          <w:p w14:paraId="05C3C44E" w14:textId="77777777" w:rsidR="00043FA7" w:rsidRPr="00396230" w:rsidRDefault="00043FA7" w:rsidP="00956B49">
            <w:pPr>
              <w:spacing w:before="20" w:after="20" w:line="240" w:lineRule="auto"/>
              <w:ind w:left="113" w:right="113"/>
              <w:jc w:val="center"/>
              <w:rPr>
                <w:sz w:val="18"/>
                <w:szCs w:val="18"/>
                <w:lang w:val="en-US"/>
              </w:rPr>
            </w:pPr>
            <w:r w:rsidRPr="00396230">
              <w:rPr>
                <w:sz w:val="18"/>
                <w:szCs w:val="18"/>
                <w:lang w:val="en-US"/>
              </w:rPr>
              <w:t>20°L to 20°R</w:t>
            </w:r>
          </w:p>
        </w:tc>
        <w:tc>
          <w:tcPr>
            <w:tcW w:w="1131" w:type="dxa"/>
            <w:tcBorders>
              <w:bottom w:val="single" w:sz="12" w:space="0" w:color="000000"/>
            </w:tcBorders>
            <w:noWrap/>
            <w:vAlign w:val="center"/>
          </w:tcPr>
          <w:p w14:paraId="424E98C9" w14:textId="77777777" w:rsidR="00043FA7" w:rsidRPr="00396230" w:rsidRDefault="00043FA7" w:rsidP="00956B49">
            <w:pPr>
              <w:spacing w:before="20" w:after="20" w:line="240" w:lineRule="auto"/>
              <w:ind w:left="113" w:right="113"/>
              <w:jc w:val="center"/>
              <w:rPr>
                <w:sz w:val="18"/>
                <w:szCs w:val="18"/>
                <w:lang w:val="en-US"/>
              </w:rPr>
            </w:pPr>
            <w:r w:rsidRPr="00396230">
              <w:rPr>
                <w:sz w:val="18"/>
                <w:szCs w:val="18"/>
                <w:lang w:val="en-US"/>
              </w:rPr>
              <w:t>1.50∙10</w:t>
            </w:r>
            <w:r w:rsidRPr="00396230">
              <w:rPr>
                <w:sz w:val="18"/>
                <w:szCs w:val="18"/>
                <w:vertAlign w:val="superscript"/>
                <w:lang w:val="en-US"/>
              </w:rPr>
              <w:t>2</w:t>
            </w:r>
          </w:p>
        </w:tc>
        <w:tc>
          <w:tcPr>
            <w:tcW w:w="1137" w:type="dxa"/>
            <w:tcBorders>
              <w:bottom w:val="single" w:sz="12" w:space="0" w:color="000000"/>
            </w:tcBorders>
            <w:noWrap/>
            <w:vAlign w:val="center"/>
          </w:tcPr>
          <w:p w14:paraId="5C48368D" w14:textId="77777777" w:rsidR="00043FA7" w:rsidRPr="00396230" w:rsidRDefault="00043FA7" w:rsidP="00956B49">
            <w:pPr>
              <w:spacing w:before="20" w:after="20" w:line="240" w:lineRule="auto"/>
              <w:ind w:left="113" w:right="113"/>
              <w:jc w:val="center"/>
              <w:rPr>
                <w:sz w:val="18"/>
                <w:szCs w:val="18"/>
                <w:lang w:val="en-US"/>
              </w:rPr>
            </w:pPr>
            <w:r w:rsidRPr="00396230">
              <w:rPr>
                <w:sz w:val="18"/>
                <w:szCs w:val="18"/>
                <w:lang w:val="en-US"/>
              </w:rPr>
              <w:t>3.00∙10</w:t>
            </w:r>
            <w:r w:rsidRPr="00396230">
              <w:rPr>
                <w:sz w:val="18"/>
                <w:szCs w:val="18"/>
                <w:vertAlign w:val="superscript"/>
                <w:lang w:val="en-US"/>
              </w:rPr>
              <w:t>2</w:t>
            </w:r>
          </w:p>
        </w:tc>
        <w:tc>
          <w:tcPr>
            <w:tcW w:w="1560" w:type="dxa"/>
            <w:tcBorders>
              <w:bottom w:val="single" w:sz="12" w:space="0" w:color="000000"/>
            </w:tcBorders>
            <w:noWrap/>
            <w:vAlign w:val="bottom"/>
          </w:tcPr>
          <w:p w14:paraId="5961AFC4" w14:textId="0F117A2B" w:rsidR="00043FA7" w:rsidRPr="00396230" w:rsidRDefault="00043FA7" w:rsidP="00956B49">
            <w:pPr>
              <w:spacing w:before="20" w:after="20" w:line="240" w:lineRule="auto"/>
              <w:ind w:left="113" w:right="113"/>
              <w:jc w:val="center"/>
              <w:rPr>
                <w:sz w:val="18"/>
                <w:szCs w:val="18"/>
                <w:lang w:val="en-US"/>
              </w:rPr>
            </w:pPr>
            <w:r w:rsidRPr="00396230">
              <w:rPr>
                <w:sz w:val="18"/>
                <w:szCs w:val="18"/>
                <w:lang w:val="en-US"/>
              </w:rPr>
              <w:t xml:space="preserve">0.8 x the actual measured value at point </w:t>
            </w:r>
            <w:r w:rsidRPr="00396230">
              <w:rPr>
                <w:strike/>
                <w:sz w:val="18"/>
                <w:szCs w:val="18"/>
                <w:lang w:val="en-US"/>
              </w:rPr>
              <w:t>2</w:t>
            </w:r>
            <w:r w:rsidR="00635FF2" w:rsidRPr="00396230">
              <w:rPr>
                <w:b/>
                <w:bCs/>
                <w:sz w:val="18"/>
                <w:szCs w:val="18"/>
                <w:lang w:val="en-US"/>
              </w:rPr>
              <w:t>1.72°D-V</w:t>
            </w:r>
          </w:p>
        </w:tc>
      </w:tr>
    </w:tbl>
    <w:p w14:paraId="1D86BD8F" w14:textId="4BE0FA46" w:rsidR="00043FA7" w:rsidRPr="00396230" w:rsidRDefault="00043FA7" w:rsidP="00396230">
      <w:pPr>
        <w:spacing w:after="120"/>
        <w:ind w:left="2268" w:right="1395"/>
        <w:jc w:val="both"/>
        <w:rPr>
          <w:lang w:val="en-US"/>
        </w:rPr>
      </w:pPr>
      <w:r w:rsidRPr="00396230">
        <w:rPr>
          <w:i/>
          <w:lang w:val="en-US"/>
        </w:rPr>
        <w:t>”</w:t>
      </w:r>
    </w:p>
    <w:p w14:paraId="510A7DC7" w14:textId="77777777" w:rsidR="00F0383F" w:rsidRPr="00396230" w:rsidRDefault="00F0383F" w:rsidP="00F0383F">
      <w:pPr>
        <w:spacing w:after="120"/>
        <w:ind w:left="2268" w:right="1395" w:hanging="1134"/>
        <w:jc w:val="both"/>
        <w:rPr>
          <w:rFonts w:asciiTheme="majorBidi" w:eastAsia="MS Mincho" w:hAnsiTheme="majorBidi" w:cstheme="majorBidi"/>
          <w:b/>
          <w:i/>
        </w:rPr>
      </w:pPr>
      <w:bookmarkStart w:id="2" w:name="_Hlk93942321"/>
      <w:r w:rsidRPr="00396230">
        <w:rPr>
          <w:i/>
          <w:lang w:val="en-US"/>
        </w:rPr>
        <w:t>Annex 1, item 9.1.8.</w:t>
      </w:r>
      <w:bookmarkEnd w:id="2"/>
      <w:r w:rsidRPr="00396230">
        <w:rPr>
          <w:rFonts w:asciiTheme="majorBidi" w:eastAsia="MS Mincho" w:hAnsiTheme="majorBidi" w:cstheme="majorBidi"/>
          <w:i/>
        </w:rPr>
        <w:t>,</w:t>
      </w:r>
      <w:r w:rsidRPr="00396230">
        <w:rPr>
          <w:rFonts w:asciiTheme="majorBidi" w:eastAsia="MS Mincho" w:hAnsiTheme="majorBidi" w:cstheme="majorBidi"/>
          <w:iCs/>
        </w:rPr>
        <w:t xml:space="preserve"> amend to read:</w:t>
      </w:r>
    </w:p>
    <w:p w14:paraId="64955C80" w14:textId="01B90747" w:rsidR="00F0383F" w:rsidRPr="00396230" w:rsidRDefault="00F0383F" w:rsidP="00B048B2">
      <w:pPr>
        <w:spacing w:after="120" w:line="240" w:lineRule="auto"/>
        <w:ind w:left="2268" w:right="1134" w:hanging="1134"/>
      </w:pPr>
      <w:r w:rsidRPr="00396230">
        <w:t>“9.1.8.</w:t>
      </w:r>
      <w:r w:rsidRPr="00396230">
        <w:tab/>
        <w:t xml:space="preserve">Total objective luminous flux as described in paragraph </w:t>
      </w:r>
      <w:r w:rsidRPr="00396230">
        <w:rPr>
          <w:strike/>
        </w:rPr>
        <w:t>4.5.3.4.</w:t>
      </w:r>
      <w:r w:rsidRPr="00396230">
        <w:t xml:space="preserve"> </w:t>
      </w:r>
      <w:r w:rsidRPr="00396230">
        <w:rPr>
          <w:b/>
          <w:bCs/>
        </w:rPr>
        <w:t>4.5.3.5.</w:t>
      </w:r>
      <w:r w:rsidRPr="00396230">
        <w:t xml:space="preserve"> of this Regulation exceeds </w:t>
      </w:r>
      <w:r w:rsidRPr="00396230">
        <w:rPr>
          <w:lang w:val="en-US"/>
        </w:rPr>
        <w:t>2.00∙10</w:t>
      </w:r>
      <w:r w:rsidRPr="00396230">
        <w:rPr>
          <w:vertAlign w:val="superscript"/>
          <w:lang w:val="en-US"/>
        </w:rPr>
        <w:t>3</w:t>
      </w:r>
      <w:r w:rsidRPr="00396230">
        <w:rPr>
          <w:lang w:val="en-US"/>
        </w:rPr>
        <w:t xml:space="preserve"> </w:t>
      </w:r>
      <w:r w:rsidRPr="00396230">
        <w:t>lumens: yes/no/does not apply</w:t>
      </w:r>
      <w:r w:rsidRPr="00396230">
        <w:rPr>
          <w:vertAlign w:val="superscript"/>
        </w:rPr>
        <w:t>2</w:t>
      </w:r>
      <w:r w:rsidRPr="00396230">
        <w:t>”</w:t>
      </w:r>
    </w:p>
    <w:p w14:paraId="72ED0909" w14:textId="77777777" w:rsidR="00E933B8" w:rsidRPr="00396230" w:rsidRDefault="00E933B8" w:rsidP="00E933B8">
      <w:pPr>
        <w:pStyle w:val="HChG"/>
      </w:pPr>
      <w:r w:rsidRPr="00396230">
        <w:tab/>
        <w:t>II.</w:t>
      </w:r>
      <w:r w:rsidRPr="00396230">
        <w:tab/>
        <w:t>Justification</w:t>
      </w:r>
    </w:p>
    <w:p w14:paraId="24B20E0D" w14:textId="277347E8" w:rsidR="00181246" w:rsidRPr="004D5AAF" w:rsidRDefault="00181246" w:rsidP="00EC1691">
      <w:pPr>
        <w:snapToGrid w:val="0"/>
        <w:spacing w:after="120"/>
        <w:ind w:left="1134" w:right="1134"/>
        <w:jc w:val="both"/>
        <w:rPr>
          <w:i/>
          <w:iCs/>
        </w:rPr>
      </w:pPr>
      <w:r w:rsidRPr="004D5AAF">
        <w:rPr>
          <w:rFonts w:eastAsia="MS Mincho"/>
          <w:i/>
          <w:iCs/>
          <w:lang w:eastAsia="ja-JP"/>
        </w:rPr>
        <w:t>Par</w:t>
      </w:r>
      <w:r w:rsidR="000D68A5" w:rsidRPr="004D5AAF">
        <w:rPr>
          <w:rFonts w:eastAsia="MS Mincho"/>
          <w:i/>
          <w:iCs/>
          <w:lang w:eastAsia="ja-JP"/>
        </w:rPr>
        <w:t>agraph</w:t>
      </w:r>
      <w:r w:rsidRPr="004D5AAF">
        <w:rPr>
          <w:rFonts w:eastAsia="MS Mincho"/>
          <w:i/>
          <w:iCs/>
          <w:lang w:eastAsia="ja-JP"/>
        </w:rPr>
        <w:t xml:space="preserve"> </w:t>
      </w:r>
      <w:r w:rsidRPr="004D5AAF">
        <w:rPr>
          <w:i/>
          <w:iCs/>
        </w:rPr>
        <w:t>3.3.2.4.2.</w:t>
      </w:r>
    </w:p>
    <w:p w14:paraId="7D24EECB" w14:textId="26925F36" w:rsidR="00E965E8" w:rsidRPr="004D5AAF" w:rsidRDefault="004D5AAF" w:rsidP="004D5AAF">
      <w:pPr>
        <w:snapToGrid w:val="0"/>
        <w:spacing w:after="120"/>
        <w:ind w:left="1134" w:right="1134"/>
        <w:jc w:val="both"/>
        <w:rPr>
          <w:rFonts w:eastAsia="MS Mincho"/>
          <w:lang w:eastAsia="ja-JP"/>
        </w:rPr>
      </w:pPr>
      <w:r>
        <w:rPr>
          <w:rFonts w:eastAsia="MS Mincho"/>
          <w:lang w:eastAsia="ja-JP"/>
        </w:rPr>
        <w:t>1.</w:t>
      </w:r>
      <w:r>
        <w:rPr>
          <w:rFonts w:eastAsia="MS Mincho"/>
          <w:lang w:eastAsia="ja-JP"/>
        </w:rPr>
        <w:tab/>
      </w:r>
      <w:r w:rsidR="00E965E8" w:rsidRPr="004D5AAF">
        <w:rPr>
          <w:rFonts w:eastAsia="MS Mincho"/>
          <w:lang w:eastAsia="ja-JP"/>
        </w:rPr>
        <w:t>In UN Regulations Nos. 112 (par</w:t>
      </w:r>
      <w:r w:rsidR="006E4371">
        <w:rPr>
          <w:rFonts w:eastAsia="MS Mincho"/>
          <w:lang w:eastAsia="ja-JP"/>
        </w:rPr>
        <w:t xml:space="preserve">agraph </w:t>
      </w:r>
      <w:r w:rsidR="00E965E8" w:rsidRPr="004D5AAF">
        <w:rPr>
          <w:rFonts w:eastAsia="MS Mincho"/>
          <w:lang w:eastAsia="ja-JP"/>
        </w:rPr>
        <w:t>4.2.2.2.), 113 (</w:t>
      </w:r>
      <w:r w:rsidR="006E4371">
        <w:rPr>
          <w:rFonts w:eastAsia="MS Mincho"/>
          <w:lang w:eastAsia="ja-JP"/>
        </w:rPr>
        <w:t xml:space="preserve">paragraph </w:t>
      </w:r>
      <w:r w:rsidR="00E965E8" w:rsidRPr="004D5AAF">
        <w:rPr>
          <w:rFonts w:eastAsia="MS Mincho"/>
          <w:lang w:eastAsia="ja-JP"/>
        </w:rPr>
        <w:t>4.2.2.1.) and 123 (par</w:t>
      </w:r>
      <w:r w:rsidR="006E4371">
        <w:rPr>
          <w:rFonts w:eastAsia="MS Mincho"/>
          <w:lang w:eastAsia="ja-JP"/>
        </w:rPr>
        <w:t>agraph</w:t>
      </w:r>
      <w:r w:rsidR="00E965E8" w:rsidRPr="004D5AAF">
        <w:rPr>
          <w:rFonts w:eastAsia="MS Mincho"/>
          <w:lang w:eastAsia="ja-JP"/>
        </w:rPr>
        <w:t xml:space="preserve"> 4.2.2.7.), the marking of a double-headed arrow was mandatory for devices designed to meet the requirements of both traffic systems.</w:t>
      </w:r>
    </w:p>
    <w:p w14:paraId="0CE9EFBD" w14:textId="489593DD" w:rsidR="00E965E8" w:rsidRPr="004D5AAF" w:rsidRDefault="004D5AAF" w:rsidP="004D5AAF">
      <w:pPr>
        <w:snapToGrid w:val="0"/>
        <w:spacing w:after="120"/>
        <w:ind w:left="1134" w:right="1134"/>
        <w:jc w:val="both"/>
        <w:rPr>
          <w:rFonts w:eastAsia="MS Mincho"/>
          <w:lang w:eastAsia="ja-JP"/>
        </w:rPr>
      </w:pPr>
      <w:r>
        <w:rPr>
          <w:rFonts w:eastAsia="MS Mincho"/>
          <w:lang w:eastAsia="ja-JP"/>
        </w:rPr>
        <w:t>2.</w:t>
      </w:r>
      <w:r>
        <w:rPr>
          <w:rFonts w:eastAsia="MS Mincho"/>
          <w:lang w:eastAsia="ja-JP"/>
        </w:rPr>
        <w:tab/>
      </w:r>
      <w:r w:rsidR="00E965E8" w:rsidRPr="004D5AAF">
        <w:rPr>
          <w:rFonts w:eastAsia="MS Mincho"/>
          <w:lang w:eastAsia="ja-JP"/>
        </w:rPr>
        <w:t>While devices, type</w:t>
      </w:r>
      <w:r w:rsidR="00562786">
        <w:rPr>
          <w:rFonts w:eastAsia="MS Mincho"/>
          <w:lang w:eastAsia="ja-JP"/>
        </w:rPr>
        <w:t xml:space="preserve"> </w:t>
      </w:r>
      <w:r w:rsidR="00E965E8" w:rsidRPr="004D5AAF">
        <w:rPr>
          <w:rFonts w:eastAsia="MS Mincho"/>
          <w:lang w:eastAsia="ja-JP"/>
        </w:rPr>
        <w:t>approved to UN Regulations Nos. 112 or 123, can meet the requirements of both traffic systems "by means of an appropriate adjustment”, for devices type approved to UN Regulation No. 113 this is an inherent characteristic as the beam is symmetric.</w:t>
      </w:r>
    </w:p>
    <w:p w14:paraId="059EE13B" w14:textId="301B79EB" w:rsidR="00E965E8" w:rsidRPr="004D5AAF" w:rsidRDefault="004D5AAF" w:rsidP="004D5AAF">
      <w:pPr>
        <w:snapToGrid w:val="0"/>
        <w:spacing w:after="120"/>
        <w:ind w:left="1134" w:right="1134"/>
        <w:jc w:val="both"/>
        <w:rPr>
          <w:rFonts w:eastAsia="MS Mincho"/>
          <w:lang w:eastAsia="ja-JP"/>
        </w:rPr>
      </w:pPr>
      <w:r>
        <w:rPr>
          <w:rFonts w:eastAsia="MS Mincho"/>
          <w:lang w:eastAsia="ja-JP"/>
        </w:rPr>
        <w:t>3.</w:t>
      </w:r>
      <w:r>
        <w:rPr>
          <w:rFonts w:eastAsia="MS Mincho"/>
          <w:lang w:eastAsia="ja-JP"/>
        </w:rPr>
        <w:tab/>
      </w:r>
      <w:r w:rsidR="00E965E8" w:rsidRPr="004D5AAF">
        <w:rPr>
          <w:rFonts w:eastAsia="MS Mincho"/>
          <w:lang w:eastAsia="ja-JP"/>
        </w:rPr>
        <w:t>When UN Regulation No. 149 was drafted, the different paragraphs of UN Regulations Nos. 112, 113 and 123 where merged and led into current paragraph 3.3.2.4.2. The resulting text may be misinterpreted as if now only systems that include “means of an appropriate adjustment” need to be marked with the double-headed arrow, and symmetrical devices are no longer required to be marked.</w:t>
      </w:r>
    </w:p>
    <w:p w14:paraId="75AB4B94" w14:textId="544DB088" w:rsidR="001F1CB4" w:rsidRPr="004D5AAF" w:rsidRDefault="004D5AAF" w:rsidP="004D5AAF">
      <w:pPr>
        <w:snapToGrid w:val="0"/>
        <w:spacing w:after="120"/>
        <w:ind w:left="1134" w:right="1134"/>
        <w:jc w:val="both"/>
        <w:rPr>
          <w:rFonts w:eastAsia="MS Mincho"/>
          <w:lang w:eastAsia="ja-JP"/>
        </w:rPr>
      </w:pPr>
      <w:r>
        <w:rPr>
          <w:rFonts w:eastAsia="MS Mincho"/>
          <w:lang w:eastAsia="ja-JP"/>
        </w:rPr>
        <w:t>4.</w:t>
      </w:r>
      <w:r>
        <w:rPr>
          <w:rFonts w:eastAsia="MS Mincho"/>
          <w:lang w:eastAsia="ja-JP"/>
        </w:rPr>
        <w:tab/>
      </w:r>
      <w:r w:rsidR="00E965E8" w:rsidRPr="004D5AAF">
        <w:rPr>
          <w:rFonts w:eastAsia="MS Mincho"/>
          <w:lang w:eastAsia="ja-JP"/>
        </w:rPr>
        <w:t>The proposed change to paragraph 3.3.2.4.2. clarifies that the marking requirements continue to apply to all systems, including the symmetrical ones.</w:t>
      </w:r>
    </w:p>
    <w:p w14:paraId="477F6BB2" w14:textId="5B9A456A" w:rsidR="001F1CB4" w:rsidRPr="004D5AAF" w:rsidRDefault="00E965E8" w:rsidP="004D5AAF">
      <w:pPr>
        <w:snapToGrid w:val="0"/>
        <w:spacing w:after="120"/>
        <w:ind w:left="1134" w:right="1134"/>
        <w:jc w:val="both"/>
        <w:rPr>
          <w:rFonts w:eastAsia="MS Mincho"/>
          <w:i/>
          <w:iCs/>
          <w:lang w:eastAsia="ja-JP"/>
        </w:rPr>
      </w:pPr>
      <w:r w:rsidRPr="004D5AAF">
        <w:rPr>
          <w:rFonts w:eastAsia="MS Mincho"/>
          <w:i/>
          <w:iCs/>
          <w:lang w:eastAsia="ja-JP"/>
        </w:rPr>
        <w:t>Tables 6, 7 and 16</w:t>
      </w:r>
    </w:p>
    <w:p w14:paraId="583E54CE" w14:textId="5A1033AF" w:rsidR="00E965E8" w:rsidRPr="00396230" w:rsidRDefault="004D5AAF" w:rsidP="004D5AAF">
      <w:pPr>
        <w:snapToGrid w:val="0"/>
        <w:spacing w:after="120"/>
        <w:ind w:left="1134" w:right="1134"/>
        <w:jc w:val="both"/>
      </w:pPr>
      <w:r>
        <w:rPr>
          <w:rFonts w:eastAsia="MS Mincho"/>
          <w:lang w:eastAsia="ja-JP"/>
        </w:rPr>
        <w:t>5.</w:t>
      </w:r>
      <w:r>
        <w:rPr>
          <w:rFonts w:eastAsia="MS Mincho"/>
          <w:lang w:eastAsia="ja-JP"/>
        </w:rPr>
        <w:tab/>
      </w:r>
      <w:r w:rsidR="00E965E8" w:rsidRPr="004D5AAF">
        <w:rPr>
          <w:rFonts w:eastAsia="MS Mincho"/>
          <w:lang w:eastAsia="ja-JP"/>
        </w:rPr>
        <w:t>Passing</w:t>
      </w:r>
      <w:r>
        <w:rPr>
          <w:rFonts w:eastAsia="MS Mincho"/>
          <w:lang w:eastAsia="ja-JP"/>
        </w:rPr>
        <w:t xml:space="preserve"> </w:t>
      </w:r>
      <w:r w:rsidR="00E965E8" w:rsidRPr="00396230">
        <w:t>beams with a symmetrical cut-off - that is normally located at -0.57° – need a very sharp cut-off in order to produce high luminous intensities at vertically -0.86° and accordingly to allow the fulfilment of the maximum luminous intensity requirement for segment 10 (Tables 6 and 7) respectively segment 6 (Table 16) when these requirements are referenced to measurements at vertically -0.86°.</w:t>
      </w:r>
    </w:p>
    <w:p w14:paraId="6A48387A" w14:textId="744A5B39" w:rsidR="00E965E8" w:rsidRPr="00396230" w:rsidRDefault="004D5AAF" w:rsidP="004D5AAF">
      <w:pPr>
        <w:snapToGrid w:val="0"/>
        <w:spacing w:after="120"/>
        <w:ind w:left="1134" w:right="1134"/>
        <w:jc w:val="both"/>
      </w:pPr>
      <w:r>
        <w:rPr>
          <w:rFonts w:eastAsia="MS Mincho"/>
          <w:lang w:eastAsia="ja-JP"/>
        </w:rPr>
        <w:t>6.</w:t>
      </w:r>
      <w:r>
        <w:rPr>
          <w:rFonts w:eastAsia="MS Mincho"/>
          <w:lang w:eastAsia="ja-JP"/>
        </w:rPr>
        <w:tab/>
      </w:r>
      <w:r w:rsidR="00E965E8" w:rsidRPr="004D5AAF">
        <w:rPr>
          <w:rFonts w:eastAsia="MS Mincho"/>
          <w:lang w:eastAsia="ja-JP"/>
        </w:rPr>
        <w:t>During</w:t>
      </w:r>
      <w:r w:rsidR="00E965E8" w:rsidRPr="00396230">
        <w:t xml:space="preserve"> the development of the improved and simplified photometric tables for the 01 series of amendments to UN Regulation </w:t>
      </w:r>
      <w:r w:rsidR="005E5B38" w:rsidRPr="00396230">
        <w:t xml:space="preserve">No. </w:t>
      </w:r>
      <w:r w:rsidR="00E965E8" w:rsidRPr="00396230">
        <w:t>149 it was overseen, that for passing-beams with symmetrical cut-off the measuring points (elements) 50R respectively P2 - that are located at a distance of 50</w:t>
      </w:r>
      <w:r w:rsidR="005E5B38" w:rsidRPr="00396230">
        <w:t xml:space="preserve"> </w:t>
      </w:r>
      <w:r w:rsidR="00E965E8" w:rsidRPr="00396230">
        <w:t>m in front of the vehicle - are too close to the cut-off in order to get stable measurement results.</w:t>
      </w:r>
    </w:p>
    <w:p w14:paraId="48E7AF9C" w14:textId="74572226" w:rsidR="00E965E8" w:rsidRPr="00396230" w:rsidRDefault="004D5AAF" w:rsidP="004D5AAF">
      <w:pPr>
        <w:snapToGrid w:val="0"/>
        <w:spacing w:after="120"/>
        <w:ind w:left="1134" w:right="1134"/>
        <w:jc w:val="both"/>
      </w:pPr>
      <w:r>
        <w:rPr>
          <w:rFonts w:eastAsia="MS Mincho"/>
          <w:lang w:eastAsia="ja-JP"/>
        </w:rPr>
        <w:t>7.</w:t>
      </w:r>
      <w:r>
        <w:rPr>
          <w:rFonts w:eastAsia="MS Mincho"/>
          <w:lang w:eastAsia="ja-JP"/>
        </w:rPr>
        <w:tab/>
      </w:r>
      <w:r w:rsidR="00E965E8" w:rsidRPr="004D5AAF">
        <w:rPr>
          <w:rFonts w:eastAsia="MS Mincho"/>
          <w:lang w:eastAsia="ja-JP"/>
        </w:rPr>
        <w:t>Accordingly</w:t>
      </w:r>
      <w:r w:rsidR="00E965E8" w:rsidRPr="00396230">
        <w:t>, it is proposed to change this reference to a point that is located farther from the cut-off, at vertically -1.72° (i.e. 25</w:t>
      </w:r>
      <w:r w:rsidR="005E5B38" w:rsidRPr="00396230">
        <w:t xml:space="preserve"> </w:t>
      </w:r>
      <w:r w:rsidR="00E965E8" w:rsidRPr="00396230">
        <w:t>m ahead of the vehicle), in an identical way for all symmetrical passing-beams.</w:t>
      </w:r>
    </w:p>
    <w:p w14:paraId="343507E3" w14:textId="2AFB799E" w:rsidR="00E965E8" w:rsidRPr="00396230" w:rsidRDefault="004D5AAF" w:rsidP="004D5AAF">
      <w:pPr>
        <w:snapToGrid w:val="0"/>
        <w:spacing w:after="120"/>
        <w:ind w:left="1134" w:right="1134"/>
        <w:jc w:val="both"/>
      </w:pPr>
      <w:r>
        <w:lastRenderedPageBreak/>
        <w:t>8.</w:t>
      </w:r>
      <w:r>
        <w:tab/>
      </w:r>
      <w:r w:rsidR="000D68A5" w:rsidRPr="00396230">
        <w:t>In Table 7, the value of the element “S100+S100LL+S100RR” of Class C should be 3.75</w:t>
      </w:r>
      <w:r w:rsidR="00BF42BE" w:rsidRPr="004D5AAF">
        <w:rPr>
          <w:lang w:val="en-US"/>
        </w:rPr>
        <w:t>∙</w:t>
      </w:r>
      <w:r w:rsidR="000D68A5" w:rsidRPr="00396230">
        <w:t>10</w:t>
      </w:r>
      <w:r w:rsidR="000D68A5" w:rsidRPr="004D5AAF">
        <w:rPr>
          <w:vertAlign w:val="superscript"/>
        </w:rPr>
        <w:t>2</w:t>
      </w:r>
      <w:r w:rsidR="000D68A5" w:rsidRPr="00396230">
        <w:t xml:space="preserve"> and not 3.75</w:t>
      </w:r>
      <w:r w:rsidR="00BF42BE" w:rsidRPr="004D5AAF">
        <w:rPr>
          <w:lang w:val="en-US"/>
        </w:rPr>
        <w:t>∙</w:t>
      </w:r>
      <w:r w:rsidR="000D68A5" w:rsidRPr="00396230">
        <w:t>10</w:t>
      </w:r>
      <w:r w:rsidR="000D68A5" w:rsidRPr="004D5AAF">
        <w:rPr>
          <w:vertAlign w:val="superscript"/>
        </w:rPr>
        <w:t>3</w:t>
      </w:r>
      <w:r w:rsidR="000D68A5" w:rsidRPr="00396230">
        <w:t xml:space="preserve">. </w:t>
      </w:r>
      <w:r w:rsidR="000D68A5" w:rsidRPr="004D5AAF">
        <w:rPr>
          <w:rFonts w:eastAsia="MS Mincho"/>
          <w:lang w:eastAsia="ja-JP"/>
        </w:rPr>
        <w:t>The proposed change corrects this typo.</w:t>
      </w:r>
    </w:p>
    <w:p w14:paraId="75A9BC80" w14:textId="37EC1F4E" w:rsidR="006059F0" w:rsidRPr="004D5AAF" w:rsidRDefault="001F1CB4" w:rsidP="00E965E8">
      <w:pPr>
        <w:snapToGrid w:val="0"/>
        <w:spacing w:after="120"/>
        <w:ind w:left="1134" w:right="1134"/>
        <w:jc w:val="both"/>
        <w:rPr>
          <w:i/>
          <w:iCs/>
        </w:rPr>
      </w:pPr>
      <w:r w:rsidRPr="004D5AAF">
        <w:rPr>
          <w:i/>
          <w:iCs/>
        </w:rPr>
        <w:tab/>
      </w:r>
      <w:bookmarkStart w:id="3" w:name="_Hlk94187019"/>
      <w:r w:rsidR="000D68A5" w:rsidRPr="004D5AAF">
        <w:rPr>
          <w:rFonts w:eastAsia="MS Mincho"/>
          <w:i/>
          <w:iCs/>
          <w:lang w:eastAsia="ja-JP"/>
        </w:rPr>
        <w:t xml:space="preserve">Paragraph </w:t>
      </w:r>
      <w:r w:rsidR="000D68A5" w:rsidRPr="004D5AAF">
        <w:rPr>
          <w:i/>
          <w:iCs/>
        </w:rPr>
        <w:t>5.2.3.</w:t>
      </w:r>
    </w:p>
    <w:p w14:paraId="3588C994" w14:textId="4A0EA3CC" w:rsidR="00E85BC7" w:rsidRPr="00396230" w:rsidRDefault="004D5AAF" w:rsidP="004D5AAF">
      <w:pPr>
        <w:snapToGrid w:val="0"/>
        <w:spacing w:after="120"/>
        <w:ind w:left="1134" w:right="1134"/>
        <w:jc w:val="both"/>
      </w:pPr>
      <w:r>
        <w:t>9.</w:t>
      </w:r>
      <w:r>
        <w:tab/>
      </w:r>
      <w:r w:rsidR="000D68A5" w:rsidRPr="00396230">
        <w:t xml:space="preserve">In the 01 series of amendments to UN Regulation No. 149 there is only zone III because zones I and IV </w:t>
      </w:r>
      <w:r w:rsidR="00AA2D6E" w:rsidRPr="00396230">
        <w:t xml:space="preserve">have been </w:t>
      </w:r>
      <w:r w:rsidR="000D68A5" w:rsidRPr="00396230">
        <w:t>replaced by segments</w:t>
      </w:r>
      <w:r w:rsidR="00E85BC7" w:rsidRPr="00396230">
        <w:t>:</w:t>
      </w:r>
    </w:p>
    <w:p w14:paraId="6A4D9CCF" w14:textId="6836D114" w:rsidR="00E85BC7" w:rsidRPr="00396230" w:rsidRDefault="00BD2382" w:rsidP="00BD2382">
      <w:pPr>
        <w:snapToGrid w:val="0"/>
        <w:spacing w:after="120"/>
        <w:ind w:left="1701" w:right="1134" w:hanging="567"/>
        <w:jc w:val="both"/>
      </w:pPr>
      <w:r w:rsidRPr="00396230">
        <w:rPr>
          <w:rFonts w:ascii="Symbol" w:hAnsi="Symbol"/>
        </w:rPr>
        <w:t></w:t>
      </w:r>
      <w:r w:rsidRPr="00396230">
        <w:rPr>
          <w:rFonts w:ascii="Symbol" w:hAnsi="Symbol"/>
        </w:rPr>
        <w:tab/>
      </w:r>
      <w:r w:rsidR="00E85BC7" w:rsidRPr="00396230">
        <w:t>segment 10 replaces zone I (</w:t>
      </w:r>
      <w:r w:rsidR="00A1585B" w:rsidRPr="00396230">
        <w:t>at</w:t>
      </w:r>
      <w:r w:rsidR="00E85BC7" w:rsidRPr="00396230">
        <w:t xml:space="preserve"> vertically 4°D) with regard to the allowed maximum luminous intensity;</w:t>
      </w:r>
    </w:p>
    <w:p w14:paraId="3AAFBF71" w14:textId="2C98C63C" w:rsidR="004D5AAF" w:rsidRDefault="00BD2382" w:rsidP="00BD2382">
      <w:pPr>
        <w:snapToGrid w:val="0"/>
        <w:spacing w:after="120"/>
        <w:ind w:left="1701" w:right="1134" w:hanging="567"/>
        <w:jc w:val="both"/>
      </w:pPr>
      <w:r>
        <w:rPr>
          <w:rFonts w:ascii="Symbol" w:hAnsi="Symbol"/>
        </w:rPr>
        <w:t></w:t>
      </w:r>
      <w:r>
        <w:rPr>
          <w:rFonts w:ascii="Symbol" w:hAnsi="Symbol"/>
        </w:rPr>
        <w:tab/>
      </w:r>
      <w:r w:rsidR="00E85BC7" w:rsidRPr="00396230">
        <w:t>segments 25 (</w:t>
      </w:r>
      <w:r w:rsidR="00A1585B" w:rsidRPr="00396230">
        <w:t>at</w:t>
      </w:r>
      <w:r w:rsidR="00E85BC7" w:rsidRPr="00396230">
        <w:t xml:space="preserve"> vertically 1.72°D) and 50 (</w:t>
      </w:r>
      <w:r w:rsidR="00A1585B" w:rsidRPr="00396230">
        <w:t>at</w:t>
      </w:r>
      <w:r w:rsidR="00E85BC7" w:rsidRPr="00396230">
        <w:t xml:space="preserve"> vertically 0.86°D) replace zone IV with regard to the required minimum luminous intensities</w:t>
      </w:r>
    </w:p>
    <w:p w14:paraId="3811BDDB" w14:textId="47E1BEDF" w:rsidR="000D68A5" w:rsidRPr="00396230" w:rsidRDefault="004D5AAF" w:rsidP="004D5AAF">
      <w:pPr>
        <w:pStyle w:val="ListParagraph"/>
        <w:snapToGrid w:val="0"/>
        <w:spacing w:after="120"/>
        <w:ind w:left="1701" w:right="1134" w:hanging="567"/>
        <w:contextualSpacing w:val="0"/>
        <w:jc w:val="both"/>
      </w:pPr>
      <w:r>
        <w:t>10.</w:t>
      </w:r>
      <w:r>
        <w:tab/>
      </w:r>
      <w:r w:rsidR="00AA2D6E" w:rsidRPr="00396230">
        <w:t>The proposed</w:t>
      </w:r>
      <w:r w:rsidR="00AA2D6E" w:rsidRPr="004D5AAF">
        <w:rPr>
          <w:rFonts w:eastAsia="MS Mincho"/>
          <w:lang w:eastAsia="ja-JP"/>
        </w:rPr>
        <w:t xml:space="preserve"> change corrects the overlooked deletion of </w:t>
      </w:r>
      <w:r w:rsidR="00AA2D6E" w:rsidRPr="00396230">
        <w:t>zones I and IV</w:t>
      </w:r>
      <w:r w:rsidR="00AA2D6E" w:rsidRPr="004D5AAF">
        <w:rPr>
          <w:rFonts w:eastAsia="MS Mincho"/>
          <w:lang w:eastAsia="ja-JP"/>
        </w:rPr>
        <w:t>.</w:t>
      </w:r>
      <w:bookmarkEnd w:id="3"/>
    </w:p>
    <w:p w14:paraId="05B51F75" w14:textId="77777777" w:rsidR="00064FD9" w:rsidRPr="00064FD9" w:rsidRDefault="00AA2D6E" w:rsidP="00064FD9">
      <w:pPr>
        <w:snapToGrid w:val="0"/>
        <w:spacing w:after="120"/>
        <w:ind w:left="1134" w:right="1134"/>
        <w:jc w:val="both"/>
        <w:rPr>
          <w:i/>
          <w:iCs/>
        </w:rPr>
      </w:pPr>
      <w:r w:rsidRPr="00064FD9">
        <w:rPr>
          <w:i/>
          <w:iCs/>
        </w:rPr>
        <w:tab/>
        <w:t>Annex 1, item 9.1.8.</w:t>
      </w:r>
    </w:p>
    <w:p w14:paraId="6F063E18" w14:textId="7BF43E6B" w:rsidR="0036678A" w:rsidRPr="00635FF2" w:rsidRDefault="00064FD9" w:rsidP="00064FD9">
      <w:pPr>
        <w:snapToGrid w:val="0"/>
        <w:spacing w:after="120"/>
        <w:ind w:left="1134" w:right="1134"/>
        <w:jc w:val="both"/>
        <w:rPr>
          <w:lang w:val="en-US"/>
        </w:rPr>
      </w:pPr>
      <w:r>
        <w:t>11.</w:t>
      </w:r>
      <w:r>
        <w:tab/>
      </w:r>
      <w:r w:rsidR="00AA2D6E" w:rsidRPr="00396230">
        <w:rPr>
          <w:rFonts w:eastAsia="MS Mincho"/>
          <w:lang w:eastAsia="ja-JP"/>
        </w:rPr>
        <w:t>The proposed change corrects a typo in the reference</w:t>
      </w:r>
      <w:r w:rsidR="00CC74A2" w:rsidRPr="00396230">
        <w:rPr>
          <w:rFonts w:eastAsia="MS Mincho"/>
          <w:lang w:eastAsia="ja-JP"/>
        </w:rPr>
        <w:t>.</w:t>
      </w:r>
    </w:p>
    <w:p w14:paraId="0800F887" w14:textId="63046E3F" w:rsidR="00E933B8" w:rsidRPr="001F1CB4" w:rsidRDefault="004D0C9D" w:rsidP="001F1CB4">
      <w:pPr>
        <w:spacing w:before="240"/>
        <w:jc w:val="center"/>
        <w:rPr>
          <w:u w:val="single"/>
        </w:rPr>
      </w:pPr>
      <w:r>
        <w:rPr>
          <w:u w:val="single"/>
        </w:rPr>
        <w:tab/>
      </w:r>
      <w:r>
        <w:rPr>
          <w:u w:val="single"/>
        </w:rPr>
        <w:tab/>
      </w:r>
      <w:r>
        <w:rPr>
          <w:u w:val="single"/>
        </w:rPr>
        <w:tab/>
      </w:r>
    </w:p>
    <w:sectPr w:rsidR="00E933B8" w:rsidRPr="001F1CB4" w:rsidSect="003F1AB4">
      <w:headerReference w:type="even" r:id="rId15"/>
      <w:headerReference w:type="default" r:id="rId16"/>
      <w:footerReference w:type="default" r:id="rId17"/>
      <w:headerReference w:type="first" r:id="rId18"/>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255F4" w14:textId="77777777" w:rsidR="00181FE7" w:rsidRDefault="00181FE7"/>
  </w:endnote>
  <w:endnote w:type="continuationSeparator" w:id="0">
    <w:p w14:paraId="317E2407" w14:textId="77777777" w:rsidR="00181FE7" w:rsidRDefault="00181FE7"/>
  </w:endnote>
  <w:endnote w:type="continuationNotice" w:id="1">
    <w:p w14:paraId="58157155" w14:textId="77777777" w:rsidR="00181FE7" w:rsidRDefault="00181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font>
  <w:font w:name="HGSGothicM">
    <w:altName w:val="Yu Gothic"/>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5C8C8" w14:textId="0D9266D0"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7A28B8">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341BE" w14:textId="2CFB3DD9" w:rsidR="00BD2382" w:rsidRDefault="00BD2382" w:rsidP="00BD2382">
    <w:pPr>
      <w:pStyle w:val="Footer"/>
    </w:pPr>
    <w:r w:rsidRPr="0027112F">
      <w:rPr>
        <w:noProof/>
        <w:lang w:val="en-US"/>
      </w:rPr>
      <w:drawing>
        <wp:anchor distT="0" distB="0" distL="114300" distR="114300" simplePos="0" relativeHeight="251659264" behindDoc="0" locked="1" layoutInCell="1" allowOverlap="1" wp14:anchorId="520EAB85" wp14:editId="17D6F82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D807876" w14:textId="5DBBC4C0" w:rsidR="00BD2382" w:rsidRPr="00BD2382" w:rsidRDefault="00BD2382" w:rsidP="00BD2382">
    <w:pPr>
      <w:pStyle w:val="Footer"/>
      <w:ind w:right="1134"/>
      <w:rPr>
        <w:sz w:val="20"/>
      </w:rPr>
    </w:pPr>
    <w:r>
      <w:rPr>
        <w:sz w:val="20"/>
      </w:rPr>
      <w:t>GE.22-01308(E)</w:t>
    </w:r>
    <w:r>
      <w:rPr>
        <w:noProof/>
        <w:sz w:val="20"/>
      </w:rPr>
      <w:drawing>
        <wp:anchor distT="0" distB="0" distL="114300" distR="114300" simplePos="0" relativeHeight="251660288" behindDoc="0" locked="0" layoutInCell="1" allowOverlap="1" wp14:anchorId="78878F26" wp14:editId="7E523BAA">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39F70"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C740F6" w:rsidRPr="002C0FEE" w14:paraId="0264F554" w14:textId="77777777" w:rsidTr="00732AD2">
      <w:tc>
        <w:tcPr>
          <w:tcW w:w="3346" w:type="dxa"/>
        </w:tcPr>
        <w:p w14:paraId="34B87E07" w14:textId="77777777" w:rsidR="00C740F6" w:rsidRPr="00503D4F" w:rsidRDefault="00C740F6" w:rsidP="00732AD2">
          <w:pPr>
            <w:pStyle w:val="Footer"/>
          </w:pPr>
          <w:r>
            <w:rPr>
              <w:noProof/>
              <w:lang w:val="en-US" w:eastAsia="zh-CN"/>
            </w:rPr>
            <w:drawing>
              <wp:inline distT="0" distB="0" distL="0" distR="0" wp14:anchorId="58D914B9" wp14:editId="1AFCED3A">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4C7B394"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1C40F0DC"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76243CFA" w14:textId="77777777"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CA473" w14:textId="77777777"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591CC5">
      <w:rPr>
        <w:b/>
        <w:noProof/>
        <w:sz w:val="18"/>
      </w:rPr>
      <w:t>9</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21811" w14:textId="77777777" w:rsidR="00181FE7" w:rsidRPr="000B175B" w:rsidRDefault="00181FE7" w:rsidP="000B175B">
      <w:pPr>
        <w:tabs>
          <w:tab w:val="right" w:pos="2155"/>
        </w:tabs>
        <w:spacing w:after="80"/>
        <w:ind w:left="680"/>
        <w:rPr>
          <w:u w:val="single"/>
        </w:rPr>
      </w:pPr>
      <w:r>
        <w:rPr>
          <w:u w:val="single"/>
        </w:rPr>
        <w:tab/>
      </w:r>
    </w:p>
  </w:footnote>
  <w:footnote w:type="continuationSeparator" w:id="0">
    <w:p w14:paraId="143EB693" w14:textId="77777777" w:rsidR="00181FE7" w:rsidRPr="00FC68B7" w:rsidRDefault="00181FE7" w:rsidP="00FC68B7">
      <w:pPr>
        <w:tabs>
          <w:tab w:val="left" w:pos="2155"/>
        </w:tabs>
        <w:spacing w:after="80"/>
        <w:ind w:left="680"/>
        <w:rPr>
          <w:u w:val="single"/>
        </w:rPr>
      </w:pPr>
      <w:r>
        <w:rPr>
          <w:u w:val="single"/>
        </w:rPr>
        <w:tab/>
      </w:r>
    </w:p>
  </w:footnote>
  <w:footnote w:type="continuationNotice" w:id="1">
    <w:p w14:paraId="1DE2B4CC" w14:textId="77777777" w:rsidR="00181FE7" w:rsidRDefault="00181FE7"/>
  </w:footnote>
  <w:footnote w:id="2">
    <w:p w14:paraId="26469265" w14:textId="0D52440D" w:rsidR="00E317C2" w:rsidRPr="004876E3" w:rsidRDefault="00E317C2" w:rsidP="00297676">
      <w:pPr>
        <w:pStyle w:val="FootnoteText"/>
      </w:pPr>
      <w:r w:rsidRPr="00A90EA8">
        <w:tab/>
      </w:r>
      <w:r w:rsidR="00F3615B">
        <w:rPr>
          <w:rStyle w:val="FootnoteReference"/>
          <w:lang w:val="en-US"/>
        </w:rPr>
        <w:t>*</w:t>
      </w:r>
      <w:r w:rsidR="00F3615B">
        <w:rPr>
          <w:lang w:val="en-US"/>
        </w:rPr>
        <w:tab/>
      </w:r>
      <w:r w:rsidR="00FE3477">
        <w:rPr>
          <w:szCs w:val="18"/>
          <w:lang w:val="en-US"/>
        </w:rPr>
        <w:t>In accordance with the programme of work of the Inland Transport Committee for 2022 as outlined in proposed programme budget for 2022 (A/76/6 (Sect.20), para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3B1C1" w14:textId="5491F9D1" w:rsidR="00C740F6" w:rsidRPr="006C395D" w:rsidRDefault="00C740F6" w:rsidP="005726B5">
    <w:pPr>
      <w:pStyle w:val="Header"/>
    </w:pPr>
    <w:r w:rsidRPr="00155295">
      <w:t>ECE/TRANS/WP.29/GRE/20</w:t>
    </w:r>
    <w:r w:rsidR="006D181F" w:rsidRPr="00155295">
      <w:t>2</w:t>
    </w:r>
    <w:r w:rsidR="00FE3477">
      <w:t>2</w:t>
    </w:r>
    <w:r w:rsidRPr="00155295">
      <w:t>/</w:t>
    </w:r>
    <w:r w:rsidR="0090148F">
      <w:rPr>
        <w:lang w:val="ru-RU"/>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5647F" w14:textId="3CFEF16D" w:rsidR="00C740F6" w:rsidRPr="006C395D" w:rsidRDefault="00C740F6" w:rsidP="00DA725B">
    <w:pPr>
      <w:pStyle w:val="Header"/>
      <w:jc w:val="right"/>
    </w:pPr>
    <w:r w:rsidRPr="00155295">
      <w:t>ECE/TRANS/WP.29/GRE/20</w:t>
    </w:r>
    <w:r w:rsidR="004223FF" w:rsidRPr="00155295">
      <w:t>2</w:t>
    </w:r>
    <w:r w:rsidR="00FE3477">
      <w:t>2</w:t>
    </w:r>
    <w:r w:rsidRPr="00155295">
      <w:t>/</w:t>
    </w:r>
    <w:r w:rsidR="0090148F">
      <w:rPr>
        <w:lang w:val="ru-RU"/>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BB142"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245F98"/>
    <w:multiLevelType w:val="hybridMultilevel"/>
    <w:tmpl w:val="16E49E38"/>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5" w15:restartNumberingAfterBreak="0">
    <w:nsid w:val="27B452D6"/>
    <w:multiLevelType w:val="hybridMultilevel"/>
    <w:tmpl w:val="78B8CF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E0C5C"/>
    <w:multiLevelType w:val="hybridMultilevel"/>
    <w:tmpl w:val="7CBE04D4"/>
    <w:lvl w:ilvl="0" w:tplc="5B983728">
      <w:start w:val="1"/>
      <w:numFmt w:val="decimal"/>
      <w:lvlText w:val="%1."/>
      <w:lvlJc w:val="left"/>
      <w:pPr>
        <w:ind w:left="1689" w:hanging="555"/>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1" w15:restartNumberingAfterBreak="0">
    <w:nsid w:val="3C5E3004"/>
    <w:multiLevelType w:val="hybridMultilevel"/>
    <w:tmpl w:val="16E49E38"/>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2"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3" w15:restartNumberingAfterBreak="0">
    <w:nsid w:val="3D745A9B"/>
    <w:multiLevelType w:val="hybridMultilevel"/>
    <w:tmpl w:val="565671EE"/>
    <w:lvl w:ilvl="0" w:tplc="BEE8785E">
      <w:start w:val="1"/>
      <w:numFmt w:val="lowerLetter"/>
      <w:lvlText w:val="(%1)"/>
      <w:lvlJc w:val="left"/>
      <w:pPr>
        <w:ind w:left="1854" w:hanging="360"/>
      </w:pPr>
      <w:rPr>
        <w:rFonts w:hint="default"/>
      </w:r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4"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5"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76B7ABC"/>
    <w:multiLevelType w:val="hybridMultilevel"/>
    <w:tmpl w:val="993AE4F6"/>
    <w:lvl w:ilvl="0" w:tplc="04090001">
      <w:start w:val="1"/>
      <w:numFmt w:val="bullet"/>
      <w:lvlText w:val=""/>
      <w:lvlJc w:val="left"/>
      <w:pPr>
        <w:ind w:left="2061" w:hanging="360"/>
      </w:pPr>
      <w:rPr>
        <w:rFonts w:ascii="Symbol" w:hAnsi="Symbol"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7" w15:restartNumberingAfterBreak="0">
    <w:nsid w:val="58A0497D"/>
    <w:multiLevelType w:val="hybridMultilevel"/>
    <w:tmpl w:val="1DB61B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15:restartNumberingAfterBreak="0">
    <w:nsid w:val="5BEA7A81"/>
    <w:multiLevelType w:val="hybridMultilevel"/>
    <w:tmpl w:val="3DBEF1D0"/>
    <w:lvl w:ilvl="0" w:tplc="1BDC0AB6">
      <w:numFmt w:val="bullet"/>
      <w:lvlText w:val="-"/>
      <w:lvlJc w:val="left"/>
      <w:pPr>
        <w:ind w:left="1068" w:hanging="360"/>
      </w:pPr>
      <w:rPr>
        <w:rFonts w:ascii="Calibri" w:eastAsia="Calibri" w:hAnsi="Calibri" w:cs="Calibri"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20" w15:restartNumberingAfterBreak="0">
    <w:nsid w:val="5D4F5FF2"/>
    <w:multiLevelType w:val="hybridMultilevel"/>
    <w:tmpl w:val="7B920D8A"/>
    <w:lvl w:ilvl="0" w:tplc="B532E04C">
      <w:numFmt w:val="bullet"/>
      <w:lvlText w:val="-"/>
      <w:lvlJc w:val="left"/>
      <w:pPr>
        <w:ind w:left="2061" w:hanging="360"/>
      </w:pPr>
      <w:rPr>
        <w:rFonts w:ascii="Times New Roman" w:eastAsia="Times New Roman" w:hAnsi="Times New Roman"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15:restartNumberingAfterBreak="0">
    <w:nsid w:val="75D8213E"/>
    <w:multiLevelType w:val="hybridMultilevel"/>
    <w:tmpl w:val="02A4AEE8"/>
    <w:lvl w:ilvl="0" w:tplc="BEE8785E">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num w:numId="1">
    <w:abstractNumId w:val="1"/>
  </w:num>
  <w:num w:numId="2">
    <w:abstractNumId w:val="22"/>
  </w:num>
  <w:num w:numId="3">
    <w:abstractNumId w:val="12"/>
  </w:num>
  <w:num w:numId="4">
    <w:abstractNumId w:val="18"/>
  </w:num>
  <w:num w:numId="5">
    <w:abstractNumId w:val="21"/>
  </w:num>
  <w:num w:numId="6">
    <w:abstractNumId w:val="3"/>
  </w:num>
  <w:num w:numId="7">
    <w:abstractNumId w:val="2"/>
  </w:num>
  <w:num w:numId="8">
    <w:abstractNumId w:val="15"/>
  </w:num>
  <w:num w:numId="9">
    <w:abstractNumId w:val="8"/>
  </w:num>
  <w:num w:numId="10">
    <w:abstractNumId w:val="9"/>
  </w:num>
  <w:num w:numId="11">
    <w:abstractNumId w:val="7"/>
  </w:num>
  <w:num w:numId="12">
    <w:abstractNumId w:val="0"/>
  </w:num>
  <w:num w:numId="13">
    <w:abstractNumId w:val="23"/>
  </w:num>
  <w:num w:numId="14">
    <w:abstractNumId w:val="6"/>
  </w:num>
  <w:num w:numId="15">
    <w:abstractNumId w:val="14"/>
  </w:num>
  <w:num w:numId="16">
    <w:abstractNumId w:val="5"/>
  </w:num>
  <w:num w:numId="17">
    <w:abstractNumId w:val="17"/>
  </w:num>
  <w:num w:numId="18">
    <w:abstractNumId w:val="4"/>
  </w:num>
  <w:num w:numId="19">
    <w:abstractNumId w:val="10"/>
  </w:num>
  <w:num w:numId="20">
    <w:abstractNumId w:val="11"/>
  </w:num>
  <w:num w:numId="21">
    <w:abstractNumId w:val="19"/>
  </w:num>
  <w:num w:numId="22">
    <w:abstractNumId w:val="20"/>
  </w:num>
  <w:num w:numId="23">
    <w:abstractNumId w:val="13"/>
  </w:num>
  <w:num w:numId="24">
    <w:abstractNumId w:val="24"/>
  </w:num>
  <w:num w:numId="2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ru-RU"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09"/>
    <w:rsid w:val="000003BE"/>
    <w:rsid w:val="00000466"/>
    <w:rsid w:val="00000470"/>
    <w:rsid w:val="00000C5E"/>
    <w:rsid w:val="00001656"/>
    <w:rsid w:val="000016A0"/>
    <w:rsid w:val="00001A75"/>
    <w:rsid w:val="0000230D"/>
    <w:rsid w:val="00002517"/>
    <w:rsid w:val="00002647"/>
    <w:rsid w:val="00002BFB"/>
    <w:rsid w:val="00002FFF"/>
    <w:rsid w:val="000036AF"/>
    <w:rsid w:val="00003E31"/>
    <w:rsid w:val="00004299"/>
    <w:rsid w:val="000051ED"/>
    <w:rsid w:val="000055BF"/>
    <w:rsid w:val="000060A0"/>
    <w:rsid w:val="000067BC"/>
    <w:rsid w:val="0000759A"/>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558"/>
    <w:rsid w:val="00023BEE"/>
    <w:rsid w:val="000240E6"/>
    <w:rsid w:val="00024A79"/>
    <w:rsid w:val="00025D05"/>
    <w:rsid w:val="00026D89"/>
    <w:rsid w:val="00027645"/>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35B2B"/>
    <w:rsid w:val="000402B0"/>
    <w:rsid w:val="00041720"/>
    <w:rsid w:val="00041C3C"/>
    <w:rsid w:val="00041EC5"/>
    <w:rsid w:val="00042473"/>
    <w:rsid w:val="00042A0F"/>
    <w:rsid w:val="000432BE"/>
    <w:rsid w:val="00043668"/>
    <w:rsid w:val="00043FA7"/>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4FD9"/>
    <w:rsid w:val="00065074"/>
    <w:rsid w:val="0006558E"/>
    <w:rsid w:val="00065CE7"/>
    <w:rsid w:val="000726E9"/>
    <w:rsid w:val="00072C8C"/>
    <w:rsid w:val="00073334"/>
    <w:rsid w:val="00073CB8"/>
    <w:rsid w:val="0007404A"/>
    <w:rsid w:val="0007465C"/>
    <w:rsid w:val="00074DA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111D"/>
    <w:rsid w:val="00092FF9"/>
    <w:rsid w:val="000931C0"/>
    <w:rsid w:val="0009359F"/>
    <w:rsid w:val="0009389D"/>
    <w:rsid w:val="00093AB3"/>
    <w:rsid w:val="00093E34"/>
    <w:rsid w:val="00093E6D"/>
    <w:rsid w:val="00094228"/>
    <w:rsid w:val="00094AF7"/>
    <w:rsid w:val="00094B73"/>
    <w:rsid w:val="000954C6"/>
    <w:rsid w:val="00095AD2"/>
    <w:rsid w:val="000960D4"/>
    <w:rsid w:val="00096380"/>
    <w:rsid w:val="000977A6"/>
    <w:rsid w:val="000A0D40"/>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C62"/>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5D67"/>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68A5"/>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1FC"/>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2DD2"/>
    <w:rsid w:val="00114856"/>
    <w:rsid w:val="001149F1"/>
    <w:rsid w:val="00115C3A"/>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2749C"/>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295"/>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A45"/>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805D4"/>
    <w:rsid w:val="0018107B"/>
    <w:rsid w:val="001810AB"/>
    <w:rsid w:val="00181246"/>
    <w:rsid w:val="00181398"/>
    <w:rsid w:val="00181612"/>
    <w:rsid w:val="00181879"/>
    <w:rsid w:val="00181A03"/>
    <w:rsid w:val="00181FE7"/>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4F08"/>
    <w:rsid w:val="001C54AD"/>
    <w:rsid w:val="001C5C35"/>
    <w:rsid w:val="001C65BE"/>
    <w:rsid w:val="001C6663"/>
    <w:rsid w:val="001C7168"/>
    <w:rsid w:val="001C7307"/>
    <w:rsid w:val="001C7895"/>
    <w:rsid w:val="001C7D2D"/>
    <w:rsid w:val="001D1424"/>
    <w:rsid w:val="001D18E6"/>
    <w:rsid w:val="001D1E2D"/>
    <w:rsid w:val="001D2267"/>
    <w:rsid w:val="001D26DF"/>
    <w:rsid w:val="001D374A"/>
    <w:rsid w:val="001D3DF5"/>
    <w:rsid w:val="001D3F85"/>
    <w:rsid w:val="001D4641"/>
    <w:rsid w:val="001D4692"/>
    <w:rsid w:val="001D4841"/>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E74ED"/>
    <w:rsid w:val="001F05DD"/>
    <w:rsid w:val="001F13D6"/>
    <w:rsid w:val="001F154E"/>
    <w:rsid w:val="001F1CB4"/>
    <w:rsid w:val="001F30FC"/>
    <w:rsid w:val="001F3B63"/>
    <w:rsid w:val="001F4438"/>
    <w:rsid w:val="001F58D3"/>
    <w:rsid w:val="001F71E6"/>
    <w:rsid w:val="001F7234"/>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6C50"/>
    <w:rsid w:val="002175B5"/>
    <w:rsid w:val="002213C1"/>
    <w:rsid w:val="0022190B"/>
    <w:rsid w:val="00221B6B"/>
    <w:rsid w:val="00221D57"/>
    <w:rsid w:val="002222A1"/>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5FF8"/>
    <w:rsid w:val="00256067"/>
    <w:rsid w:val="0025722A"/>
    <w:rsid w:val="002576BB"/>
    <w:rsid w:val="00260F9D"/>
    <w:rsid w:val="002616D5"/>
    <w:rsid w:val="002620C5"/>
    <w:rsid w:val="002621C1"/>
    <w:rsid w:val="00263139"/>
    <w:rsid w:val="00263319"/>
    <w:rsid w:val="0026353E"/>
    <w:rsid w:val="00263E17"/>
    <w:rsid w:val="0026467A"/>
    <w:rsid w:val="00264E35"/>
    <w:rsid w:val="002664D7"/>
    <w:rsid w:val="00266BE5"/>
    <w:rsid w:val="002674E1"/>
    <w:rsid w:val="0026772B"/>
    <w:rsid w:val="00267D6A"/>
    <w:rsid w:val="00267EE0"/>
    <w:rsid w:val="00272836"/>
    <w:rsid w:val="002738B6"/>
    <w:rsid w:val="00273E80"/>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44A7"/>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76"/>
    <w:rsid w:val="00297687"/>
    <w:rsid w:val="00297A0F"/>
    <w:rsid w:val="002A0E47"/>
    <w:rsid w:val="002A102F"/>
    <w:rsid w:val="002A1093"/>
    <w:rsid w:val="002A1682"/>
    <w:rsid w:val="002A1CDD"/>
    <w:rsid w:val="002A35C6"/>
    <w:rsid w:val="002A3860"/>
    <w:rsid w:val="002A4C5B"/>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8EA"/>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1939"/>
    <w:rsid w:val="002C27BB"/>
    <w:rsid w:val="002C2C34"/>
    <w:rsid w:val="002C4714"/>
    <w:rsid w:val="002C4813"/>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2E2"/>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6"/>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C39"/>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0095"/>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D3C"/>
    <w:rsid w:val="00343B8A"/>
    <w:rsid w:val="0034544A"/>
    <w:rsid w:val="00345A98"/>
    <w:rsid w:val="00346885"/>
    <w:rsid w:val="00347100"/>
    <w:rsid w:val="003502CB"/>
    <w:rsid w:val="0035085A"/>
    <w:rsid w:val="00350F87"/>
    <w:rsid w:val="0035448A"/>
    <w:rsid w:val="00354A29"/>
    <w:rsid w:val="00354B00"/>
    <w:rsid w:val="0035743B"/>
    <w:rsid w:val="00360359"/>
    <w:rsid w:val="00360EDD"/>
    <w:rsid w:val="0036187E"/>
    <w:rsid w:val="0036339F"/>
    <w:rsid w:val="00363C80"/>
    <w:rsid w:val="0036678A"/>
    <w:rsid w:val="0036737E"/>
    <w:rsid w:val="003674C4"/>
    <w:rsid w:val="00367889"/>
    <w:rsid w:val="003678CF"/>
    <w:rsid w:val="00367E1C"/>
    <w:rsid w:val="0037071B"/>
    <w:rsid w:val="0037129A"/>
    <w:rsid w:val="003715A2"/>
    <w:rsid w:val="00373117"/>
    <w:rsid w:val="003744EA"/>
    <w:rsid w:val="00374E29"/>
    <w:rsid w:val="00375DF9"/>
    <w:rsid w:val="00375FAF"/>
    <w:rsid w:val="003761B0"/>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27"/>
    <w:rsid w:val="00394564"/>
    <w:rsid w:val="00394B0F"/>
    <w:rsid w:val="0039511C"/>
    <w:rsid w:val="00396230"/>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4D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AB4"/>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3FF"/>
    <w:rsid w:val="00422DF8"/>
    <w:rsid w:val="004244E3"/>
    <w:rsid w:val="00424A75"/>
    <w:rsid w:val="00425080"/>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8A5"/>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51E"/>
    <w:rsid w:val="00483909"/>
    <w:rsid w:val="00485227"/>
    <w:rsid w:val="0048560F"/>
    <w:rsid w:val="00485638"/>
    <w:rsid w:val="0048637F"/>
    <w:rsid w:val="0048638C"/>
    <w:rsid w:val="00486A6B"/>
    <w:rsid w:val="00487E1A"/>
    <w:rsid w:val="00490CE1"/>
    <w:rsid w:val="00491139"/>
    <w:rsid w:val="00491EB5"/>
    <w:rsid w:val="00492857"/>
    <w:rsid w:val="00493027"/>
    <w:rsid w:val="00493509"/>
    <w:rsid w:val="004935AD"/>
    <w:rsid w:val="00494601"/>
    <w:rsid w:val="00494CA7"/>
    <w:rsid w:val="00494CF4"/>
    <w:rsid w:val="00494FDB"/>
    <w:rsid w:val="00495554"/>
    <w:rsid w:val="00495C25"/>
    <w:rsid w:val="00496127"/>
    <w:rsid w:val="0049628D"/>
    <w:rsid w:val="00496670"/>
    <w:rsid w:val="00496E16"/>
    <w:rsid w:val="00497763"/>
    <w:rsid w:val="00497E08"/>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9D"/>
    <w:rsid w:val="004D0CC4"/>
    <w:rsid w:val="004D0DA2"/>
    <w:rsid w:val="004D1558"/>
    <w:rsid w:val="004D3766"/>
    <w:rsid w:val="004D4092"/>
    <w:rsid w:val="004D4E9D"/>
    <w:rsid w:val="004D5AAF"/>
    <w:rsid w:val="004D5BB3"/>
    <w:rsid w:val="004D5ECA"/>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5CC7"/>
    <w:rsid w:val="0050633E"/>
    <w:rsid w:val="005065AF"/>
    <w:rsid w:val="005067BB"/>
    <w:rsid w:val="00506A25"/>
    <w:rsid w:val="0050702C"/>
    <w:rsid w:val="00510ED7"/>
    <w:rsid w:val="00511475"/>
    <w:rsid w:val="00512D17"/>
    <w:rsid w:val="005137EC"/>
    <w:rsid w:val="005141C8"/>
    <w:rsid w:val="00515925"/>
    <w:rsid w:val="00515AAA"/>
    <w:rsid w:val="0051677E"/>
    <w:rsid w:val="00516EB3"/>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786"/>
    <w:rsid w:val="00562EF1"/>
    <w:rsid w:val="0056305D"/>
    <w:rsid w:val="0056325D"/>
    <w:rsid w:val="00563A61"/>
    <w:rsid w:val="00564378"/>
    <w:rsid w:val="0056461D"/>
    <w:rsid w:val="00564711"/>
    <w:rsid w:val="00564F80"/>
    <w:rsid w:val="0056522F"/>
    <w:rsid w:val="00566F70"/>
    <w:rsid w:val="005674CA"/>
    <w:rsid w:val="00567552"/>
    <w:rsid w:val="005721F9"/>
    <w:rsid w:val="005724FB"/>
    <w:rsid w:val="0057254A"/>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1CC5"/>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5BE"/>
    <w:rsid w:val="005C4772"/>
    <w:rsid w:val="005C4A51"/>
    <w:rsid w:val="005C4AD0"/>
    <w:rsid w:val="005C4F06"/>
    <w:rsid w:val="005C5903"/>
    <w:rsid w:val="005C5F3E"/>
    <w:rsid w:val="005D04F8"/>
    <w:rsid w:val="005D060B"/>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7C9"/>
    <w:rsid w:val="005E5B38"/>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9F0"/>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3A1D"/>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5FF2"/>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38C"/>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80D"/>
    <w:rsid w:val="006809E9"/>
    <w:rsid w:val="006815C1"/>
    <w:rsid w:val="00681C44"/>
    <w:rsid w:val="00682395"/>
    <w:rsid w:val="00683364"/>
    <w:rsid w:val="0068337B"/>
    <w:rsid w:val="00683383"/>
    <w:rsid w:val="00683445"/>
    <w:rsid w:val="00683F6F"/>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782"/>
    <w:rsid w:val="006C395D"/>
    <w:rsid w:val="006C3F2A"/>
    <w:rsid w:val="006C507B"/>
    <w:rsid w:val="006C5266"/>
    <w:rsid w:val="006C5E27"/>
    <w:rsid w:val="006C63D0"/>
    <w:rsid w:val="006C6B53"/>
    <w:rsid w:val="006C6EC4"/>
    <w:rsid w:val="006C77F5"/>
    <w:rsid w:val="006D181F"/>
    <w:rsid w:val="006D24AD"/>
    <w:rsid w:val="006D2875"/>
    <w:rsid w:val="006D28EE"/>
    <w:rsid w:val="006D2D5B"/>
    <w:rsid w:val="006D332E"/>
    <w:rsid w:val="006D4452"/>
    <w:rsid w:val="006D548F"/>
    <w:rsid w:val="006D55B1"/>
    <w:rsid w:val="006D5608"/>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71"/>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59"/>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5A8"/>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0E7"/>
    <w:rsid w:val="00766D0C"/>
    <w:rsid w:val="0077070E"/>
    <w:rsid w:val="00770FB1"/>
    <w:rsid w:val="007714EA"/>
    <w:rsid w:val="00772451"/>
    <w:rsid w:val="00772821"/>
    <w:rsid w:val="0077290F"/>
    <w:rsid w:val="00772A4F"/>
    <w:rsid w:val="00772D55"/>
    <w:rsid w:val="00773503"/>
    <w:rsid w:val="00774057"/>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87B74"/>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8B8"/>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D7912"/>
    <w:rsid w:val="007E0651"/>
    <w:rsid w:val="007E1056"/>
    <w:rsid w:val="007E1267"/>
    <w:rsid w:val="007E13DF"/>
    <w:rsid w:val="007E1680"/>
    <w:rsid w:val="007E1844"/>
    <w:rsid w:val="007E23C0"/>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75D"/>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4B2F"/>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6B65"/>
    <w:rsid w:val="0083738E"/>
    <w:rsid w:val="008375D1"/>
    <w:rsid w:val="00837F07"/>
    <w:rsid w:val="00840C0E"/>
    <w:rsid w:val="0084165E"/>
    <w:rsid w:val="008419DA"/>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908"/>
    <w:rsid w:val="00887D97"/>
    <w:rsid w:val="00890434"/>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00C"/>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700"/>
    <w:rsid w:val="008F1E75"/>
    <w:rsid w:val="008F24ED"/>
    <w:rsid w:val="008F2A43"/>
    <w:rsid w:val="008F2C7F"/>
    <w:rsid w:val="008F2D7F"/>
    <w:rsid w:val="008F393B"/>
    <w:rsid w:val="008F3E56"/>
    <w:rsid w:val="008F411B"/>
    <w:rsid w:val="008F59E5"/>
    <w:rsid w:val="008F6392"/>
    <w:rsid w:val="008F645E"/>
    <w:rsid w:val="008F6E0A"/>
    <w:rsid w:val="008F7B12"/>
    <w:rsid w:val="008F7B80"/>
    <w:rsid w:val="00900652"/>
    <w:rsid w:val="0090101E"/>
    <w:rsid w:val="0090148F"/>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903"/>
    <w:rsid w:val="00914CE3"/>
    <w:rsid w:val="00915927"/>
    <w:rsid w:val="009168B9"/>
    <w:rsid w:val="00916A93"/>
    <w:rsid w:val="00916B5E"/>
    <w:rsid w:val="00917B86"/>
    <w:rsid w:val="00917F0D"/>
    <w:rsid w:val="00920CB7"/>
    <w:rsid w:val="00920D3E"/>
    <w:rsid w:val="00922558"/>
    <w:rsid w:val="00922C04"/>
    <w:rsid w:val="009238E0"/>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262E"/>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8D8"/>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5B"/>
    <w:rsid w:val="00A15890"/>
    <w:rsid w:val="00A17675"/>
    <w:rsid w:val="00A2080B"/>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2D6E"/>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294"/>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C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48B2"/>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2CD"/>
    <w:rsid w:val="00B60540"/>
    <w:rsid w:val="00B61699"/>
    <w:rsid w:val="00B62171"/>
    <w:rsid w:val="00B621F2"/>
    <w:rsid w:val="00B63069"/>
    <w:rsid w:val="00B632AD"/>
    <w:rsid w:val="00B6427F"/>
    <w:rsid w:val="00B64D96"/>
    <w:rsid w:val="00B65BAB"/>
    <w:rsid w:val="00B70194"/>
    <w:rsid w:val="00B7104F"/>
    <w:rsid w:val="00B71490"/>
    <w:rsid w:val="00B72174"/>
    <w:rsid w:val="00B73A18"/>
    <w:rsid w:val="00B74197"/>
    <w:rsid w:val="00B75D8C"/>
    <w:rsid w:val="00B76480"/>
    <w:rsid w:val="00B76F95"/>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472"/>
    <w:rsid w:val="00B96C01"/>
    <w:rsid w:val="00BA0496"/>
    <w:rsid w:val="00BA1931"/>
    <w:rsid w:val="00BA212A"/>
    <w:rsid w:val="00BA21AB"/>
    <w:rsid w:val="00BA299A"/>
    <w:rsid w:val="00BA3E22"/>
    <w:rsid w:val="00BA4047"/>
    <w:rsid w:val="00BA406B"/>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6C4"/>
    <w:rsid w:val="00BC197B"/>
    <w:rsid w:val="00BC24E7"/>
    <w:rsid w:val="00BC3011"/>
    <w:rsid w:val="00BC320B"/>
    <w:rsid w:val="00BC3800"/>
    <w:rsid w:val="00BC3911"/>
    <w:rsid w:val="00BC391E"/>
    <w:rsid w:val="00BC4889"/>
    <w:rsid w:val="00BC4C08"/>
    <w:rsid w:val="00BC4E80"/>
    <w:rsid w:val="00BC516E"/>
    <w:rsid w:val="00BC5C2A"/>
    <w:rsid w:val="00BC6239"/>
    <w:rsid w:val="00BC6C09"/>
    <w:rsid w:val="00BC74E9"/>
    <w:rsid w:val="00BC772A"/>
    <w:rsid w:val="00BC7C64"/>
    <w:rsid w:val="00BC7D46"/>
    <w:rsid w:val="00BC7EA4"/>
    <w:rsid w:val="00BD0869"/>
    <w:rsid w:val="00BD1AAA"/>
    <w:rsid w:val="00BD2041"/>
    <w:rsid w:val="00BD2146"/>
    <w:rsid w:val="00BD21EE"/>
    <w:rsid w:val="00BD2382"/>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2D3"/>
    <w:rsid w:val="00BE4406"/>
    <w:rsid w:val="00BE4AFB"/>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2BE"/>
    <w:rsid w:val="00BF497E"/>
    <w:rsid w:val="00BF626C"/>
    <w:rsid w:val="00BF673D"/>
    <w:rsid w:val="00BF715E"/>
    <w:rsid w:val="00BF746B"/>
    <w:rsid w:val="00BF7DDC"/>
    <w:rsid w:val="00C000DC"/>
    <w:rsid w:val="00C02374"/>
    <w:rsid w:val="00C02854"/>
    <w:rsid w:val="00C02C90"/>
    <w:rsid w:val="00C03574"/>
    <w:rsid w:val="00C03C8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6CF0"/>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055F"/>
    <w:rsid w:val="00C91EF9"/>
    <w:rsid w:val="00C924A3"/>
    <w:rsid w:val="00C92573"/>
    <w:rsid w:val="00C92732"/>
    <w:rsid w:val="00C92E47"/>
    <w:rsid w:val="00C94906"/>
    <w:rsid w:val="00C94EB3"/>
    <w:rsid w:val="00C94F79"/>
    <w:rsid w:val="00C96241"/>
    <w:rsid w:val="00C967FB"/>
    <w:rsid w:val="00C974AF"/>
    <w:rsid w:val="00C97872"/>
    <w:rsid w:val="00C979D8"/>
    <w:rsid w:val="00CA172C"/>
    <w:rsid w:val="00CA1D35"/>
    <w:rsid w:val="00CA2EB8"/>
    <w:rsid w:val="00CA361E"/>
    <w:rsid w:val="00CA55C5"/>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4A2"/>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4F93"/>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1EBB"/>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370E"/>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005"/>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30F"/>
    <w:rsid w:val="00D63D6A"/>
    <w:rsid w:val="00D63E5F"/>
    <w:rsid w:val="00D63EAC"/>
    <w:rsid w:val="00D643BC"/>
    <w:rsid w:val="00D64D08"/>
    <w:rsid w:val="00D64E9B"/>
    <w:rsid w:val="00D6614F"/>
    <w:rsid w:val="00D67552"/>
    <w:rsid w:val="00D67BC7"/>
    <w:rsid w:val="00D67CF6"/>
    <w:rsid w:val="00D70022"/>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9CA"/>
    <w:rsid w:val="00D76A4E"/>
    <w:rsid w:val="00D76CC5"/>
    <w:rsid w:val="00D76F04"/>
    <w:rsid w:val="00D80D6E"/>
    <w:rsid w:val="00D81ABA"/>
    <w:rsid w:val="00D81B5B"/>
    <w:rsid w:val="00D8401A"/>
    <w:rsid w:val="00D84F05"/>
    <w:rsid w:val="00D8512D"/>
    <w:rsid w:val="00D85291"/>
    <w:rsid w:val="00D85900"/>
    <w:rsid w:val="00D86091"/>
    <w:rsid w:val="00D8667D"/>
    <w:rsid w:val="00D87A7E"/>
    <w:rsid w:val="00D87F01"/>
    <w:rsid w:val="00D91109"/>
    <w:rsid w:val="00D927D6"/>
    <w:rsid w:val="00D92A6C"/>
    <w:rsid w:val="00D93AE9"/>
    <w:rsid w:val="00D941E8"/>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7D7"/>
    <w:rsid w:val="00DA4C79"/>
    <w:rsid w:val="00DA5073"/>
    <w:rsid w:val="00DA56FC"/>
    <w:rsid w:val="00DA587B"/>
    <w:rsid w:val="00DA6185"/>
    <w:rsid w:val="00DA665E"/>
    <w:rsid w:val="00DA67AD"/>
    <w:rsid w:val="00DA6F8C"/>
    <w:rsid w:val="00DA725B"/>
    <w:rsid w:val="00DA73A5"/>
    <w:rsid w:val="00DA76D9"/>
    <w:rsid w:val="00DB0F07"/>
    <w:rsid w:val="00DB1331"/>
    <w:rsid w:val="00DB26E5"/>
    <w:rsid w:val="00DB37B9"/>
    <w:rsid w:val="00DB4E80"/>
    <w:rsid w:val="00DB572D"/>
    <w:rsid w:val="00DB57DA"/>
    <w:rsid w:val="00DB5B3D"/>
    <w:rsid w:val="00DB5C3B"/>
    <w:rsid w:val="00DB5D0F"/>
    <w:rsid w:val="00DB682E"/>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81"/>
    <w:rsid w:val="00DD5BC6"/>
    <w:rsid w:val="00DD69DC"/>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166D"/>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5E"/>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2F9B"/>
    <w:rsid w:val="00E235F3"/>
    <w:rsid w:val="00E23A9E"/>
    <w:rsid w:val="00E240C9"/>
    <w:rsid w:val="00E248B0"/>
    <w:rsid w:val="00E25015"/>
    <w:rsid w:val="00E25174"/>
    <w:rsid w:val="00E2548B"/>
    <w:rsid w:val="00E26382"/>
    <w:rsid w:val="00E30DF3"/>
    <w:rsid w:val="00E313A5"/>
    <w:rsid w:val="00E317C2"/>
    <w:rsid w:val="00E3212D"/>
    <w:rsid w:val="00E32575"/>
    <w:rsid w:val="00E33718"/>
    <w:rsid w:val="00E33A40"/>
    <w:rsid w:val="00E340C1"/>
    <w:rsid w:val="00E3490F"/>
    <w:rsid w:val="00E34BCD"/>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179"/>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10"/>
    <w:rsid w:val="00E762A9"/>
    <w:rsid w:val="00E762D4"/>
    <w:rsid w:val="00E76CA2"/>
    <w:rsid w:val="00E770F0"/>
    <w:rsid w:val="00E7719F"/>
    <w:rsid w:val="00E80B18"/>
    <w:rsid w:val="00E80BDF"/>
    <w:rsid w:val="00E80C12"/>
    <w:rsid w:val="00E81421"/>
    <w:rsid w:val="00E81610"/>
    <w:rsid w:val="00E8163F"/>
    <w:rsid w:val="00E81B19"/>
    <w:rsid w:val="00E820AD"/>
    <w:rsid w:val="00E82E98"/>
    <w:rsid w:val="00E846DD"/>
    <w:rsid w:val="00E84E02"/>
    <w:rsid w:val="00E85501"/>
    <w:rsid w:val="00E8566C"/>
    <w:rsid w:val="00E8581C"/>
    <w:rsid w:val="00E85847"/>
    <w:rsid w:val="00E85BC7"/>
    <w:rsid w:val="00E86D9B"/>
    <w:rsid w:val="00E870A6"/>
    <w:rsid w:val="00E871F8"/>
    <w:rsid w:val="00E87921"/>
    <w:rsid w:val="00E87C65"/>
    <w:rsid w:val="00E903C5"/>
    <w:rsid w:val="00E9074F"/>
    <w:rsid w:val="00E90B42"/>
    <w:rsid w:val="00E90C3A"/>
    <w:rsid w:val="00E90DCF"/>
    <w:rsid w:val="00E90F91"/>
    <w:rsid w:val="00E91704"/>
    <w:rsid w:val="00E92D64"/>
    <w:rsid w:val="00E933B8"/>
    <w:rsid w:val="00E934CF"/>
    <w:rsid w:val="00E93EC0"/>
    <w:rsid w:val="00E94C93"/>
    <w:rsid w:val="00E95374"/>
    <w:rsid w:val="00E95541"/>
    <w:rsid w:val="00E95B73"/>
    <w:rsid w:val="00E9637E"/>
    <w:rsid w:val="00E965E8"/>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554E"/>
    <w:rsid w:val="00EB57E0"/>
    <w:rsid w:val="00EB5BAA"/>
    <w:rsid w:val="00EB6219"/>
    <w:rsid w:val="00EB62C4"/>
    <w:rsid w:val="00EB6545"/>
    <w:rsid w:val="00EB70BF"/>
    <w:rsid w:val="00EB70E5"/>
    <w:rsid w:val="00EB725B"/>
    <w:rsid w:val="00EC0164"/>
    <w:rsid w:val="00EC0241"/>
    <w:rsid w:val="00EC0609"/>
    <w:rsid w:val="00EC0BAE"/>
    <w:rsid w:val="00EC151E"/>
    <w:rsid w:val="00EC1691"/>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14D"/>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383F"/>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7C5"/>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15B"/>
    <w:rsid w:val="00F363C5"/>
    <w:rsid w:val="00F366D7"/>
    <w:rsid w:val="00F36E4D"/>
    <w:rsid w:val="00F372B9"/>
    <w:rsid w:val="00F37844"/>
    <w:rsid w:val="00F40C3B"/>
    <w:rsid w:val="00F41A5B"/>
    <w:rsid w:val="00F41C09"/>
    <w:rsid w:val="00F42E0D"/>
    <w:rsid w:val="00F43663"/>
    <w:rsid w:val="00F43ECF"/>
    <w:rsid w:val="00F44610"/>
    <w:rsid w:val="00F451D8"/>
    <w:rsid w:val="00F45D02"/>
    <w:rsid w:val="00F46171"/>
    <w:rsid w:val="00F47C7A"/>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022"/>
    <w:rsid w:val="00F632E7"/>
    <w:rsid w:val="00F63583"/>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0C13"/>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477"/>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fillcolor="white" stroke="f">
      <v:fill color="white"/>
      <v:stroke on="f"/>
    </o:shapedefaults>
    <o:shapelayout v:ext="edit">
      <o:idmap v:ext="edit" data="1"/>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qFormat/>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uiPriority w:val="99"/>
    <w:qFormat/>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uiPriority w:val="99"/>
    <w:qForma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5para5thlevel">
    <w:name w:val="5.para 5th level"/>
    <w:basedOn w:val="Normal"/>
    <w:link w:val="5para5thlevelCar"/>
    <w:qFormat/>
    <w:rsid w:val="00E26382"/>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E26382"/>
    <w:rPr>
      <w:rFonts w:eastAsiaTheme="minorEastAsia"/>
      <w:lang w:eastAsia="en-US"/>
    </w:rPr>
  </w:style>
  <w:style w:type="paragraph" w:customStyle="1" w:styleId="4Para4thlevel">
    <w:name w:val="4.Para 4th level"/>
    <w:basedOn w:val="Normal"/>
    <w:link w:val="4Para4thlevelCar"/>
    <w:qFormat/>
    <w:rsid w:val="00035B2B"/>
    <w:pPr>
      <w:spacing w:after="120"/>
      <w:ind w:left="2268" w:right="1134" w:hanging="1134"/>
      <w:jc w:val="both"/>
      <w:outlineLvl w:val="3"/>
    </w:pPr>
    <w:rPr>
      <w:rFonts w:eastAsiaTheme="minorEastAsia"/>
    </w:rPr>
  </w:style>
  <w:style w:type="character" w:customStyle="1" w:styleId="4Para4thlevelCar">
    <w:name w:val="4.Para 4th level Car"/>
    <w:basedOn w:val="DefaultParagraphFont"/>
    <w:link w:val="4Para4thlevel"/>
    <w:rsid w:val="00035B2B"/>
    <w:rPr>
      <w:rFonts w:eastAsiaTheme="minorEastAsia"/>
      <w:lang w:eastAsia="en-US"/>
    </w:rPr>
  </w:style>
  <w:style w:type="character" w:customStyle="1" w:styleId="Carpredefinitoparagrafo1">
    <w:name w:val="Car. predefinito paragrafo1"/>
    <w:rsid w:val="00035B2B"/>
  </w:style>
  <w:style w:type="paragraph" w:customStyle="1" w:styleId="3para3rdlevel">
    <w:name w:val="3.para 3rd level"/>
    <w:basedOn w:val="Normal"/>
    <w:link w:val="3para3rdlevelCar"/>
    <w:qFormat/>
    <w:rsid w:val="00710059"/>
    <w:pPr>
      <w:spacing w:after="120"/>
      <w:ind w:left="2268" w:right="1134" w:hanging="1134"/>
      <w:jc w:val="both"/>
      <w:outlineLvl w:val="2"/>
    </w:pPr>
    <w:rPr>
      <w:rFonts w:eastAsiaTheme="minorEastAsia"/>
    </w:rPr>
  </w:style>
  <w:style w:type="character" w:customStyle="1" w:styleId="3para3rdlevelCar">
    <w:name w:val="3.para 3rd level Car"/>
    <w:link w:val="3para3rdlevel"/>
    <w:rsid w:val="00710059"/>
    <w:rPr>
      <w:rFonts w:eastAsiaTheme="minorEastAsia"/>
      <w:lang w:eastAsia="en-US"/>
    </w:rPr>
  </w:style>
  <w:style w:type="character" w:customStyle="1" w:styleId="fontstyle01">
    <w:name w:val="fontstyle01"/>
    <w:basedOn w:val="DefaultParagraphFont"/>
    <w:rsid w:val="00F372B9"/>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96267">
      <w:bodyDiv w:val="1"/>
      <w:marLeft w:val="0"/>
      <w:marRight w:val="0"/>
      <w:marTop w:val="0"/>
      <w:marBottom w:val="0"/>
      <w:divBdr>
        <w:top w:val="none" w:sz="0" w:space="0" w:color="auto"/>
        <w:left w:val="none" w:sz="0" w:space="0" w:color="auto"/>
        <w:bottom w:val="none" w:sz="0" w:space="0" w:color="auto"/>
        <w:right w:val="none" w:sz="0" w:space="0" w:color="auto"/>
      </w:divBdr>
    </w:div>
    <w:div w:id="877668471">
      <w:bodyDiv w:val="1"/>
      <w:marLeft w:val="0"/>
      <w:marRight w:val="0"/>
      <w:marTop w:val="0"/>
      <w:marBottom w:val="0"/>
      <w:divBdr>
        <w:top w:val="none" w:sz="0" w:space="0" w:color="auto"/>
        <w:left w:val="none" w:sz="0" w:space="0" w:color="auto"/>
        <w:bottom w:val="none" w:sz="0" w:space="0" w:color="auto"/>
        <w:right w:val="none" w:sz="0" w:space="0" w:color="auto"/>
      </w:divBdr>
    </w:div>
    <w:div w:id="1114984196">
      <w:bodyDiv w:val="1"/>
      <w:marLeft w:val="0"/>
      <w:marRight w:val="0"/>
      <w:marTop w:val="0"/>
      <w:marBottom w:val="0"/>
      <w:divBdr>
        <w:top w:val="none" w:sz="0" w:space="0" w:color="auto"/>
        <w:left w:val="none" w:sz="0" w:space="0" w:color="auto"/>
        <w:bottom w:val="none" w:sz="0" w:space="0" w:color="auto"/>
        <w:right w:val="none" w:sz="0" w:space="0" w:color="auto"/>
      </w:divBdr>
    </w:div>
    <w:div w:id="1615090563">
      <w:bodyDiv w:val="1"/>
      <w:marLeft w:val="0"/>
      <w:marRight w:val="0"/>
      <w:marTop w:val="0"/>
      <w:marBottom w:val="0"/>
      <w:divBdr>
        <w:top w:val="none" w:sz="0" w:space="0" w:color="auto"/>
        <w:left w:val="none" w:sz="0" w:space="0" w:color="auto"/>
        <w:bottom w:val="none" w:sz="0" w:space="0" w:color="auto"/>
        <w:right w:val="none" w:sz="0" w:space="0" w:color="auto"/>
      </w:divBdr>
    </w:div>
    <w:div w:id="1781754021">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197571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1D7D6-8F1E-4C8C-9D9F-9ABA7C2C7BB6}">
  <ds:schemaRefs>
    <ds:schemaRef ds:uri="http://schemas.microsoft.com/sharepoint/v3/contenttype/forms"/>
  </ds:schemaRefs>
</ds:datastoreItem>
</file>

<file path=customXml/itemProps2.xml><?xml version="1.0" encoding="utf-8"?>
<ds:datastoreItem xmlns:ds="http://schemas.openxmlformats.org/officeDocument/2006/customXml" ds:itemID="{1C89772E-B9F7-4560-AACF-2D2F4B0232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C1DB54-F776-4851-922C-4ACFE9303B8C}">
  <ds:schemaRefs>
    <ds:schemaRef ds:uri="http://schemas.openxmlformats.org/officeDocument/2006/bibliography"/>
  </ds:schemaRefs>
</ds:datastoreItem>
</file>

<file path=customXml/itemProps4.xml><?xml version="1.0" encoding="utf-8"?>
<ds:datastoreItem xmlns:ds="http://schemas.openxmlformats.org/officeDocument/2006/customXml" ds:itemID="{8739DF80-DB32-49FB-8480-48720C0E2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4</Pages>
  <Words>1085</Words>
  <Characters>5445</Characters>
  <Application>Microsoft Office Word</Application>
  <DocSecurity>0</DocSecurity>
  <Lines>316</Lines>
  <Paragraphs>199</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
      <vt:lpstr/>
      <vt:lpstr>ECE/TRANS/WP.29/GRE/2019/3</vt:lpstr>
      <vt:lpstr>ECE/TRANS/WP.29/GRE/2018/49</vt:lpstr>
    </vt:vector>
  </TitlesOfParts>
  <Company/>
  <LinksUpToDate>false</LinksUpToDate>
  <CharactersWithSpaces>6355</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ECE/TRANS/WP.29/GRE/2022/4</dc:title>
  <dc:subject>2201308</dc:subject>
  <dc:creator>Benedicte Boudol</dc:creator>
  <cp:keywords/>
  <dc:description/>
  <cp:lastModifiedBy>Don MARTIN</cp:lastModifiedBy>
  <cp:revision>2</cp:revision>
  <cp:lastPrinted>2019-01-31T15:08:00Z</cp:lastPrinted>
  <dcterms:created xsi:type="dcterms:W3CDTF">2022-02-02T14:51:00Z</dcterms:created>
  <dcterms:modified xsi:type="dcterms:W3CDTF">2022-02-02T14:51:00Z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9479400</vt:r8>
  </property>
</Properties>
</file>