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315C9A" w14:paraId="442D5903" w14:textId="77777777" w:rsidTr="00B20551">
        <w:trPr>
          <w:cantSplit/>
          <w:trHeight w:hRule="exact" w:val="851"/>
        </w:trPr>
        <w:tc>
          <w:tcPr>
            <w:tcW w:w="1276" w:type="dxa"/>
            <w:tcBorders>
              <w:bottom w:val="single" w:sz="4" w:space="0" w:color="auto"/>
            </w:tcBorders>
            <w:vAlign w:val="bottom"/>
          </w:tcPr>
          <w:p w14:paraId="19FEF742" w14:textId="77777777" w:rsidR="009E6CB7" w:rsidRPr="00315C9A" w:rsidRDefault="009E6CB7" w:rsidP="00B20551">
            <w:pPr>
              <w:spacing w:after="80"/>
            </w:pPr>
          </w:p>
        </w:tc>
        <w:tc>
          <w:tcPr>
            <w:tcW w:w="2268" w:type="dxa"/>
            <w:tcBorders>
              <w:bottom w:val="single" w:sz="4" w:space="0" w:color="auto"/>
            </w:tcBorders>
            <w:vAlign w:val="bottom"/>
          </w:tcPr>
          <w:p w14:paraId="6560505A" w14:textId="77777777" w:rsidR="009E6CB7" w:rsidRPr="00A22E0B" w:rsidRDefault="009E6CB7" w:rsidP="00B20551">
            <w:pPr>
              <w:spacing w:after="80" w:line="300" w:lineRule="exact"/>
              <w:rPr>
                <w:b/>
                <w:sz w:val="28"/>
                <w:szCs w:val="28"/>
              </w:rPr>
            </w:pPr>
            <w:r w:rsidRPr="00A22E0B">
              <w:rPr>
                <w:sz w:val="28"/>
                <w:szCs w:val="28"/>
              </w:rPr>
              <w:t>United Nations</w:t>
            </w:r>
          </w:p>
        </w:tc>
        <w:tc>
          <w:tcPr>
            <w:tcW w:w="6095" w:type="dxa"/>
            <w:gridSpan w:val="2"/>
            <w:tcBorders>
              <w:bottom w:val="single" w:sz="4" w:space="0" w:color="auto"/>
            </w:tcBorders>
            <w:vAlign w:val="bottom"/>
          </w:tcPr>
          <w:p w14:paraId="3AF7816F" w14:textId="00E0DD81" w:rsidR="009E6CB7" w:rsidRPr="00315C9A" w:rsidRDefault="006B7BD0" w:rsidP="006B7BD0">
            <w:pPr>
              <w:jc w:val="right"/>
            </w:pPr>
            <w:r w:rsidRPr="00315C9A">
              <w:t>ECE/TRANS/WP.15/2022/5</w:t>
            </w:r>
          </w:p>
        </w:tc>
      </w:tr>
      <w:tr w:rsidR="009E6CB7" w:rsidRPr="00315C9A" w14:paraId="25385140" w14:textId="77777777" w:rsidTr="00B20551">
        <w:trPr>
          <w:cantSplit/>
          <w:trHeight w:hRule="exact" w:val="2835"/>
        </w:trPr>
        <w:tc>
          <w:tcPr>
            <w:tcW w:w="1276" w:type="dxa"/>
            <w:tcBorders>
              <w:top w:val="single" w:sz="4" w:space="0" w:color="auto"/>
              <w:bottom w:val="single" w:sz="12" w:space="0" w:color="auto"/>
            </w:tcBorders>
          </w:tcPr>
          <w:p w14:paraId="1ABCB231" w14:textId="77777777" w:rsidR="009E6CB7" w:rsidRPr="00315C9A" w:rsidRDefault="00686A48" w:rsidP="00B20551">
            <w:pPr>
              <w:spacing w:before="120"/>
            </w:pPr>
            <w:r w:rsidRPr="00315C9A">
              <w:rPr>
                <w:noProof/>
                <w:lang w:val="fr-CH" w:eastAsia="fr-CH"/>
              </w:rPr>
              <w:drawing>
                <wp:inline distT="0" distB="0" distL="0" distR="0" wp14:anchorId="015B5D0B" wp14:editId="290D1A1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40CBD11" w14:textId="77777777" w:rsidR="009E6CB7" w:rsidRPr="00C96819" w:rsidRDefault="009E6CB7" w:rsidP="00B20551">
            <w:pPr>
              <w:spacing w:before="120" w:line="420" w:lineRule="exact"/>
              <w:rPr>
                <w:sz w:val="40"/>
                <w:szCs w:val="40"/>
              </w:rPr>
            </w:pPr>
            <w:r w:rsidRPr="00C96819">
              <w:rPr>
                <w:b/>
                <w:sz w:val="40"/>
                <w:szCs w:val="40"/>
              </w:rPr>
              <w:t>Economic and Social Council</w:t>
            </w:r>
          </w:p>
        </w:tc>
        <w:tc>
          <w:tcPr>
            <w:tcW w:w="2835" w:type="dxa"/>
            <w:tcBorders>
              <w:top w:val="single" w:sz="4" w:space="0" w:color="auto"/>
              <w:bottom w:val="single" w:sz="12" w:space="0" w:color="auto"/>
            </w:tcBorders>
          </w:tcPr>
          <w:p w14:paraId="67321B4D" w14:textId="77777777" w:rsidR="009E6CB7" w:rsidRPr="00315C9A" w:rsidRDefault="006B7BD0" w:rsidP="006B7BD0">
            <w:pPr>
              <w:spacing w:before="240" w:line="240" w:lineRule="exact"/>
            </w:pPr>
            <w:r w:rsidRPr="00315C9A">
              <w:t>Distr.: General</w:t>
            </w:r>
          </w:p>
          <w:p w14:paraId="0B08341A" w14:textId="0C162D2F" w:rsidR="006B7BD0" w:rsidRPr="00315C9A" w:rsidRDefault="00E3270F" w:rsidP="006B7BD0">
            <w:pPr>
              <w:spacing w:line="240" w:lineRule="exact"/>
            </w:pPr>
            <w:r>
              <w:t>21</w:t>
            </w:r>
            <w:r w:rsidR="006B7BD0" w:rsidRPr="00315C9A">
              <w:t xml:space="preserve"> February 2022</w:t>
            </w:r>
          </w:p>
          <w:p w14:paraId="68ED0ECE" w14:textId="77777777" w:rsidR="006B7BD0" w:rsidRPr="00315C9A" w:rsidRDefault="006B7BD0" w:rsidP="006B7BD0">
            <w:pPr>
              <w:spacing w:line="240" w:lineRule="exact"/>
            </w:pPr>
          </w:p>
          <w:p w14:paraId="07BE2905" w14:textId="695DD292" w:rsidR="006B7BD0" w:rsidRPr="00315C9A" w:rsidRDefault="006B7BD0" w:rsidP="006B7BD0">
            <w:pPr>
              <w:spacing w:line="240" w:lineRule="exact"/>
            </w:pPr>
            <w:r w:rsidRPr="00315C9A">
              <w:t>Original: English</w:t>
            </w:r>
          </w:p>
        </w:tc>
      </w:tr>
    </w:tbl>
    <w:p w14:paraId="323082C7" w14:textId="77777777" w:rsidR="00B821DF" w:rsidRPr="008841F6" w:rsidRDefault="00B821DF" w:rsidP="00C411EB">
      <w:pPr>
        <w:spacing w:before="120"/>
        <w:rPr>
          <w:b/>
          <w:sz w:val="28"/>
          <w:szCs w:val="28"/>
        </w:rPr>
      </w:pPr>
      <w:r w:rsidRPr="008841F6">
        <w:rPr>
          <w:b/>
          <w:sz w:val="28"/>
          <w:szCs w:val="28"/>
        </w:rPr>
        <w:t>Economic Commission for Europe</w:t>
      </w:r>
    </w:p>
    <w:p w14:paraId="0A15D906" w14:textId="77777777" w:rsidR="00B821DF" w:rsidRPr="00D00CC5" w:rsidRDefault="00B821DF" w:rsidP="00C411EB">
      <w:pPr>
        <w:spacing w:before="120"/>
        <w:rPr>
          <w:sz w:val="28"/>
          <w:szCs w:val="28"/>
        </w:rPr>
      </w:pPr>
      <w:r w:rsidRPr="00D00CC5">
        <w:rPr>
          <w:sz w:val="28"/>
          <w:szCs w:val="28"/>
        </w:rPr>
        <w:t>Inland Transport Committee</w:t>
      </w:r>
    </w:p>
    <w:p w14:paraId="03336EA9" w14:textId="77777777" w:rsidR="00B821DF" w:rsidRPr="00D00CC5" w:rsidRDefault="00B821DF" w:rsidP="00C411EB">
      <w:pPr>
        <w:spacing w:before="120"/>
        <w:rPr>
          <w:b/>
          <w:sz w:val="28"/>
          <w:szCs w:val="28"/>
        </w:rPr>
      </w:pPr>
      <w:r w:rsidRPr="00D00CC5">
        <w:rPr>
          <w:b/>
          <w:sz w:val="28"/>
          <w:szCs w:val="28"/>
        </w:rPr>
        <w:t>Working Party on the Transport of Dangerous Goods</w:t>
      </w:r>
    </w:p>
    <w:p w14:paraId="6728F4B3" w14:textId="3D28E691" w:rsidR="00B821DF" w:rsidRPr="00315C9A" w:rsidRDefault="00751547" w:rsidP="00C411EB">
      <w:pPr>
        <w:spacing w:before="120"/>
        <w:rPr>
          <w:rFonts w:eastAsia="SimSun"/>
          <w:b/>
        </w:rPr>
      </w:pPr>
      <w:r w:rsidRPr="00315C9A">
        <w:rPr>
          <w:rFonts w:eastAsia="SimSun"/>
          <w:b/>
        </w:rPr>
        <w:t>111th</w:t>
      </w:r>
      <w:r w:rsidR="00B821DF" w:rsidRPr="00315C9A">
        <w:rPr>
          <w:rFonts w:eastAsia="SimSun"/>
          <w:b/>
        </w:rPr>
        <w:t xml:space="preserve"> session </w:t>
      </w:r>
    </w:p>
    <w:p w14:paraId="294076C9" w14:textId="3F9C66DE" w:rsidR="00B821DF" w:rsidRPr="00315C9A" w:rsidRDefault="00B821DF" w:rsidP="00C411EB">
      <w:pPr>
        <w:rPr>
          <w:rFonts w:eastAsia="SimSun"/>
        </w:rPr>
      </w:pPr>
      <w:r w:rsidRPr="00315C9A">
        <w:rPr>
          <w:rFonts w:eastAsia="SimSun"/>
        </w:rPr>
        <w:t xml:space="preserve">Geneva, </w:t>
      </w:r>
      <w:r w:rsidR="00DD6E57" w:rsidRPr="00315C9A">
        <w:rPr>
          <w:rFonts w:eastAsia="SimSun"/>
        </w:rPr>
        <w:t>9–13 May 2022</w:t>
      </w:r>
    </w:p>
    <w:p w14:paraId="7997984E" w14:textId="77777777" w:rsidR="00B7453D" w:rsidRPr="00315C9A" w:rsidRDefault="00B7453D" w:rsidP="00B7453D">
      <w:pPr>
        <w:autoSpaceDE w:val="0"/>
        <w:autoSpaceDN w:val="0"/>
        <w:adjustRightInd w:val="0"/>
      </w:pPr>
      <w:r w:rsidRPr="00315C9A">
        <w:t>Item 5 (a) of the provisional agenda</w:t>
      </w:r>
    </w:p>
    <w:p w14:paraId="47BADDAC" w14:textId="77777777" w:rsidR="00B7453D" w:rsidRPr="00315C9A" w:rsidRDefault="00B7453D" w:rsidP="00B7453D">
      <w:pPr>
        <w:rPr>
          <w:b/>
          <w:bCs/>
        </w:rPr>
      </w:pPr>
      <w:r w:rsidRPr="00315C9A">
        <w:rPr>
          <w:b/>
          <w:bCs/>
        </w:rPr>
        <w:t>Proposals for amendments to annexes A and B of ADR</w:t>
      </w:r>
    </w:p>
    <w:p w14:paraId="66D6FAB4" w14:textId="77777777" w:rsidR="00B7453D" w:rsidRPr="00315C9A" w:rsidRDefault="00B7453D" w:rsidP="00B7453D">
      <w:r w:rsidRPr="00315C9A">
        <w:rPr>
          <w:b/>
          <w:bCs/>
        </w:rPr>
        <w:t>construction and approval of vehicles</w:t>
      </w:r>
    </w:p>
    <w:p w14:paraId="17365CA1" w14:textId="2EB6A229" w:rsidR="00F15AD6" w:rsidRPr="003B263D" w:rsidRDefault="00F15AD6" w:rsidP="003B263D">
      <w:pPr>
        <w:pStyle w:val="HChG"/>
      </w:pPr>
      <w:r w:rsidRPr="003B263D">
        <w:tab/>
      </w:r>
      <w:r w:rsidRPr="003B263D">
        <w:tab/>
        <w:t xml:space="preserve">Battery </w:t>
      </w:r>
      <w:r w:rsidR="00F970AF" w:rsidRPr="003B263D">
        <w:t>e</w:t>
      </w:r>
      <w:r w:rsidRPr="003B263D">
        <w:t xml:space="preserve">lectric </w:t>
      </w:r>
      <w:r w:rsidR="00F970AF" w:rsidRPr="003B263D">
        <w:t>v</w:t>
      </w:r>
      <w:r w:rsidRPr="003B263D">
        <w:t>ehicles</w:t>
      </w:r>
    </w:p>
    <w:p w14:paraId="6C51DC3C" w14:textId="1A79ABE3" w:rsidR="00DD3565" w:rsidRPr="00315C9A" w:rsidRDefault="00F15AD6" w:rsidP="00DD3565">
      <w:pPr>
        <w:pStyle w:val="H1G"/>
        <w:rPr>
          <w:sz w:val="20"/>
          <w:lang w:eastAsia="zh-CN"/>
        </w:rPr>
      </w:pPr>
      <w:r w:rsidRPr="00315C9A">
        <w:rPr>
          <w:sz w:val="20"/>
        </w:rPr>
        <w:tab/>
      </w:r>
      <w:r w:rsidRPr="00315C9A">
        <w:rPr>
          <w:sz w:val="20"/>
        </w:rPr>
        <w:tab/>
      </w:r>
      <w:r w:rsidRPr="003B263D">
        <w:t xml:space="preserve">Transmitted by the Government of the Netherlands on behalf of the </w:t>
      </w:r>
      <w:r w:rsidR="001362C5" w:rsidRPr="003B263D">
        <w:t>informal working group on electrified vehicles</w:t>
      </w:r>
      <w:r w:rsidR="00DD3565" w:rsidRPr="00315C9A">
        <w:rPr>
          <w:sz w:val="20"/>
          <w:vertAlign w:val="superscript"/>
        </w:rPr>
        <w:footnoteReference w:customMarkFollows="1" w:id="2"/>
        <w:sym w:font="Symbol" w:char="F02A"/>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6B2CB6" w:rsidRPr="00315C9A" w14:paraId="4916EC97" w14:textId="77777777" w:rsidTr="006B2CB6">
        <w:trPr>
          <w:jc w:val="center"/>
        </w:trPr>
        <w:tc>
          <w:tcPr>
            <w:tcW w:w="9629" w:type="dxa"/>
            <w:shd w:val="clear" w:color="auto" w:fill="auto"/>
          </w:tcPr>
          <w:p w14:paraId="0D7B2A6A" w14:textId="77777777" w:rsidR="006B2CB6" w:rsidRPr="00315C9A" w:rsidRDefault="006B2CB6" w:rsidP="006E5E26">
            <w:pPr>
              <w:spacing w:before="240" w:after="120"/>
              <w:ind w:left="255"/>
              <w:rPr>
                <w:i/>
              </w:rPr>
            </w:pPr>
            <w:r w:rsidRPr="00315C9A">
              <w:rPr>
                <w:i/>
              </w:rPr>
              <w:t>Summary</w:t>
            </w:r>
          </w:p>
        </w:tc>
      </w:tr>
      <w:tr w:rsidR="006B2CB6" w:rsidRPr="00315C9A" w14:paraId="1CE0EDAB" w14:textId="77777777" w:rsidTr="006B2CB6">
        <w:trPr>
          <w:jc w:val="center"/>
        </w:trPr>
        <w:tc>
          <w:tcPr>
            <w:tcW w:w="9629" w:type="dxa"/>
            <w:shd w:val="clear" w:color="auto" w:fill="auto"/>
          </w:tcPr>
          <w:p w14:paraId="0F7F2CA8" w14:textId="7402371E" w:rsidR="006B2CB6" w:rsidRPr="00315C9A" w:rsidRDefault="006B2CB6" w:rsidP="00C14C01">
            <w:pPr>
              <w:tabs>
                <w:tab w:val="left" w:pos="3260"/>
              </w:tabs>
              <w:spacing w:after="240"/>
              <w:ind w:left="3260" w:right="1134" w:hanging="2126"/>
            </w:pPr>
            <w:r w:rsidRPr="00315C9A">
              <w:rPr>
                <w:b/>
                <w:bCs/>
              </w:rPr>
              <w:t>Executive summary:</w:t>
            </w:r>
            <w:r w:rsidRPr="00315C9A">
              <w:tab/>
              <w:t xml:space="preserve">In order to use Battery Electric Vehicles and Hydrogen Fuel Cell Vehicles for the carriage of dangerous goods in EX, AT and FL vehicles provisions need to be included in the regulation. The </w:t>
            </w:r>
            <w:r w:rsidR="001362C5" w:rsidRPr="00315C9A">
              <w:t>informal working group on electrified vehicles</w:t>
            </w:r>
            <w:r w:rsidRPr="00315C9A">
              <w:t xml:space="preserve"> studied these systems and evaluated the risks.</w:t>
            </w:r>
          </w:p>
        </w:tc>
      </w:tr>
      <w:tr w:rsidR="006B2CB6" w:rsidRPr="00315C9A" w14:paraId="392861E8" w14:textId="77777777" w:rsidTr="006B2CB6">
        <w:trPr>
          <w:jc w:val="center"/>
        </w:trPr>
        <w:tc>
          <w:tcPr>
            <w:tcW w:w="9629" w:type="dxa"/>
            <w:shd w:val="clear" w:color="auto" w:fill="auto"/>
          </w:tcPr>
          <w:p w14:paraId="51E1B260" w14:textId="5E209D31" w:rsidR="006B2CB6" w:rsidRPr="00315C9A" w:rsidRDefault="006B2CB6" w:rsidP="00C14C01">
            <w:pPr>
              <w:tabs>
                <w:tab w:val="left" w:pos="3260"/>
              </w:tabs>
              <w:spacing w:after="240"/>
              <w:ind w:left="3260" w:right="1134" w:hanging="2126"/>
            </w:pPr>
            <w:r w:rsidRPr="00315C9A">
              <w:rPr>
                <w:b/>
                <w:bCs/>
              </w:rPr>
              <w:t>Action to be taken:</w:t>
            </w:r>
            <w:r w:rsidRPr="00315C9A">
              <w:tab/>
              <w:t xml:space="preserve">Adopt provisions given in </w:t>
            </w:r>
            <w:r w:rsidR="002509C1" w:rsidRPr="00315C9A">
              <w:t>a</w:t>
            </w:r>
            <w:r w:rsidRPr="00315C9A">
              <w:t>nnex</w:t>
            </w:r>
            <w:r w:rsidR="002509C1" w:rsidRPr="00315C9A">
              <w:t>es</w:t>
            </w:r>
            <w:r w:rsidRPr="00315C9A">
              <w:t xml:space="preserve"> </w:t>
            </w:r>
            <w:r w:rsidR="002509C1" w:rsidRPr="00315C9A">
              <w:t>I</w:t>
            </w:r>
            <w:r w:rsidRPr="00315C9A">
              <w:t xml:space="preserve"> and </w:t>
            </w:r>
            <w:r w:rsidR="002509C1" w:rsidRPr="00315C9A">
              <w:t>II</w:t>
            </w:r>
            <w:r w:rsidRPr="00315C9A">
              <w:t xml:space="preserve"> of this document to allow the use of Battery Electric Vehicles as AT and FL as appropriate.</w:t>
            </w:r>
          </w:p>
          <w:p w14:paraId="7C0A7B48" w14:textId="14095EFB" w:rsidR="006B2CB6" w:rsidRPr="00315C9A" w:rsidRDefault="006B2CB6" w:rsidP="00C14C01">
            <w:pPr>
              <w:tabs>
                <w:tab w:val="left" w:pos="3260"/>
              </w:tabs>
              <w:spacing w:after="240"/>
              <w:ind w:left="3260" w:right="1134" w:hanging="2126"/>
            </w:pPr>
            <w:r w:rsidRPr="00315C9A">
              <w:rPr>
                <w:b/>
                <w:bCs/>
              </w:rPr>
              <w:t>Related documents:</w:t>
            </w:r>
            <w:r w:rsidRPr="00315C9A">
              <w:t xml:space="preserve"> </w:t>
            </w:r>
            <w:r w:rsidRPr="00315C9A">
              <w:tab/>
              <w:t>Informal document INF.13 from the 105</w:t>
            </w:r>
            <w:r w:rsidRPr="00315C9A">
              <w:rPr>
                <w:vertAlign w:val="superscript"/>
              </w:rPr>
              <w:t>th</w:t>
            </w:r>
            <w:r w:rsidRPr="00315C9A">
              <w:t xml:space="preserve"> session; informal document INF.10 from the 107</w:t>
            </w:r>
            <w:r w:rsidRPr="00315C9A">
              <w:rPr>
                <w:vertAlign w:val="superscript"/>
              </w:rPr>
              <w:t>th</w:t>
            </w:r>
            <w:r w:rsidRPr="00315C9A">
              <w:t xml:space="preserve"> session, informal documents INF.16 and INF.17 from the 109</w:t>
            </w:r>
            <w:r w:rsidRPr="00315C9A">
              <w:rPr>
                <w:vertAlign w:val="superscript"/>
              </w:rPr>
              <w:t>th</w:t>
            </w:r>
            <w:r w:rsidRPr="00315C9A">
              <w:t xml:space="preserve"> session; informal documents INF.14 and INF.20 from the 110</w:t>
            </w:r>
            <w:r w:rsidRPr="00315C9A">
              <w:rPr>
                <w:vertAlign w:val="superscript"/>
              </w:rPr>
              <w:t>th</w:t>
            </w:r>
            <w:r w:rsidRPr="00315C9A">
              <w:t xml:space="preserve"> session.</w:t>
            </w:r>
          </w:p>
        </w:tc>
      </w:tr>
    </w:tbl>
    <w:p w14:paraId="6F8CEC3E" w14:textId="5E7FA227" w:rsidR="00F15AD6" w:rsidRPr="004D72D8" w:rsidRDefault="00F15AD6" w:rsidP="004D72D8">
      <w:pPr>
        <w:pStyle w:val="HChG"/>
      </w:pPr>
      <w:r w:rsidRPr="004D72D8">
        <w:tab/>
      </w:r>
      <w:r w:rsidRPr="004D72D8">
        <w:tab/>
        <w:t>Introduction</w:t>
      </w:r>
    </w:p>
    <w:p w14:paraId="7FD8378C" w14:textId="17A81677" w:rsidR="003D7344" w:rsidRPr="00315C9A" w:rsidRDefault="003D7344" w:rsidP="003D7344">
      <w:pPr>
        <w:pStyle w:val="SingleTxtG"/>
      </w:pPr>
      <w:r w:rsidRPr="00315C9A">
        <w:t>1.</w:t>
      </w:r>
      <w:r w:rsidRPr="00315C9A">
        <w:tab/>
      </w:r>
      <w:r w:rsidR="00F15AD6" w:rsidRPr="00315C9A">
        <w:t xml:space="preserve">The </w:t>
      </w:r>
      <w:r w:rsidR="001362C5" w:rsidRPr="00315C9A">
        <w:t>informal working group</w:t>
      </w:r>
      <w:r w:rsidR="00F15AD6" w:rsidRPr="00315C9A">
        <w:t xml:space="preserve"> was established by </w:t>
      </w:r>
      <w:r w:rsidR="001362C5" w:rsidRPr="00315C9A">
        <w:t>the Working Party</w:t>
      </w:r>
      <w:r w:rsidR="00F15AD6" w:rsidRPr="00315C9A">
        <w:t xml:space="preserve"> at the May 2021 session to introduce vehicles with an electric drive system into the regulations. The introduction should be based on an evaluation of risks these vehicles present for the load.</w:t>
      </w:r>
    </w:p>
    <w:p w14:paraId="558423B5" w14:textId="667FBAC5" w:rsidR="0000543D" w:rsidRPr="00315C9A" w:rsidRDefault="0000543D" w:rsidP="0000543D">
      <w:pPr>
        <w:pStyle w:val="SingleTxtG"/>
      </w:pPr>
      <w:r w:rsidRPr="00315C9A">
        <w:t>2.</w:t>
      </w:r>
      <w:r w:rsidRPr="00315C9A">
        <w:tab/>
      </w:r>
      <w:r w:rsidR="00F15AD6" w:rsidRPr="00315C9A">
        <w:t xml:space="preserve">The work is complex as these vehicles are still under development. To counter this the work is done in several sub-groups of which some of them have not yielded results yet due to the </w:t>
      </w:r>
      <w:r w:rsidR="00FC685B" w:rsidRPr="00315C9A">
        <w:t>workload</w:t>
      </w:r>
      <w:r w:rsidR="00F15AD6" w:rsidRPr="00315C9A">
        <w:t>. However, despite the workload</w:t>
      </w:r>
      <w:r w:rsidR="00FC685B" w:rsidRPr="00315C9A">
        <w:t>,</w:t>
      </w:r>
      <w:r w:rsidR="00F15AD6" w:rsidRPr="00315C9A">
        <w:t xml:space="preserve"> substantial progress is made on </w:t>
      </w:r>
      <w:r w:rsidR="00F15AD6" w:rsidRPr="00315C9A">
        <w:lastRenderedPageBreak/>
        <w:t>clarification of the vehicle specifications, functioning of the various components and risk analyses.</w:t>
      </w:r>
    </w:p>
    <w:p w14:paraId="50FA4534" w14:textId="77777777" w:rsidR="0000543D" w:rsidRPr="00315C9A" w:rsidRDefault="0000543D" w:rsidP="0000543D">
      <w:pPr>
        <w:pStyle w:val="SingleTxtG"/>
      </w:pPr>
      <w:r w:rsidRPr="00315C9A">
        <w:t>3.</w:t>
      </w:r>
      <w:r w:rsidRPr="00315C9A">
        <w:tab/>
      </w:r>
      <w:r w:rsidR="00F15AD6" w:rsidRPr="00315C9A">
        <w:t>As it is believed that the introduction of hydrogen fuel cell vehicles will take longer than battery electric vehicles the focus was on the last type.</w:t>
      </w:r>
    </w:p>
    <w:p w14:paraId="11E18BEC" w14:textId="0F063A19" w:rsidR="00F15AD6" w:rsidRPr="00315C9A" w:rsidRDefault="0000543D" w:rsidP="0000543D">
      <w:pPr>
        <w:pStyle w:val="SingleTxtG"/>
      </w:pPr>
      <w:r w:rsidRPr="00315C9A">
        <w:t>4.</w:t>
      </w:r>
      <w:r w:rsidRPr="00315C9A">
        <w:tab/>
      </w:r>
      <w:r w:rsidR="00F15AD6" w:rsidRPr="00315C9A">
        <w:t xml:space="preserve">In </w:t>
      </w:r>
      <w:r w:rsidR="00FC685B" w:rsidRPr="00315C9A">
        <w:t>general,</w:t>
      </w:r>
      <w:r w:rsidR="00F15AD6" w:rsidRPr="00315C9A">
        <w:t xml:space="preserve"> it may be concluded that the electric drive system itself is as safe as, or even safer than the drive system with an internal combustion engine. Not only is the waste energy favourable (less development of heat), but also the temperature of the components is much lower. </w:t>
      </w:r>
      <w:r w:rsidR="00F970AF" w:rsidRPr="00315C9A">
        <w:t>Lithium-ion</w:t>
      </w:r>
      <w:r w:rsidR="00F15AD6" w:rsidRPr="00315C9A">
        <w:t xml:space="preserve"> batteries, as energy supply for the electric drive system, may raise some concerns but prove to be reliable in other types of vehicles like passenger cars and buses that are already in use for several years. As fire risks are of a lower level in the current regulations for “AT” vehicles, it was felt appropriate to propose inclusion for this category in the regulation as soon as possible in ADR 2023. The introduction in ADR 2023 will allow to gain experience with these vehicles. Please find the proposals for the introduction of AT vehicles in Annex </w:t>
      </w:r>
      <w:r w:rsidR="002509C1" w:rsidRPr="00315C9A">
        <w:t>I</w:t>
      </w:r>
      <w:r w:rsidR="00F15AD6" w:rsidRPr="00315C9A">
        <w:t xml:space="preserve"> to this document.</w:t>
      </w:r>
    </w:p>
    <w:p w14:paraId="14C195D5" w14:textId="453952CB" w:rsidR="00F15AD6" w:rsidRPr="00315C9A" w:rsidRDefault="0000543D" w:rsidP="0000543D">
      <w:pPr>
        <w:pStyle w:val="SingleTxtG"/>
      </w:pPr>
      <w:r w:rsidRPr="00315C9A">
        <w:t>5.</w:t>
      </w:r>
      <w:r w:rsidRPr="00315C9A">
        <w:tab/>
      </w:r>
      <w:r w:rsidR="00F15AD6" w:rsidRPr="00315C9A">
        <w:t>For “FL” vehicles several issues (e.g. fire safety of battery and safety in explosive atmospheres) remain to be answered at the time of drafting this document in time for the deadline for official documents for the 111</w:t>
      </w:r>
      <w:r w:rsidR="00F15AD6" w:rsidRPr="00315C9A">
        <w:rPr>
          <w:vertAlign w:val="superscript"/>
        </w:rPr>
        <w:t>th</w:t>
      </w:r>
      <w:r w:rsidR="00F15AD6" w:rsidRPr="00315C9A">
        <w:t xml:space="preserve"> session. As work continues in the informal working group these issues may be resolved before the 111</w:t>
      </w:r>
      <w:r w:rsidR="00F15AD6" w:rsidRPr="00315C9A">
        <w:rPr>
          <w:vertAlign w:val="superscript"/>
        </w:rPr>
        <w:t>th</w:t>
      </w:r>
      <w:r w:rsidR="00F15AD6" w:rsidRPr="00315C9A">
        <w:t xml:space="preserve"> session of </w:t>
      </w:r>
      <w:r w:rsidR="00F970AF" w:rsidRPr="00315C9A">
        <w:t>the Working Party</w:t>
      </w:r>
      <w:r w:rsidR="00F15AD6" w:rsidRPr="00315C9A">
        <w:t xml:space="preserve"> takes place. To take this into account additional proposals for FL vehicles are included in Annex </w:t>
      </w:r>
      <w:r w:rsidR="002509C1" w:rsidRPr="00315C9A">
        <w:t>II</w:t>
      </w:r>
      <w:r w:rsidR="00F15AD6" w:rsidRPr="00315C9A">
        <w:t xml:space="preserve"> to this document that amend and complete the proposals in Annex </w:t>
      </w:r>
      <w:r w:rsidR="002509C1" w:rsidRPr="00315C9A">
        <w:t>I</w:t>
      </w:r>
      <w:r w:rsidR="00F15AD6" w:rsidRPr="00315C9A">
        <w:t>. Further detailing may be expected in forthcoming informal documents.</w:t>
      </w:r>
    </w:p>
    <w:p w14:paraId="619DCF96" w14:textId="3954F68A" w:rsidR="00F15AD6" w:rsidRPr="00315C9A" w:rsidRDefault="0000543D" w:rsidP="0000543D">
      <w:pPr>
        <w:pStyle w:val="SingleTxtG"/>
      </w:pPr>
      <w:r w:rsidRPr="00315C9A">
        <w:t>6.</w:t>
      </w:r>
      <w:r w:rsidRPr="00315C9A">
        <w:tab/>
      </w:r>
      <w:r w:rsidR="00F15AD6" w:rsidRPr="00315C9A">
        <w:t xml:space="preserve">Discussion for the use of </w:t>
      </w:r>
      <w:r w:rsidR="00F970AF" w:rsidRPr="00315C9A">
        <w:t>Battery Electric Vehicles</w:t>
      </w:r>
      <w:r w:rsidR="00F15AD6" w:rsidRPr="00315C9A">
        <w:t xml:space="preserve"> for the approval of EX vehicles is still underway as well it is for the application of Hydrogen Fuel Cell Vehicles.</w:t>
      </w:r>
    </w:p>
    <w:p w14:paraId="7E31AB12" w14:textId="1F23F8F3" w:rsidR="00F15AD6" w:rsidRPr="00315C9A" w:rsidRDefault="0000543D" w:rsidP="00F970AF">
      <w:pPr>
        <w:pStyle w:val="SingleTxtG"/>
        <w:tabs>
          <w:tab w:val="left" w:pos="1701"/>
        </w:tabs>
      </w:pPr>
      <w:r w:rsidRPr="00315C9A">
        <w:t>7.</w:t>
      </w:r>
      <w:r w:rsidRPr="00315C9A">
        <w:tab/>
      </w:r>
      <w:r w:rsidR="00F15AD6" w:rsidRPr="00315C9A">
        <w:t>Specific decisions for the proposed amendments:</w:t>
      </w:r>
    </w:p>
    <w:p w14:paraId="163FDD89" w14:textId="77777777" w:rsidR="00F15AD6" w:rsidRPr="00315C9A" w:rsidRDefault="00F15AD6" w:rsidP="00F970AF">
      <w:pPr>
        <w:pStyle w:val="Bullet1G"/>
      </w:pPr>
      <w:r w:rsidRPr="00315C9A">
        <w:t>A reference to UN Regulation No. 13 Rev.11 is introduced to assure correct application of braking requirements for vehicles with an electric drive system in the initial phase of introduction.</w:t>
      </w:r>
    </w:p>
    <w:p w14:paraId="694EB2FE" w14:textId="276E4615" w:rsidR="00F15AD6" w:rsidRPr="00315C9A" w:rsidRDefault="00F15AD6" w:rsidP="00F970AF">
      <w:pPr>
        <w:pStyle w:val="Bullet1G"/>
      </w:pPr>
      <w:r w:rsidRPr="00315C9A">
        <w:t xml:space="preserve">It was decided to exclude the high voltage drive electrical system from 9.2.2. However other high voltage applications such as power steering, drive for the air-brake compressor and heating are included under 9.2.2. It should be noted that 9.2.2.7, concerning </w:t>
      </w:r>
      <w:r w:rsidR="0070001D" w:rsidRPr="00315C9A">
        <w:t>v</w:t>
      </w:r>
      <w:r w:rsidRPr="00315C9A">
        <w:t>oltage, only applies to EX vehicles.</w:t>
      </w:r>
    </w:p>
    <w:p w14:paraId="24123098" w14:textId="55B1250D" w:rsidR="00F15AD6" w:rsidRPr="00315C9A" w:rsidRDefault="00F15AD6" w:rsidP="00F970AF">
      <w:pPr>
        <w:pStyle w:val="Bullet1G"/>
      </w:pPr>
      <w:r w:rsidRPr="00315C9A">
        <w:t xml:space="preserve">A new sub-section 9.2.4.6 has been introduced in able to regulate the introduction of </w:t>
      </w:r>
      <w:r w:rsidR="00F970AF" w:rsidRPr="00315C9A">
        <w:t>Battery Electric Vehicle</w:t>
      </w:r>
      <w:r w:rsidRPr="00315C9A">
        <w:t>s.</w:t>
      </w:r>
    </w:p>
    <w:p w14:paraId="4D1A8699" w14:textId="77777777" w:rsidR="00F15AD6" w:rsidRPr="00315C9A" w:rsidRDefault="00F15AD6" w:rsidP="00F970AF">
      <w:pPr>
        <w:pStyle w:val="Bullet1G"/>
      </w:pPr>
      <w:r w:rsidRPr="00315C9A">
        <w:t>Sub-sections 9.2.4.3, 9.2.4.4 and new sub-section 9.2.4.6 are provided with a note in case hybrid vehicles, in various configurations, are used with combustion engine and electric drive.</w:t>
      </w:r>
    </w:p>
    <w:p w14:paraId="62EB396D" w14:textId="77777777" w:rsidR="00F15AD6" w:rsidRPr="00315C9A" w:rsidRDefault="00F15AD6" w:rsidP="000835C7">
      <w:pPr>
        <w:pStyle w:val="Bullet1G"/>
      </w:pPr>
      <w:r w:rsidRPr="00315C9A">
        <w:t xml:space="preserve">Sub-section 9.2.4.7 (renumbered 9.2.4.8) is amended to include electric (high voltage) heaters. </w:t>
      </w:r>
    </w:p>
    <w:p w14:paraId="72D8A793" w14:textId="77777777" w:rsidR="00F15AD6" w:rsidRPr="00315C9A" w:rsidRDefault="00F15AD6" w:rsidP="00F15AD6">
      <w:pPr>
        <w:suppressAutoHyphens w:val="0"/>
        <w:spacing w:line="240" w:lineRule="auto"/>
        <w:rPr>
          <w:u w:val="single"/>
        </w:rPr>
      </w:pPr>
      <w:r w:rsidRPr="00315C9A">
        <w:rPr>
          <w:u w:val="single"/>
        </w:rPr>
        <w:br w:type="page"/>
      </w:r>
    </w:p>
    <w:p w14:paraId="7CA19A06" w14:textId="73D8CB36" w:rsidR="00F15AD6" w:rsidRPr="003B263D" w:rsidRDefault="00470BA8" w:rsidP="003B263D">
      <w:pPr>
        <w:pStyle w:val="HChG"/>
      </w:pPr>
      <w:r w:rsidRPr="003B263D">
        <w:tab/>
      </w:r>
      <w:r w:rsidRPr="003B263D">
        <w:tab/>
      </w:r>
      <w:r w:rsidR="00F15AD6" w:rsidRPr="003B263D">
        <w:t xml:space="preserve">Annex </w:t>
      </w:r>
      <w:r w:rsidR="002509C1" w:rsidRPr="003B263D">
        <w:t>I</w:t>
      </w:r>
    </w:p>
    <w:p w14:paraId="10166B62" w14:textId="623B3198" w:rsidR="00F15AD6" w:rsidRPr="003B263D" w:rsidRDefault="00470BA8" w:rsidP="003B263D">
      <w:pPr>
        <w:pStyle w:val="H1G"/>
      </w:pPr>
      <w:r w:rsidRPr="003B263D">
        <w:tab/>
      </w:r>
      <w:r w:rsidRPr="003B263D">
        <w:tab/>
      </w:r>
      <w:r w:rsidR="00F15AD6" w:rsidRPr="003B263D">
        <w:t>Proposals for the introduction of Battery Electric Vehicles as category AT in 9.2 of ADR</w:t>
      </w:r>
    </w:p>
    <w:p w14:paraId="057990C4" w14:textId="345B37AB" w:rsidR="00F15AD6" w:rsidRPr="00315C9A" w:rsidRDefault="0000543D" w:rsidP="00470BA8">
      <w:pPr>
        <w:pStyle w:val="SingleTxtG"/>
        <w:spacing w:before="120"/>
      </w:pPr>
      <w:r w:rsidRPr="00315C9A">
        <w:t>1.</w:t>
      </w:r>
      <w:r w:rsidRPr="00315C9A">
        <w:tab/>
      </w:r>
      <w:r w:rsidR="00F15AD6" w:rsidRPr="00315C9A">
        <w:t xml:space="preserve">In the table of 9.2.1.1 introduce a new 9.2.4.6 and renumber the current 9.2.4.6 and 9.2.4.7 </w:t>
      </w:r>
      <w:r w:rsidR="00AB135E" w:rsidRPr="00315C9A">
        <w:t xml:space="preserve">and 9.2.4.7.1 to 9.2.4.7.6 </w:t>
      </w:r>
      <w:r w:rsidR="00F15AD6" w:rsidRPr="00315C9A">
        <w:t xml:space="preserve">as 9.2.4.7 and 9.2.4.8 </w:t>
      </w:r>
      <w:r w:rsidR="00AB135E" w:rsidRPr="00315C9A">
        <w:t xml:space="preserve">and 9.2.4.8.1 to 9.2.4.8.6 </w:t>
      </w:r>
      <w:r w:rsidR="00F15AD6" w:rsidRPr="00315C9A">
        <w:t>respectively:</w:t>
      </w:r>
    </w:p>
    <w:tbl>
      <w:tblPr>
        <w:tblStyle w:val="TableGrid"/>
        <w:tblW w:w="0" w:type="auto"/>
        <w:jc w:val="center"/>
        <w:tblLook w:val="04A0" w:firstRow="1" w:lastRow="0" w:firstColumn="1" w:lastColumn="0" w:noHBand="0" w:noVBand="1"/>
      </w:tblPr>
      <w:tblGrid>
        <w:gridCol w:w="846"/>
        <w:gridCol w:w="2693"/>
        <w:gridCol w:w="343"/>
        <w:gridCol w:w="366"/>
        <w:gridCol w:w="425"/>
        <w:gridCol w:w="284"/>
        <w:gridCol w:w="2409"/>
      </w:tblGrid>
      <w:tr w:rsidR="00F15AD6" w:rsidRPr="00315C9A" w14:paraId="25A78DD4" w14:textId="77777777" w:rsidTr="006C6E2F">
        <w:trPr>
          <w:jc w:val="center"/>
        </w:trPr>
        <w:tc>
          <w:tcPr>
            <w:tcW w:w="846" w:type="dxa"/>
          </w:tcPr>
          <w:p w14:paraId="23B350FF" w14:textId="77777777" w:rsidR="00F15AD6" w:rsidRPr="00315C9A" w:rsidRDefault="00F15AD6" w:rsidP="005274DD">
            <w:pPr>
              <w:spacing w:before="60" w:after="60"/>
              <w:rPr>
                <w:i/>
                <w:iCs/>
              </w:rPr>
            </w:pPr>
            <w:r w:rsidRPr="00315C9A">
              <w:rPr>
                <w:i/>
                <w:iCs/>
              </w:rPr>
              <w:t>9.2.4.6</w:t>
            </w:r>
          </w:p>
        </w:tc>
        <w:tc>
          <w:tcPr>
            <w:tcW w:w="2693" w:type="dxa"/>
          </w:tcPr>
          <w:p w14:paraId="31371D68" w14:textId="77777777" w:rsidR="00F15AD6" w:rsidRPr="00315C9A" w:rsidRDefault="00F15AD6" w:rsidP="005274DD">
            <w:pPr>
              <w:spacing w:before="60" w:after="60"/>
              <w:rPr>
                <w:i/>
                <w:iCs/>
                <w:u w:val="single"/>
              </w:rPr>
            </w:pPr>
            <w:r w:rsidRPr="00315C9A">
              <w:rPr>
                <w:i/>
                <w:iCs/>
                <w:u w:val="single"/>
              </w:rPr>
              <w:t>Electric drive system</w:t>
            </w:r>
          </w:p>
        </w:tc>
        <w:tc>
          <w:tcPr>
            <w:tcW w:w="343" w:type="dxa"/>
          </w:tcPr>
          <w:p w14:paraId="2A6FDF4C" w14:textId="77777777" w:rsidR="00F15AD6" w:rsidRPr="00315C9A" w:rsidRDefault="00F15AD6" w:rsidP="005274DD">
            <w:pPr>
              <w:spacing w:before="60" w:after="60"/>
              <w:rPr>
                <w:i/>
                <w:iCs/>
              </w:rPr>
            </w:pPr>
          </w:p>
        </w:tc>
        <w:tc>
          <w:tcPr>
            <w:tcW w:w="366" w:type="dxa"/>
          </w:tcPr>
          <w:p w14:paraId="20D62926" w14:textId="77777777" w:rsidR="00F15AD6" w:rsidRPr="00315C9A" w:rsidRDefault="00F15AD6" w:rsidP="005274DD">
            <w:pPr>
              <w:spacing w:before="60" w:after="60"/>
              <w:rPr>
                <w:i/>
                <w:iCs/>
              </w:rPr>
            </w:pPr>
          </w:p>
        </w:tc>
        <w:tc>
          <w:tcPr>
            <w:tcW w:w="425" w:type="dxa"/>
          </w:tcPr>
          <w:p w14:paraId="52F555AB" w14:textId="77777777" w:rsidR="00F15AD6" w:rsidRPr="00315C9A" w:rsidRDefault="00F15AD6" w:rsidP="005274DD">
            <w:pPr>
              <w:spacing w:before="60" w:after="60"/>
              <w:rPr>
                <w:i/>
                <w:iCs/>
              </w:rPr>
            </w:pPr>
            <w:r w:rsidRPr="00315C9A">
              <w:rPr>
                <w:i/>
                <w:iCs/>
              </w:rPr>
              <w:t>X</w:t>
            </w:r>
          </w:p>
        </w:tc>
        <w:tc>
          <w:tcPr>
            <w:tcW w:w="284" w:type="dxa"/>
          </w:tcPr>
          <w:p w14:paraId="28E46A2C" w14:textId="77777777" w:rsidR="00F15AD6" w:rsidRPr="00315C9A" w:rsidRDefault="00F15AD6" w:rsidP="005274DD">
            <w:pPr>
              <w:spacing w:before="60" w:after="60"/>
              <w:rPr>
                <w:i/>
                <w:iCs/>
              </w:rPr>
            </w:pPr>
          </w:p>
        </w:tc>
        <w:tc>
          <w:tcPr>
            <w:tcW w:w="2409" w:type="dxa"/>
          </w:tcPr>
          <w:p w14:paraId="5DC9E6C9" w14:textId="77777777" w:rsidR="00F15AD6" w:rsidRPr="00315C9A" w:rsidRDefault="00F15AD6" w:rsidP="005274DD">
            <w:pPr>
              <w:spacing w:before="60" w:after="60"/>
              <w:rPr>
                <w:i/>
                <w:iCs/>
              </w:rPr>
            </w:pPr>
          </w:p>
        </w:tc>
      </w:tr>
    </w:tbl>
    <w:p w14:paraId="0EA65371" w14:textId="0039C3F4" w:rsidR="00F15AD6" w:rsidRPr="00315C9A" w:rsidRDefault="00C15991" w:rsidP="00470BA8">
      <w:pPr>
        <w:pStyle w:val="SingleTxtG"/>
        <w:spacing w:before="120"/>
      </w:pPr>
      <w:r w:rsidRPr="00315C9A">
        <w:t>2.</w:t>
      </w:r>
      <w:r w:rsidRPr="00315C9A">
        <w:tab/>
      </w:r>
      <w:r w:rsidR="00F15AD6" w:rsidRPr="00315C9A">
        <w:t>In the table of 9.2.1.1 amend the heading of the new 9.2.4.8 to read:</w:t>
      </w:r>
    </w:p>
    <w:tbl>
      <w:tblPr>
        <w:tblStyle w:val="TableGrid"/>
        <w:tblW w:w="0" w:type="auto"/>
        <w:jc w:val="center"/>
        <w:tblLook w:val="04A0" w:firstRow="1" w:lastRow="0" w:firstColumn="1" w:lastColumn="0" w:noHBand="0" w:noVBand="1"/>
      </w:tblPr>
      <w:tblGrid>
        <w:gridCol w:w="846"/>
        <w:gridCol w:w="2693"/>
        <w:gridCol w:w="343"/>
        <w:gridCol w:w="366"/>
        <w:gridCol w:w="425"/>
        <w:gridCol w:w="284"/>
        <w:gridCol w:w="2409"/>
      </w:tblGrid>
      <w:tr w:rsidR="00F15AD6" w:rsidRPr="00315C9A" w14:paraId="67A3C4A4" w14:textId="77777777" w:rsidTr="006C6E2F">
        <w:trPr>
          <w:jc w:val="center"/>
        </w:trPr>
        <w:tc>
          <w:tcPr>
            <w:tcW w:w="846" w:type="dxa"/>
          </w:tcPr>
          <w:p w14:paraId="1DDBE0C2" w14:textId="77777777" w:rsidR="00F15AD6" w:rsidRPr="00315C9A" w:rsidRDefault="00F15AD6" w:rsidP="005274DD">
            <w:pPr>
              <w:spacing w:before="60" w:after="60"/>
              <w:rPr>
                <w:i/>
                <w:iCs/>
              </w:rPr>
            </w:pPr>
            <w:r w:rsidRPr="00315C9A">
              <w:rPr>
                <w:i/>
                <w:iCs/>
              </w:rPr>
              <w:t>9.2.4.8</w:t>
            </w:r>
          </w:p>
        </w:tc>
        <w:tc>
          <w:tcPr>
            <w:tcW w:w="2693" w:type="dxa"/>
          </w:tcPr>
          <w:p w14:paraId="174A29A0" w14:textId="499E6999" w:rsidR="00F15AD6" w:rsidRPr="00315C9A" w:rsidRDefault="00F15AD6" w:rsidP="005274DD">
            <w:pPr>
              <w:spacing w:before="60" w:after="60"/>
              <w:rPr>
                <w:i/>
                <w:iCs/>
              </w:rPr>
            </w:pPr>
            <w:r w:rsidRPr="00315C9A">
              <w:rPr>
                <w:i/>
                <w:iCs/>
              </w:rPr>
              <w:t xml:space="preserve">Combustion </w:t>
            </w:r>
            <w:r w:rsidRPr="00315C9A">
              <w:rPr>
                <w:i/>
                <w:iCs/>
                <w:u w:val="single"/>
              </w:rPr>
              <w:t>and electrical</w:t>
            </w:r>
            <w:r w:rsidRPr="00315C9A">
              <w:rPr>
                <w:i/>
                <w:iCs/>
              </w:rPr>
              <w:t xml:space="preserve"> </w:t>
            </w:r>
            <w:r w:rsidR="00A73157" w:rsidRPr="00315C9A">
              <w:rPr>
                <w:i/>
                <w:iCs/>
              </w:rPr>
              <w:t>h</w:t>
            </w:r>
            <w:r w:rsidRPr="00315C9A">
              <w:rPr>
                <w:i/>
                <w:iCs/>
              </w:rPr>
              <w:t>eaters</w:t>
            </w:r>
          </w:p>
        </w:tc>
        <w:tc>
          <w:tcPr>
            <w:tcW w:w="343" w:type="dxa"/>
          </w:tcPr>
          <w:p w14:paraId="132BACFB" w14:textId="77777777" w:rsidR="00F15AD6" w:rsidRPr="00315C9A" w:rsidRDefault="00F15AD6" w:rsidP="005274DD">
            <w:pPr>
              <w:spacing w:before="60" w:after="60"/>
              <w:rPr>
                <w:i/>
                <w:iCs/>
              </w:rPr>
            </w:pPr>
          </w:p>
        </w:tc>
        <w:tc>
          <w:tcPr>
            <w:tcW w:w="366" w:type="dxa"/>
          </w:tcPr>
          <w:p w14:paraId="0D97C219" w14:textId="77777777" w:rsidR="00F15AD6" w:rsidRPr="00315C9A" w:rsidRDefault="00F15AD6" w:rsidP="005274DD">
            <w:pPr>
              <w:spacing w:before="60" w:after="60"/>
              <w:rPr>
                <w:i/>
                <w:iCs/>
              </w:rPr>
            </w:pPr>
          </w:p>
        </w:tc>
        <w:tc>
          <w:tcPr>
            <w:tcW w:w="425" w:type="dxa"/>
          </w:tcPr>
          <w:p w14:paraId="11FDF34E" w14:textId="77777777" w:rsidR="00F15AD6" w:rsidRPr="00315C9A" w:rsidRDefault="00F15AD6" w:rsidP="005274DD">
            <w:pPr>
              <w:spacing w:before="60" w:after="60"/>
              <w:rPr>
                <w:i/>
                <w:iCs/>
              </w:rPr>
            </w:pPr>
          </w:p>
        </w:tc>
        <w:tc>
          <w:tcPr>
            <w:tcW w:w="284" w:type="dxa"/>
          </w:tcPr>
          <w:p w14:paraId="566BAFFB" w14:textId="77777777" w:rsidR="00F15AD6" w:rsidRPr="00315C9A" w:rsidRDefault="00F15AD6" w:rsidP="005274DD">
            <w:pPr>
              <w:spacing w:before="60" w:after="60"/>
              <w:rPr>
                <w:i/>
                <w:iCs/>
              </w:rPr>
            </w:pPr>
          </w:p>
        </w:tc>
        <w:tc>
          <w:tcPr>
            <w:tcW w:w="2409" w:type="dxa"/>
          </w:tcPr>
          <w:p w14:paraId="7C4B164F" w14:textId="77777777" w:rsidR="00F15AD6" w:rsidRPr="00315C9A" w:rsidRDefault="00F15AD6" w:rsidP="005274DD">
            <w:pPr>
              <w:spacing w:before="60" w:after="60"/>
              <w:rPr>
                <w:i/>
                <w:iCs/>
              </w:rPr>
            </w:pPr>
          </w:p>
        </w:tc>
      </w:tr>
    </w:tbl>
    <w:p w14:paraId="0B543EB7" w14:textId="1C18174C" w:rsidR="00F15AD6" w:rsidRPr="00315C9A" w:rsidRDefault="00C15991" w:rsidP="00470BA8">
      <w:pPr>
        <w:pStyle w:val="SingleTxtG"/>
        <w:spacing w:before="120"/>
      </w:pPr>
      <w:r w:rsidRPr="00315C9A">
        <w:t>3</w:t>
      </w:r>
      <w:r w:rsidR="0000543D" w:rsidRPr="00315C9A">
        <w:t>.</w:t>
      </w:r>
      <w:r w:rsidR="0000543D" w:rsidRPr="00315C9A">
        <w:tab/>
      </w:r>
      <w:r w:rsidR="00F15AD6" w:rsidRPr="00315C9A">
        <w:t>Amend the second paragraph of 9.2.2.1 to read (new wording underlined):</w:t>
      </w:r>
    </w:p>
    <w:p w14:paraId="39F6B3E5" w14:textId="1561083A" w:rsidR="00F15AD6" w:rsidRPr="00315C9A" w:rsidRDefault="00DC1647" w:rsidP="00DC1647">
      <w:pPr>
        <w:pStyle w:val="SingleTxtG"/>
        <w:spacing w:before="120"/>
      </w:pPr>
      <w:r w:rsidRPr="00315C9A">
        <w:t>“</w:t>
      </w:r>
      <w:r w:rsidR="00F15AD6" w:rsidRPr="00315C9A">
        <w:t>The electrical installation</w:t>
      </w:r>
      <w:r w:rsidR="00FE6EED" w:rsidRPr="00315C9A">
        <w:t xml:space="preserve"> </w:t>
      </w:r>
      <w:r w:rsidR="00635214" w:rsidRPr="00315C9A">
        <w:rPr>
          <w:strike/>
        </w:rPr>
        <w:t>as a whole</w:t>
      </w:r>
      <w:r w:rsidR="00F15AD6" w:rsidRPr="00315C9A">
        <w:rPr>
          <w:u w:val="single"/>
        </w:rPr>
        <w:t xml:space="preserve">, with the exception of the high voltage drive system in compliance with the technical provisions of UN Regulation No. 100, </w:t>
      </w:r>
      <w:r w:rsidR="00F15AD6" w:rsidRPr="00315C9A">
        <w:t>shall meet the provisions of 9.2.2.2 to 9.2.2.9 in accordance with the table of 9.2.1.</w:t>
      </w:r>
      <w:r w:rsidRPr="00315C9A">
        <w:t>”</w:t>
      </w:r>
    </w:p>
    <w:p w14:paraId="15243ABE" w14:textId="77777777" w:rsidR="00470BA8" w:rsidRPr="00315C9A" w:rsidRDefault="00C15991" w:rsidP="00470BA8">
      <w:pPr>
        <w:pStyle w:val="SingleTxtG"/>
        <w:snapToGrid w:val="0"/>
        <w:spacing w:before="120"/>
      </w:pPr>
      <w:r w:rsidRPr="00315C9A">
        <w:t>4</w:t>
      </w:r>
      <w:r w:rsidR="0000543D" w:rsidRPr="00315C9A">
        <w:t>.</w:t>
      </w:r>
      <w:r w:rsidR="0000543D" w:rsidRPr="00315C9A">
        <w:tab/>
      </w:r>
      <w:r w:rsidR="00F15AD6" w:rsidRPr="00315C9A">
        <w:t>Amend 9.2.3.1.1 to read (new wording underlined):</w:t>
      </w:r>
    </w:p>
    <w:p w14:paraId="2D592D43" w14:textId="6547ABB7" w:rsidR="00470BA8" w:rsidRPr="00315C9A" w:rsidRDefault="00D14F67" w:rsidP="00470BA8">
      <w:pPr>
        <w:pStyle w:val="SingleTxtG"/>
        <w:snapToGrid w:val="0"/>
        <w:spacing w:before="120"/>
      </w:pPr>
      <w:r w:rsidRPr="00315C9A">
        <w:t>“</w:t>
      </w:r>
      <w:r w:rsidR="00F15AD6" w:rsidRPr="00315C9A">
        <w:t>Motor vehicles and trailers intended for use as transport units for dangerous goods shall fulfil all relevant technical requirements of UN Regulation No.13</w:t>
      </w:r>
      <w:r w:rsidR="00811F4C">
        <w:t>⁴</w:t>
      </w:r>
      <w:r w:rsidR="00F15AD6" w:rsidRPr="00315C9A">
        <w:t xml:space="preserve">, as amended, in accordance with the dates of application specified therein. </w:t>
      </w:r>
      <w:r w:rsidR="00F15AD6" w:rsidRPr="00315C9A">
        <w:rPr>
          <w:u w:val="single"/>
        </w:rPr>
        <w:t>Battery Electric Vehicles shall fulfil all relevant technical requirements of Revision 11 or higher of UN Regulation No. 13 as applicable.</w:t>
      </w:r>
      <w:r w:rsidRPr="00315C9A">
        <w:t>”</w:t>
      </w:r>
    </w:p>
    <w:p w14:paraId="4F58ABCA" w14:textId="37615DD3" w:rsidR="0000543D" w:rsidRPr="00315C9A" w:rsidRDefault="00C15991" w:rsidP="00470BA8">
      <w:pPr>
        <w:pStyle w:val="SingleTxtG"/>
        <w:snapToGrid w:val="0"/>
        <w:spacing w:before="120"/>
      </w:pPr>
      <w:r w:rsidRPr="00315C9A">
        <w:t>5</w:t>
      </w:r>
      <w:r w:rsidR="0000543D" w:rsidRPr="00315C9A">
        <w:t>.</w:t>
      </w:r>
      <w:r w:rsidR="0000543D" w:rsidRPr="00315C9A">
        <w:tab/>
      </w:r>
      <w:r w:rsidR="00F15AD6" w:rsidRPr="00315C9A">
        <w:t>Introduce a note after the heading of 9.2.4.3 to read:</w:t>
      </w:r>
    </w:p>
    <w:p w14:paraId="54072719" w14:textId="0AAF01F8" w:rsidR="00F15AD6" w:rsidRPr="00315C9A" w:rsidRDefault="00D14F67" w:rsidP="00470BA8">
      <w:pPr>
        <w:pStyle w:val="SingleTxtG"/>
        <w:spacing w:before="120"/>
      </w:pPr>
      <w:r w:rsidRPr="00315C9A">
        <w:t>“</w:t>
      </w:r>
      <w:r w:rsidRPr="00315C9A">
        <w:rPr>
          <w:b/>
          <w:bCs/>
          <w:i/>
          <w:iCs/>
        </w:rPr>
        <w:t>NOTE</w:t>
      </w:r>
      <w:r w:rsidR="00F15AD6" w:rsidRPr="00315C9A">
        <w:rPr>
          <w:b/>
          <w:bCs/>
          <w:i/>
          <w:iCs/>
        </w:rPr>
        <w:t>:</w:t>
      </w:r>
      <w:r w:rsidR="00F15AD6" w:rsidRPr="00315C9A">
        <w:rPr>
          <w:i/>
          <w:iCs/>
        </w:rPr>
        <w:t xml:space="preserve"> 9.2.4.3 likewise applies to fuel tanks and cylinders used for hybrid vehicles which include an electric drive system in the mechanical driveline of the internal combustion engine or use an internal combustion engine to driving a generator to energize the electric drive system.</w:t>
      </w:r>
      <w:r w:rsidRPr="00315C9A">
        <w:t>”</w:t>
      </w:r>
    </w:p>
    <w:p w14:paraId="04A5ADA3" w14:textId="6279120E" w:rsidR="0000543D" w:rsidRPr="00315C9A" w:rsidRDefault="00C15991" w:rsidP="00470BA8">
      <w:pPr>
        <w:pStyle w:val="SingleTxtG"/>
        <w:spacing w:before="120"/>
      </w:pPr>
      <w:r w:rsidRPr="00315C9A">
        <w:t>6</w:t>
      </w:r>
      <w:r w:rsidR="0000543D" w:rsidRPr="00315C9A">
        <w:t>.</w:t>
      </w:r>
      <w:r w:rsidR="0000543D" w:rsidRPr="00315C9A">
        <w:tab/>
      </w:r>
      <w:r w:rsidR="00F15AD6" w:rsidRPr="00315C9A">
        <w:t>Introduce a note after the heading of 9.2.4.4 to read:</w:t>
      </w:r>
    </w:p>
    <w:p w14:paraId="3173D95A" w14:textId="76CED925" w:rsidR="00F15AD6" w:rsidRPr="00315C9A" w:rsidRDefault="00D14F67" w:rsidP="00470BA8">
      <w:pPr>
        <w:pStyle w:val="SingleTxtG"/>
        <w:spacing w:before="120"/>
      </w:pPr>
      <w:r w:rsidRPr="00315C9A">
        <w:t>“</w:t>
      </w:r>
      <w:r w:rsidRPr="00315C9A">
        <w:rPr>
          <w:b/>
          <w:bCs/>
          <w:i/>
          <w:iCs/>
        </w:rPr>
        <w:t>NOTE:</w:t>
      </w:r>
      <w:r w:rsidR="00F15AD6" w:rsidRPr="00315C9A">
        <w:t xml:space="preserve"> </w:t>
      </w:r>
      <w:r w:rsidR="00F15AD6" w:rsidRPr="00315C9A">
        <w:rPr>
          <w:i/>
          <w:iCs/>
        </w:rPr>
        <w:t>9.2.4.4 likewise applies to hybrid vehicles which include an electric drive system in the mechanical driveline of the internal combustion engine or use an internal combustion engine to driving a generator to energize the electric drive system.</w:t>
      </w:r>
      <w:r w:rsidRPr="00315C9A">
        <w:t>”</w:t>
      </w:r>
    </w:p>
    <w:p w14:paraId="5606CFA6" w14:textId="191AA1A1" w:rsidR="00C15991" w:rsidRPr="00315C9A" w:rsidRDefault="00D13844" w:rsidP="00470BA8">
      <w:pPr>
        <w:pStyle w:val="SingleTxtG"/>
        <w:spacing w:before="120"/>
      </w:pPr>
      <w:r w:rsidRPr="00315C9A">
        <w:t>7.</w:t>
      </w:r>
      <w:r w:rsidRPr="00315C9A">
        <w:tab/>
      </w:r>
      <w:r w:rsidR="00F15AD6" w:rsidRPr="00315C9A">
        <w:t>Introduce a new subsection 9.2.4.6 to read:</w:t>
      </w:r>
    </w:p>
    <w:p w14:paraId="4466216B" w14:textId="6692A65E" w:rsidR="00F15AD6" w:rsidRPr="00315C9A" w:rsidRDefault="00D14F67" w:rsidP="00470BA8">
      <w:pPr>
        <w:pStyle w:val="SingleTxtG"/>
        <w:spacing w:before="120"/>
        <w:rPr>
          <w:rFonts w:eastAsia="SimSun"/>
          <w:b/>
          <w:i/>
          <w:iCs/>
        </w:rPr>
      </w:pPr>
      <w:r w:rsidRPr="00315C9A">
        <w:rPr>
          <w:rFonts w:eastAsia="SimSun"/>
          <w:b/>
        </w:rPr>
        <w:t>“</w:t>
      </w:r>
      <w:r w:rsidR="00F15AD6" w:rsidRPr="00315C9A">
        <w:rPr>
          <w:rFonts w:eastAsia="SimSun"/>
          <w:b/>
        </w:rPr>
        <w:t>9.2.4.6</w:t>
      </w:r>
      <w:r w:rsidR="00F15AD6" w:rsidRPr="00315C9A">
        <w:rPr>
          <w:rFonts w:eastAsia="SimSun"/>
          <w:b/>
        </w:rPr>
        <w:tab/>
      </w:r>
      <w:r w:rsidR="00F15AD6" w:rsidRPr="00315C9A">
        <w:rPr>
          <w:rFonts w:eastAsia="SimSun"/>
          <w:b/>
          <w:i/>
          <w:iCs/>
        </w:rPr>
        <w:t>Electric drive system</w:t>
      </w:r>
    </w:p>
    <w:p w14:paraId="1D1CE9E7" w14:textId="331A0752" w:rsidR="00F15AD6" w:rsidRPr="00315C9A" w:rsidRDefault="00D14F67" w:rsidP="00D14F67">
      <w:pPr>
        <w:spacing w:before="120" w:after="120" w:line="240" w:lineRule="auto"/>
        <w:ind w:left="2268" w:right="1134"/>
        <w:jc w:val="both"/>
      </w:pPr>
      <w:r w:rsidRPr="00315C9A">
        <w:rPr>
          <w:b/>
          <w:bCs/>
          <w:i/>
          <w:iCs/>
        </w:rPr>
        <w:t>NOTE:</w:t>
      </w:r>
      <w:r w:rsidR="00F15AD6" w:rsidRPr="00315C9A">
        <w:rPr>
          <w:i/>
          <w:iCs/>
        </w:rPr>
        <w:t xml:space="preserve"> 9.2.4.6 likewise applies to hybrid vehicles that include an electric drive system in the mechanical driveline of an internal combustion engine. Electric drive systems shall not be used for EX and FL vehicles.</w:t>
      </w:r>
      <w:r w:rsidRPr="00315C9A">
        <w:rPr>
          <w:i/>
          <w:iCs/>
        </w:rPr>
        <w:t xml:space="preserve"> </w:t>
      </w:r>
      <w:r w:rsidR="00F15AD6" w:rsidRPr="00315C9A">
        <w:rPr>
          <w:i/>
          <w:iCs/>
        </w:rPr>
        <w:t>[Electric drive shall only be used on tractors for semi-trailers.]</w:t>
      </w:r>
    </w:p>
    <w:p w14:paraId="0EDBD1E8" w14:textId="58E3F211" w:rsidR="00F15AD6" w:rsidRPr="00315C9A" w:rsidRDefault="00F15AD6" w:rsidP="00D14F67">
      <w:pPr>
        <w:spacing w:before="120" w:after="120" w:line="240" w:lineRule="auto"/>
        <w:ind w:left="2268" w:right="1134"/>
        <w:jc w:val="both"/>
      </w:pPr>
      <w:r w:rsidRPr="00315C9A">
        <w:tab/>
        <w:t xml:space="preserve">The </w:t>
      </w:r>
      <w:r w:rsidR="00D14F67" w:rsidRPr="00315C9A">
        <w:t>e</w:t>
      </w:r>
      <w:r w:rsidRPr="00315C9A">
        <w:t xml:space="preserve">lectric </w:t>
      </w:r>
      <w:r w:rsidR="00D14F67" w:rsidRPr="00315C9A">
        <w:t>d</w:t>
      </w:r>
      <w:r w:rsidRPr="00315C9A">
        <w:t xml:space="preserve">rive system shall meet the requirements of UN Regulation No. 100 </w:t>
      </w:r>
      <w:r w:rsidRPr="00315C9A">
        <w:rPr>
          <w:vertAlign w:val="superscript"/>
        </w:rPr>
        <w:t>8</w:t>
      </w:r>
      <w:r w:rsidRPr="00315C9A">
        <w:t>. Measures shall be taken to prevent any danger to the load by heating or ignition.</w:t>
      </w:r>
      <w:r w:rsidR="00D14F67" w:rsidRPr="00315C9A">
        <w:t>”</w:t>
      </w:r>
    </w:p>
    <w:p w14:paraId="3B7468A0" w14:textId="77777777" w:rsidR="00DD43B5" w:rsidRPr="00315C9A" w:rsidRDefault="00DD43B5" w:rsidP="00DD43B5">
      <w:pPr>
        <w:pStyle w:val="SingleTxtG"/>
        <w:spacing w:before="120"/>
        <w:rPr>
          <w:i/>
          <w:iCs/>
        </w:rPr>
      </w:pPr>
      <w:r w:rsidRPr="00315C9A">
        <w:tab/>
      </w:r>
      <w:r w:rsidR="00F15AD6" w:rsidRPr="00315C9A">
        <w:tab/>
        <w:t xml:space="preserve">Footnote 8 </w:t>
      </w:r>
      <w:r w:rsidR="00D14F67" w:rsidRPr="00315C9A">
        <w:t>reads:</w:t>
      </w:r>
      <w:r w:rsidR="00D14F67" w:rsidRPr="00315C9A">
        <w:rPr>
          <w:i/>
          <w:iCs/>
        </w:rPr>
        <w:t xml:space="preserve"> </w:t>
      </w:r>
    </w:p>
    <w:p w14:paraId="6A1E7656" w14:textId="565FFCDC" w:rsidR="00F15AD6" w:rsidRPr="00315C9A" w:rsidRDefault="00D14F67" w:rsidP="00DD43B5">
      <w:pPr>
        <w:pStyle w:val="SingleTxtG"/>
        <w:spacing w:before="120"/>
        <w:ind w:left="2268" w:hanging="1134"/>
        <w:rPr>
          <w:i/>
          <w:iCs/>
        </w:rPr>
      </w:pPr>
      <w:r w:rsidRPr="00315C9A">
        <w:rPr>
          <w:i/>
          <w:iCs/>
        </w:rPr>
        <w:t>“</w:t>
      </w:r>
      <w:r w:rsidRPr="00315C9A">
        <w:rPr>
          <w:b/>
          <w:bCs/>
          <w:vertAlign w:val="superscript"/>
        </w:rPr>
        <w:t>8</w:t>
      </w:r>
      <w:r w:rsidRPr="00315C9A">
        <w:rPr>
          <w:i/>
          <w:iCs/>
        </w:rPr>
        <w:tab/>
      </w:r>
      <w:r w:rsidR="00F15AD6" w:rsidRPr="00315C9A">
        <w:rPr>
          <w:i/>
          <w:iCs/>
        </w:rPr>
        <w:t>UN Regulation No. 100 (Uniform provisions concerning the approval of vehicles with regard to specific requirements for the electric power train).</w:t>
      </w:r>
      <w:r w:rsidRPr="00315C9A">
        <w:rPr>
          <w:i/>
          <w:iCs/>
        </w:rPr>
        <w:t>”</w:t>
      </w:r>
    </w:p>
    <w:p w14:paraId="5286CA4C" w14:textId="1E764837" w:rsidR="00DD43B5" w:rsidRPr="00315C9A" w:rsidRDefault="000E2F14" w:rsidP="000E2F14">
      <w:pPr>
        <w:pStyle w:val="SingleTxtG"/>
        <w:spacing w:before="120"/>
      </w:pPr>
      <w:r w:rsidRPr="00315C9A">
        <w:tab/>
      </w:r>
      <w:r w:rsidRPr="00315C9A">
        <w:tab/>
        <w:t>In Chapter 9.2, renumber subsequent footnote</w:t>
      </w:r>
      <w:r w:rsidR="00F04782">
        <w:t>s accordingly.</w:t>
      </w:r>
      <w:r w:rsidRPr="00315C9A">
        <w:t xml:space="preserve"> </w:t>
      </w:r>
    </w:p>
    <w:p w14:paraId="35D995C3" w14:textId="1EB09962" w:rsidR="00964729" w:rsidRPr="00315C9A" w:rsidRDefault="00D13844" w:rsidP="00964729">
      <w:pPr>
        <w:pStyle w:val="SingleTxtG"/>
        <w:spacing w:before="120"/>
      </w:pPr>
      <w:r w:rsidRPr="00315C9A">
        <w:t>8.</w:t>
      </w:r>
      <w:r w:rsidRPr="00315C9A">
        <w:tab/>
      </w:r>
      <w:r w:rsidR="00F15AD6" w:rsidRPr="00315C9A">
        <w:t>Renumber the existing 9.2.4.6 and 9.2.4.7 as 9.2.4.7 and 9.2.4.8 respectively.</w:t>
      </w:r>
      <w:r w:rsidR="001F434A" w:rsidRPr="00315C9A">
        <w:t xml:space="preserve"> Under 9.2.4.7,</w:t>
      </w:r>
      <w:r w:rsidR="007137F4" w:rsidRPr="00315C9A">
        <w:t xml:space="preserve"> renumber the paragraphs and cross-references accordingly.</w:t>
      </w:r>
      <w:r w:rsidR="007D2830" w:rsidRPr="00315C9A">
        <w:t xml:space="preserve"> In 9.3.2.2, replace “9.2.4.7.1, 9.2.4.7.2, 9.2.4.7.5 and 9.2.4.7.6” by “9.2.4.8.1, 9.2.4.8.2, 9.2.4.8.5 and 9.2.4.8.6”.</w:t>
      </w:r>
      <w:r w:rsidR="002E0786" w:rsidRPr="00315C9A">
        <w:t xml:space="preserve"> In 9.7.7.1, </w:t>
      </w:r>
      <w:r w:rsidR="008079F6" w:rsidRPr="00315C9A">
        <w:t xml:space="preserve">in the first sentence, </w:t>
      </w:r>
      <w:r w:rsidR="002E0786" w:rsidRPr="00315C9A">
        <w:t>replace “</w:t>
      </w:r>
      <w:r w:rsidR="008079F6" w:rsidRPr="00315C9A">
        <w:t>9.2.4.7.1, 9.2.4.7.2, 9.2.4.7.5” by “9.2.4.8.1, 9.2.4.8.2, 9.2.4.8.5”. In 9.7.7.1, in the last sentence, replace “</w:t>
      </w:r>
      <w:r w:rsidR="00835DB8" w:rsidRPr="00315C9A">
        <w:t>9.2.4.7.3 and 9.2.4.7.4” by “9.2.4.8.3 and 9.2.4.8.4”.</w:t>
      </w:r>
      <w:r w:rsidR="00964729" w:rsidRPr="00315C9A">
        <w:t xml:space="preserve"> In 9.8.6.1, replace “9.2.4.7.1, 9.2.4.7.2, 9.2.4.7.5, 9.2.4.7.6” by “9.2.4.8.1, 9.2.4.8.2, 9.2.4.8.5, 9.2.4.8.6”.</w:t>
      </w:r>
    </w:p>
    <w:p w14:paraId="4266B63E" w14:textId="689C50EF" w:rsidR="00D13844" w:rsidRPr="00315C9A" w:rsidRDefault="00865843" w:rsidP="00470BA8">
      <w:pPr>
        <w:pStyle w:val="SingleTxtG"/>
        <w:spacing w:before="120"/>
      </w:pPr>
      <w:r w:rsidRPr="00315C9A">
        <w:t>9.</w:t>
      </w:r>
      <w:r w:rsidRPr="00315C9A">
        <w:tab/>
      </w:r>
      <w:r w:rsidR="00F15AD6" w:rsidRPr="00315C9A">
        <w:t>Amend the heading of the renumbered 9.2.4.8 to read (deleted wording stricken through):</w:t>
      </w:r>
    </w:p>
    <w:p w14:paraId="0E4C6640" w14:textId="29BF76D8" w:rsidR="00F15AD6" w:rsidRPr="00315C9A" w:rsidRDefault="00886EEB" w:rsidP="00470BA8">
      <w:pPr>
        <w:pStyle w:val="SingleTxtG"/>
        <w:spacing w:before="120"/>
        <w:rPr>
          <w:i/>
        </w:rPr>
      </w:pPr>
      <w:r w:rsidRPr="00315C9A">
        <w:rPr>
          <w:i/>
          <w:iCs/>
        </w:rPr>
        <w:t>“</w:t>
      </w:r>
      <w:r w:rsidR="00F15AD6" w:rsidRPr="00315C9A">
        <w:rPr>
          <w:b/>
          <w:bCs/>
          <w:i/>
          <w:iCs/>
        </w:rPr>
        <w:t xml:space="preserve">Combustion </w:t>
      </w:r>
      <w:r w:rsidR="00F15AD6" w:rsidRPr="00315C9A">
        <w:rPr>
          <w:b/>
          <w:bCs/>
          <w:i/>
          <w:iCs/>
          <w:u w:val="single"/>
        </w:rPr>
        <w:t>and electrical</w:t>
      </w:r>
      <w:r w:rsidR="00F15AD6" w:rsidRPr="00315C9A">
        <w:rPr>
          <w:b/>
          <w:bCs/>
          <w:i/>
        </w:rPr>
        <w:t xml:space="preserve"> heaters</w:t>
      </w:r>
      <w:r w:rsidRPr="00315C9A">
        <w:rPr>
          <w:i/>
        </w:rPr>
        <w:t>”</w:t>
      </w:r>
    </w:p>
    <w:p w14:paraId="5851AD07" w14:textId="68F3CAE4" w:rsidR="00865843" w:rsidRPr="00315C9A" w:rsidRDefault="00865843" w:rsidP="00470BA8">
      <w:pPr>
        <w:pStyle w:val="SingleTxtG"/>
        <w:spacing w:before="120"/>
      </w:pPr>
      <w:r w:rsidRPr="00315C9A">
        <w:t>10.</w:t>
      </w:r>
      <w:r w:rsidRPr="00315C9A">
        <w:tab/>
      </w:r>
      <w:r w:rsidR="00F15AD6" w:rsidRPr="00315C9A">
        <w:t>Amend the renumbered 9.2.4.8.1 to read</w:t>
      </w:r>
      <w:r w:rsidR="00BB7501">
        <w:t xml:space="preserve"> as follows</w:t>
      </w:r>
      <w:r w:rsidR="00F15AD6" w:rsidRPr="00315C9A">
        <w:t xml:space="preserve"> (new wording underlined)</w:t>
      </w:r>
      <w:r w:rsidR="00BB7501">
        <w:t>. Footnote 8 is renumbered as 9.</w:t>
      </w:r>
    </w:p>
    <w:p w14:paraId="23FB5D4C" w14:textId="6E57EF3B" w:rsidR="00F15AD6" w:rsidRPr="00315C9A" w:rsidRDefault="00886EEB" w:rsidP="00886EEB">
      <w:pPr>
        <w:pStyle w:val="SingleTxtG"/>
        <w:spacing w:before="120"/>
        <w:ind w:left="2268" w:hanging="1134"/>
      </w:pPr>
      <w:r w:rsidRPr="00315C9A">
        <w:t>“9.2.4.8.1</w:t>
      </w:r>
      <w:r w:rsidRPr="00315C9A">
        <w:tab/>
      </w:r>
      <w:r w:rsidR="00F15AD6" w:rsidRPr="00315C9A">
        <w:t xml:space="preserve">Combustion </w:t>
      </w:r>
      <w:r w:rsidR="00F15AD6" w:rsidRPr="00315C9A">
        <w:rPr>
          <w:u w:val="single"/>
        </w:rPr>
        <w:t>and electrical</w:t>
      </w:r>
      <w:r w:rsidR="00F15AD6" w:rsidRPr="00315C9A">
        <w:t xml:space="preserve"> heaters shall comply with the relevant technical requirements of UN Regulation No. 122</w:t>
      </w:r>
      <w:r w:rsidR="00BB7501">
        <w:t>⁹</w:t>
      </w:r>
      <w:r w:rsidR="00F15AD6" w:rsidRPr="00315C9A">
        <w:t>, as amended, in accordance with the dates of application specified therein and the provisions of 9.2.4.</w:t>
      </w:r>
      <w:r w:rsidRPr="00315C9A">
        <w:t>8</w:t>
      </w:r>
      <w:r w:rsidR="00F15AD6" w:rsidRPr="00315C9A">
        <w:t>.2 to 9.2.4.</w:t>
      </w:r>
      <w:r w:rsidRPr="00315C9A">
        <w:t>8</w:t>
      </w:r>
      <w:r w:rsidR="00F15AD6" w:rsidRPr="00315C9A">
        <w:t>.6 applicable according to the table in 9.2.1.</w:t>
      </w:r>
      <w:r w:rsidRPr="00315C9A">
        <w:t>”</w:t>
      </w:r>
    </w:p>
    <w:p w14:paraId="0B8F7C6F" w14:textId="77777777" w:rsidR="005D1573" w:rsidRPr="00315C9A" w:rsidRDefault="00865843" w:rsidP="00470BA8">
      <w:pPr>
        <w:pStyle w:val="SingleTxtG"/>
        <w:spacing w:before="120"/>
      </w:pPr>
      <w:r w:rsidRPr="00315C9A">
        <w:t>11.</w:t>
      </w:r>
      <w:r w:rsidRPr="00315C9A">
        <w:tab/>
      </w:r>
      <w:r w:rsidR="00F15AD6" w:rsidRPr="00315C9A">
        <w:t>Amend the renumbered 9.2.4.8.5 to read (new wording underlined):</w:t>
      </w:r>
    </w:p>
    <w:p w14:paraId="7D37015A" w14:textId="6A61DB3E" w:rsidR="00F15AD6" w:rsidRPr="00315C9A" w:rsidRDefault="00886EEB" w:rsidP="00886EEB">
      <w:pPr>
        <w:pStyle w:val="SingleTxtG"/>
        <w:spacing w:before="120"/>
        <w:ind w:left="2268" w:hanging="1134"/>
      </w:pPr>
      <w:r w:rsidRPr="00315C9A">
        <w:t>“9.2.4.8.1</w:t>
      </w:r>
      <w:r w:rsidRPr="00315C9A">
        <w:tab/>
      </w:r>
      <w:r w:rsidR="00F15AD6" w:rsidRPr="00315C9A">
        <w:t>The combustion heater</w:t>
      </w:r>
      <w:r w:rsidR="00F15AD6" w:rsidRPr="00315C9A">
        <w:rPr>
          <w:u w:val="single"/>
        </w:rPr>
        <w:t>, or electrical heater [for the drivers cab,]</w:t>
      </w:r>
      <w:r w:rsidR="00F15AD6" w:rsidRPr="00315C9A">
        <w:t xml:space="preserve"> shall be switched on manually. Programming devices shall be prohibited.</w:t>
      </w:r>
      <w:r w:rsidRPr="00315C9A">
        <w:t>”</w:t>
      </w:r>
    </w:p>
    <w:p w14:paraId="09E463C1" w14:textId="77777777" w:rsidR="00F15AD6" w:rsidRPr="00315C9A" w:rsidRDefault="00F15AD6" w:rsidP="00F15AD6">
      <w:r w:rsidRPr="00315C9A">
        <w:br w:type="page"/>
      </w:r>
    </w:p>
    <w:p w14:paraId="19D3A5CD" w14:textId="048E4546" w:rsidR="00F15AD6" w:rsidRPr="004D72D8" w:rsidRDefault="00470BA8" w:rsidP="004D72D8">
      <w:pPr>
        <w:pStyle w:val="HChG"/>
      </w:pPr>
      <w:r w:rsidRPr="004D72D8">
        <w:tab/>
      </w:r>
      <w:r w:rsidRPr="004D72D8">
        <w:tab/>
      </w:r>
      <w:r w:rsidR="00F15AD6" w:rsidRPr="004D72D8">
        <w:t xml:space="preserve">Annex </w:t>
      </w:r>
      <w:r w:rsidR="002509C1" w:rsidRPr="004D72D8">
        <w:t>II</w:t>
      </w:r>
    </w:p>
    <w:p w14:paraId="12A23C3D" w14:textId="19931823" w:rsidR="00F15AD6" w:rsidRPr="004D72D8" w:rsidRDefault="00470BA8" w:rsidP="004D72D8">
      <w:pPr>
        <w:pStyle w:val="H1G"/>
      </w:pPr>
      <w:r w:rsidRPr="004D72D8">
        <w:tab/>
      </w:r>
      <w:r w:rsidRPr="004D72D8">
        <w:tab/>
      </w:r>
      <w:r w:rsidR="00F15AD6" w:rsidRPr="004D72D8">
        <w:t xml:space="preserve">Additional/modifying proposals to the amendments in Annex </w:t>
      </w:r>
      <w:r w:rsidR="002509C1" w:rsidRPr="004D72D8">
        <w:t>I</w:t>
      </w:r>
      <w:r w:rsidR="00F15AD6" w:rsidRPr="004D72D8">
        <w:t xml:space="preserve"> for the introduction of Battery Electric Vehicles for the category FL</w:t>
      </w:r>
    </w:p>
    <w:p w14:paraId="5F93C8E1" w14:textId="3734FFAB" w:rsidR="00F15AD6" w:rsidRPr="00315C9A" w:rsidRDefault="005D1573" w:rsidP="005D1573">
      <w:pPr>
        <w:pStyle w:val="SingleTxtG"/>
      </w:pPr>
      <w:r w:rsidRPr="00315C9A">
        <w:t>1.</w:t>
      </w:r>
      <w:r w:rsidRPr="00315C9A">
        <w:tab/>
      </w:r>
      <w:r w:rsidR="00F15AD6" w:rsidRPr="00315C9A">
        <w:t xml:space="preserve">(Modification of paragraph 1 of Annex </w:t>
      </w:r>
      <w:r w:rsidR="002509C1" w:rsidRPr="00315C9A">
        <w:t>I</w:t>
      </w:r>
      <w:r w:rsidR="00F15AD6" w:rsidRPr="00315C9A">
        <w:t xml:space="preserve">) In the table of 9.2.1.1 introduce a new 9.2.4.6 and renumber the current </w:t>
      </w:r>
      <w:r w:rsidR="00BB7501" w:rsidRPr="00315C9A">
        <w:t>9.2.4.6 and 9.2.4.7 and 9.2.4.7.1 to 9.2.4.7.6 as 9.2.4.7 and 9.2.4.8 and 9.2.4.8.1 to 9.2.4.8.6 respectively:</w:t>
      </w:r>
    </w:p>
    <w:tbl>
      <w:tblPr>
        <w:tblStyle w:val="TableGrid"/>
        <w:tblW w:w="0" w:type="auto"/>
        <w:jc w:val="center"/>
        <w:tblLook w:val="04A0" w:firstRow="1" w:lastRow="0" w:firstColumn="1" w:lastColumn="0" w:noHBand="0" w:noVBand="1"/>
      </w:tblPr>
      <w:tblGrid>
        <w:gridCol w:w="846"/>
        <w:gridCol w:w="2693"/>
        <w:gridCol w:w="343"/>
        <w:gridCol w:w="366"/>
        <w:gridCol w:w="434"/>
        <w:gridCol w:w="434"/>
        <w:gridCol w:w="2316"/>
      </w:tblGrid>
      <w:tr w:rsidR="00F15AD6" w:rsidRPr="00315C9A" w14:paraId="4180124C" w14:textId="77777777" w:rsidTr="005274DD">
        <w:trPr>
          <w:jc w:val="center"/>
        </w:trPr>
        <w:tc>
          <w:tcPr>
            <w:tcW w:w="846" w:type="dxa"/>
          </w:tcPr>
          <w:p w14:paraId="438E50F4" w14:textId="77777777" w:rsidR="00F15AD6" w:rsidRPr="00315C9A" w:rsidRDefault="00F15AD6" w:rsidP="005274DD">
            <w:pPr>
              <w:spacing w:before="60" w:after="60"/>
              <w:ind w:left="57"/>
              <w:rPr>
                <w:i/>
                <w:iCs/>
              </w:rPr>
            </w:pPr>
          </w:p>
        </w:tc>
        <w:tc>
          <w:tcPr>
            <w:tcW w:w="2693" w:type="dxa"/>
          </w:tcPr>
          <w:p w14:paraId="45C48C16" w14:textId="77777777" w:rsidR="00F15AD6" w:rsidRPr="00315C9A" w:rsidRDefault="00F15AD6" w:rsidP="005274DD">
            <w:pPr>
              <w:spacing w:before="60" w:after="60"/>
              <w:ind w:left="57"/>
              <w:rPr>
                <w:i/>
                <w:iCs/>
                <w:u w:val="single"/>
              </w:rPr>
            </w:pPr>
          </w:p>
        </w:tc>
        <w:tc>
          <w:tcPr>
            <w:tcW w:w="343" w:type="dxa"/>
          </w:tcPr>
          <w:p w14:paraId="203F13F7" w14:textId="77777777" w:rsidR="00F15AD6" w:rsidRPr="00315C9A" w:rsidRDefault="00F15AD6" w:rsidP="005274DD">
            <w:pPr>
              <w:spacing w:before="60" w:after="60"/>
              <w:ind w:left="57"/>
              <w:rPr>
                <w:i/>
                <w:iCs/>
              </w:rPr>
            </w:pPr>
          </w:p>
        </w:tc>
        <w:tc>
          <w:tcPr>
            <w:tcW w:w="366" w:type="dxa"/>
          </w:tcPr>
          <w:p w14:paraId="2EEDBAC1" w14:textId="77777777" w:rsidR="00F15AD6" w:rsidRPr="00315C9A" w:rsidRDefault="00F15AD6" w:rsidP="005274DD">
            <w:pPr>
              <w:spacing w:before="60" w:after="60"/>
              <w:ind w:left="57"/>
              <w:rPr>
                <w:i/>
                <w:iCs/>
              </w:rPr>
            </w:pPr>
          </w:p>
        </w:tc>
        <w:tc>
          <w:tcPr>
            <w:tcW w:w="425" w:type="dxa"/>
          </w:tcPr>
          <w:p w14:paraId="712257A6" w14:textId="77777777" w:rsidR="00F15AD6" w:rsidRPr="00315C9A" w:rsidRDefault="00F15AD6" w:rsidP="005274DD">
            <w:pPr>
              <w:spacing w:before="60" w:after="60"/>
              <w:ind w:left="57"/>
              <w:rPr>
                <w:i/>
                <w:iCs/>
              </w:rPr>
            </w:pPr>
            <w:r w:rsidRPr="00315C9A">
              <w:rPr>
                <w:i/>
                <w:iCs/>
              </w:rPr>
              <w:t>(AT)</w:t>
            </w:r>
          </w:p>
        </w:tc>
        <w:tc>
          <w:tcPr>
            <w:tcW w:w="377" w:type="dxa"/>
          </w:tcPr>
          <w:p w14:paraId="4D897DD4" w14:textId="77777777" w:rsidR="00F15AD6" w:rsidRPr="00315C9A" w:rsidRDefault="00F15AD6" w:rsidP="005274DD">
            <w:pPr>
              <w:spacing w:before="60" w:after="60"/>
              <w:ind w:left="57"/>
              <w:rPr>
                <w:i/>
                <w:iCs/>
              </w:rPr>
            </w:pPr>
            <w:r w:rsidRPr="00315C9A">
              <w:rPr>
                <w:i/>
                <w:iCs/>
              </w:rPr>
              <w:t>(FL)</w:t>
            </w:r>
          </w:p>
        </w:tc>
        <w:tc>
          <w:tcPr>
            <w:tcW w:w="2316" w:type="dxa"/>
          </w:tcPr>
          <w:p w14:paraId="2EAD180A" w14:textId="77777777" w:rsidR="00F15AD6" w:rsidRPr="00315C9A" w:rsidRDefault="00F15AD6" w:rsidP="005274DD">
            <w:pPr>
              <w:spacing w:before="60" w:after="60"/>
              <w:ind w:left="57"/>
              <w:rPr>
                <w:i/>
                <w:iCs/>
              </w:rPr>
            </w:pPr>
          </w:p>
        </w:tc>
      </w:tr>
      <w:tr w:rsidR="00F15AD6" w:rsidRPr="00315C9A" w14:paraId="7B0390AA" w14:textId="77777777" w:rsidTr="005274DD">
        <w:trPr>
          <w:jc w:val="center"/>
        </w:trPr>
        <w:tc>
          <w:tcPr>
            <w:tcW w:w="846" w:type="dxa"/>
          </w:tcPr>
          <w:p w14:paraId="694ABF34" w14:textId="77777777" w:rsidR="00F15AD6" w:rsidRPr="00315C9A" w:rsidRDefault="00F15AD6" w:rsidP="005274DD">
            <w:pPr>
              <w:spacing w:before="60" w:after="60"/>
              <w:ind w:left="57"/>
              <w:rPr>
                <w:i/>
                <w:iCs/>
              </w:rPr>
            </w:pPr>
            <w:r w:rsidRPr="00315C9A">
              <w:rPr>
                <w:i/>
                <w:iCs/>
              </w:rPr>
              <w:t>9.2.4.6</w:t>
            </w:r>
          </w:p>
        </w:tc>
        <w:tc>
          <w:tcPr>
            <w:tcW w:w="2693" w:type="dxa"/>
          </w:tcPr>
          <w:p w14:paraId="739626AC" w14:textId="77777777" w:rsidR="00F15AD6" w:rsidRPr="00315C9A" w:rsidRDefault="00F15AD6" w:rsidP="005274DD">
            <w:pPr>
              <w:spacing w:before="60" w:after="60"/>
              <w:ind w:left="57"/>
              <w:rPr>
                <w:i/>
                <w:iCs/>
                <w:u w:val="single"/>
              </w:rPr>
            </w:pPr>
            <w:r w:rsidRPr="00315C9A">
              <w:rPr>
                <w:i/>
                <w:iCs/>
                <w:u w:val="single"/>
              </w:rPr>
              <w:t>Electric drive system</w:t>
            </w:r>
          </w:p>
        </w:tc>
        <w:tc>
          <w:tcPr>
            <w:tcW w:w="343" w:type="dxa"/>
          </w:tcPr>
          <w:p w14:paraId="62568D31" w14:textId="77777777" w:rsidR="00F15AD6" w:rsidRPr="00315C9A" w:rsidRDefault="00F15AD6" w:rsidP="005274DD">
            <w:pPr>
              <w:spacing w:before="60" w:after="60"/>
              <w:ind w:left="57"/>
              <w:rPr>
                <w:i/>
                <w:iCs/>
              </w:rPr>
            </w:pPr>
          </w:p>
        </w:tc>
        <w:tc>
          <w:tcPr>
            <w:tcW w:w="366" w:type="dxa"/>
          </w:tcPr>
          <w:p w14:paraId="2D73829E" w14:textId="77777777" w:rsidR="00F15AD6" w:rsidRPr="00315C9A" w:rsidRDefault="00F15AD6" w:rsidP="005274DD">
            <w:pPr>
              <w:spacing w:before="60" w:after="60"/>
              <w:ind w:left="57"/>
              <w:rPr>
                <w:i/>
                <w:iCs/>
              </w:rPr>
            </w:pPr>
          </w:p>
        </w:tc>
        <w:tc>
          <w:tcPr>
            <w:tcW w:w="425" w:type="dxa"/>
          </w:tcPr>
          <w:p w14:paraId="4366BDDE" w14:textId="77777777" w:rsidR="00F15AD6" w:rsidRPr="00315C9A" w:rsidRDefault="00F15AD6" w:rsidP="005274DD">
            <w:pPr>
              <w:spacing w:before="60" w:after="60"/>
              <w:ind w:left="57"/>
              <w:rPr>
                <w:i/>
                <w:iCs/>
              </w:rPr>
            </w:pPr>
          </w:p>
        </w:tc>
        <w:tc>
          <w:tcPr>
            <w:tcW w:w="377" w:type="dxa"/>
          </w:tcPr>
          <w:p w14:paraId="578EB8A7" w14:textId="77777777" w:rsidR="00F15AD6" w:rsidRPr="00315C9A" w:rsidRDefault="00F15AD6" w:rsidP="005274DD">
            <w:pPr>
              <w:spacing w:before="60" w:after="60"/>
              <w:ind w:left="57"/>
              <w:rPr>
                <w:i/>
                <w:iCs/>
              </w:rPr>
            </w:pPr>
          </w:p>
        </w:tc>
        <w:tc>
          <w:tcPr>
            <w:tcW w:w="2316" w:type="dxa"/>
          </w:tcPr>
          <w:p w14:paraId="194EB1B1" w14:textId="77777777" w:rsidR="00F15AD6" w:rsidRPr="00315C9A" w:rsidRDefault="00F15AD6" w:rsidP="005274DD">
            <w:pPr>
              <w:spacing w:before="60" w:after="60"/>
              <w:ind w:left="57"/>
              <w:rPr>
                <w:i/>
                <w:iCs/>
              </w:rPr>
            </w:pPr>
          </w:p>
        </w:tc>
      </w:tr>
      <w:tr w:rsidR="00F15AD6" w:rsidRPr="00315C9A" w14:paraId="3F396D33" w14:textId="77777777" w:rsidTr="005274DD">
        <w:trPr>
          <w:jc w:val="center"/>
        </w:trPr>
        <w:tc>
          <w:tcPr>
            <w:tcW w:w="846" w:type="dxa"/>
          </w:tcPr>
          <w:p w14:paraId="52D1C0E5" w14:textId="77777777" w:rsidR="00F15AD6" w:rsidRPr="00315C9A" w:rsidRDefault="00F15AD6" w:rsidP="005274DD">
            <w:pPr>
              <w:spacing w:before="60" w:after="60"/>
              <w:ind w:left="57"/>
              <w:rPr>
                <w:i/>
                <w:iCs/>
              </w:rPr>
            </w:pPr>
            <w:r w:rsidRPr="00315C9A">
              <w:rPr>
                <w:i/>
                <w:iCs/>
              </w:rPr>
              <w:t>9.2.4.6.1</w:t>
            </w:r>
          </w:p>
        </w:tc>
        <w:tc>
          <w:tcPr>
            <w:tcW w:w="2693" w:type="dxa"/>
          </w:tcPr>
          <w:p w14:paraId="53E1E3D6" w14:textId="77777777" w:rsidR="00F15AD6" w:rsidRPr="00315C9A" w:rsidRDefault="00F15AD6" w:rsidP="005274DD">
            <w:pPr>
              <w:spacing w:before="60" w:after="60"/>
              <w:ind w:left="57"/>
              <w:rPr>
                <w:i/>
                <w:iCs/>
                <w:u w:val="single"/>
              </w:rPr>
            </w:pPr>
          </w:p>
        </w:tc>
        <w:tc>
          <w:tcPr>
            <w:tcW w:w="343" w:type="dxa"/>
          </w:tcPr>
          <w:p w14:paraId="1BEE6FFF" w14:textId="77777777" w:rsidR="00F15AD6" w:rsidRPr="00315C9A" w:rsidRDefault="00F15AD6" w:rsidP="005274DD">
            <w:pPr>
              <w:spacing w:before="60" w:after="60"/>
              <w:ind w:left="57"/>
              <w:rPr>
                <w:i/>
                <w:iCs/>
              </w:rPr>
            </w:pPr>
          </w:p>
        </w:tc>
        <w:tc>
          <w:tcPr>
            <w:tcW w:w="366" w:type="dxa"/>
          </w:tcPr>
          <w:p w14:paraId="254B48A7" w14:textId="77777777" w:rsidR="00F15AD6" w:rsidRPr="00315C9A" w:rsidRDefault="00F15AD6" w:rsidP="005274DD">
            <w:pPr>
              <w:spacing w:before="60" w:after="60"/>
              <w:ind w:left="57"/>
              <w:rPr>
                <w:i/>
                <w:iCs/>
              </w:rPr>
            </w:pPr>
          </w:p>
        </w:tc>
        <w:tc>
          <w:tcPr>
            <w:tcW w:w="425" w:type="dxa"/>
          </w:tcPr>
          <w:p w14:paraId="542EFF4A" w14:textId="77777777" w:rsidR="00F15AD6" w:rsidRPr="00315C9A" w:rsidRDefault="00F15AD6" w:rsidP="005274DD">
            <w:pPr>
              <w:spacing w:before="60" w:after="60"/>
              <w:ind w:left="57"/>
              <w:rPr>
                <w:i/>
                <w:iCs/>
              </w:rPr>
            </w:pPr>
            <w:r w:rsidRPr="00315C9A">
              <w:rPr>
                <w:i/>
                <w:iCs/>
              </w:rPr>
              <w:t>X</w:t>
            </w:r>
          </w:p>
        </w:tc>
        <w:tc>
          <w:tcPr>
            <w:tcW w:w="377" w:type="dxa"/>
          </w:tcPr>
          <w:p w14:paraId="2A04A4CF" w14:textId="77777777" w:rsidR="00F15AD6" w:rsidRPr="00315C9A" w:rsidRDefault="00F15AD6" w:rsidP="005274DD">
            <w:pPr>
              <w:spacing w:before="60" w:after="60"/>
              <w:ind w:left="57"/>
              <w:rPr>
                <w:i/>
                <w:iCs/>
              </w:rPr>
            </w:pPr>
          </w:p>
        </w:tc>
        <w:tc>
          <w:tcPr>
            <w:tcW w:w="2316" w:type="dxa"/>
          </w:tcPr>
          <w:p w14:paraId="0F335465" w14:textId="77777777" w:rsidR="00F15AD6" w:rsidRPr="00315C9A" w:rsidRDefault="00F15AD6" w:rsidP="005274DD">
            <w:pPr>
              <w:spacing w:before="60" w:after="60"/>
              <w:ind w:left="57"/>
              <w:rPr>
                <w:i/>
                <w:iCs/>
              </w:rPr>
            </w:pPr>
          </w:p>
        </w:tc>
      </w:tr>
      <w:tr w:rsidR="00F15AD6" w:rsidRPr="00315C9A" w14:paraId="529C1251" w14:textId="77777777" w:rsidTr="005274DD">
        <w:trPr>
          <w:jc w:val="center"/>
        </w:trPr>
        <w:tc>
          <w:tcPr>
            <w:tcW w:w="846" w:type="dxa"/>
          </w:tcPr>
          <w:p w14:paraId="191F1472" w14:textId="77777777" w:rsidR="00F15AD6" w:rsidRPr="00315C9A" w:rsidRDefault="00F15AD6" w:rsidP="005274DD">
            <w:pPr>
              <w:spacing w:before="60" w:after="60"/>
              <w:ind w:left="57"/>
              <w:rPr>
                <w:i/>
                <w:iCs/>
              </w:rPr>
            </w:pPr>
            <w:r w:rsidRPr="00315C9A">
              <w:rPr>
                <w:i/>
                <w:iCs/>
              </w:rPr>
              <w:t>9.2.4.6.2</w:t>
            </w:r>
          </w:p>
        </w:tc>
        <w:tc>
          <w:tcPr>
            <w:tcW w:w="2693" w:type="dxa"/>
          </w:tcPr>
          <w:p w14:paraId="586027DD" w14:textId="77777777" w:rsidR="00F15AD6" w:rsidRPr="00315C9A" w:rsidRDefault="00F15AD6" w:rsidP="005274DD">
            <w:pPr>
              <w:spacing w:before="60" w:after="60"/>
              <w:ind w:left="57"/>
              <w:rPr>
                <w:i/>
                <w:iCs/>
                <w:u w:val="single"/>
              </w:rPr>
            </w:pPr>
          </w:p>
        </w:tc>
        <w:tc>
          <w:tcPr>
            <w:tcW w:w="343" w:type="dxa"/>
          </w:tcPr>
          <w:p w14:paraId="7BE629F0" w14:textId="77777777" w:rsidR="00F15AD6" w:rsidRPr="00315C9A" w:rsidRDefault="00F15AD6" w:rsidP="005274DD">
            <w:pPr>
              <w:spacing w:before="60" w:after="60"/>
              <w:ind w:left="57"/>
              <w:rPr>
                <w:i/>
                <w:iCs/>
              </w:rPr>
            </w:pPr>
          </w:p>
        </w:tc>
        <w:tc>
          <w:tcPr>
            <w:tcW w:w="366" w:type="dxa"/>
          </w:tcPr>
          <w:p w14:paraId="47E3E887" w14:textId="77777777" w:rsidR="00F15AD6" w:rsidRPr="00315C9A" w:rsidRDefault="00F15AD6" w:rsidP="005274DD">
            <w:pPr>
              <w:spacing w:before="60" w:after="60"/>
              <w:ind w:left="57"/>
              <w:rPr>
                <w:i/>
                <w:iCs/>
              </w:rPr>
            </w:pPr>
          </w:p>
        </w:tc>
        <w:tc>
          <w:tcPr>
            <w:tcW w:w="425" w:type="dxa"/>
          </w:tcPr>
          <w:p w14:paraId="0D5C6521" w14:textId="77777777" w:rsidR="00F15AD6" w:rsidRPr="00315C9A" w:rsidRDefault="00F15AD6" w:rsidP="005274DD">
            <w:pPr>
              <w:spacing w:before="60" w:after="60"/>
              <w:ind w:left="57"/>
              <w:rPr>
                <w:i/>
                <w:iCs/>
              </w:rPr>
            </w:pPr>
          </w:p>
        </w:tc>
        <w:tc>
          <w:tcPr>
            <w:tcW w:w="377" w:type="dxa"/>
          </w:tcPr>
          <w:p w14:paraId="2CA04D8D" w14:textId="77777777" w:rsidR="00F15AD6" w:rsidRPr="00315C9A" w:rsidRDefault="00F15AD6" w:rsidP="005274DD">
            <w:pPr>
              <w:spacing w:before="60" w:after="60"/>
              <w:ind w:left="57"/>
              <w:rPr>
                <w:i/>
                <w:iCs/>
              </w:rPr>
            </w:pPr>
            <w:r w:rsidRPr="00315C9A">
              <w:rPr>
                <w:i/>
                <w:iCs/>
              </w:rPr>
              <w:t>X</w:t>
            </w:r>
          </w:p>
        </w:tc>
        <w:tc>
          <w:tcPr>
            <w:tcW w:w="2316" w:type="dxa"/>
          </w:tcPr>
          <w:p w14:paraId="1CCBD44B" w14:textId="77777777" w:rsidR="00F15AD6" w:rsidRPr="00315C9A" w:rsidRDefault="00F15AD6" w:rsidP="005274DD">
            <w:pPr>
              <w:spacing w:before="60" w:after="60"/>
              <w:ind w:left="57"/>
              <w:rPr>
                <w:i/>
                <w:iCs/>
              </w:rPr>
            </w:pPr>
          </w:p>
        </w:tc>
      </w:tr>
    </w:tbl>
    <w:p w14:paraId="2FA0A9F1" w14:textId="66C444AC" w:rsidR="00F15AD6" w:rsidRPr="00315C9A" w:rsidRDefault="005D1573" w:rsidP="00470BA8">
      <w:pPr>
        <w:pStyle w:val="SingleTxtG"/>
        <w:spacing w:before="120"/>
      </w:pPr>
      <w:r w:rsidRPr="00315C9A">
        <w:t>2.</w:t>
      </w:r>
      <w:r w:rsidRPr="00315C9A">
        <w:tab/>
      </w:r>
      <w:r w:rsidR="00F15AD6" w:rsidRPr="00315C9A">
        <w:t>In the table of 9.2.1.1 amend the line for the renumbered 9.2.4.8.6 to read:</w:t>
      </w:r>
    </w:p>
    <w:tbl>
      <w:tblPr>
        <w:tblStyle w:val="TableGrid"/>
        <w:tblW w:w="0" w:type="auto"/>
        <w:jc w:val="center"/>
        <w:tblLook w:val="04A0" w:firstRow="1" w:lastRow="0" w:firstColumn="1" w:lastColumn="0" w:noHBand="0" w:noVBand="1"/>
      </w:tblPr>
      <w:tblGrid>
        <w:gridCol w:w="1289"/>
        <w:gridCol w:w="2210"/>
        <w:gridCol w:w="343"/>
        <w:gridCol w:w="365"/>
        <w:gridCol w:w="424"/>
        <w:gridCol w:w="394"/>
        <w:gridCol w:w="2341"/>
      </w:tblGrid>
      <w:tr w:rsidR="00F15AD6" w:rsidRPr="00315C9A" w14:paraId="3F3F0508" w14:textId="77777777" w:rsidTr="005274DD">
        <w:trPr>
          <w:jc w:val="center"/>
        </w:trPr>
        <w:tc>
          <w:tcPr>
            <w:tcW w:w="1289" w:type="dxa"/>
          </w:tcPr>
          <w:p w14:paraId="41A44B4E" w14:textId="77777777" w:rsidR="00F15AD6" w:rsidRPr="00315C9A" w:rsidRDefault="00F15AD6" w:rsidP="005274DD">
            <w:pPr>
              <w:spacing w:before="60" w:after="60"/>
              <w:ind w:left="57"/>
            </w:pPr>
            <w:r w:rsidRPr="00315C9A">
              <w:t>9.2.4.8.6</w:t>
            </w:r>
          </w:p>
        </w:tc>
        <w:tc>
          <w:tcPr>
            <w:tcW w:w="2210" w:type="dxa"/>
          </w:tcPr>
          <w:p w14:paraId="56E9D77C" w14:textId="77777777" w:rsidR="00F15AD6" w:rsidRPr="00315C9A" w:rsidRDefault="00F15AD6" w:rsidP="005274DD">
            <w:pPr>
              <w:spacing w:before="60" w:after="60"/>
              <w:ind w:left="57"/>
            </w:pPr>
          </w:p>
        </w:tc>
        <w:tc>
          <w:tcPr>
            <w:tcW w:w="343" w:type="dxa"/>
          </w:tcPr>
          <w:p w14:paraId="63FC9C51" w14:textId="77777777" w:rsidR="00F15AD6" w:rsidRPr="00315C9A" w:rsidRDefault="00F15AD6" w:rsidP="005274DD">
            <w:pPr>
              <w:spacing w:before="60" w:after="60"/>
              <w:ind w:left="57"/>
            </w:pPr>
            <w:r w:rsidRPr="00315C9A">
              <w:t>X</w:t>
            </w:r>
          </w:p>
        </w:tc>
        <w:tc>
          <w:tcPr>
            <w:tcW w:w="365" w:type="dxa"/>
          </w:tcPr>
          <w:p w14:paraId="6D05BB52" w14:textId="77777777" w:rsidR="00F15AD6" w:rsidRPr="00315C9A" w:rsidRDefault="00F15AD6" w:rsidP="005274DD">
            <w:pPr>
              <w:spacing w:before="60" w:after="60"/>
              <w:ind w:left="57"/>
            </w:pPr>
            <w:r w:rsidRPr="00315C9A">
              <w:t>X</w:t>
            </w:r>
          </w:p>
        </w:tc>
        <w:tc>
          <w:tcPr>
            <w:tcW w:w="424" w:type="dxa"/>
          </w:tcPr>
          <w:p w14:paraId="0FF02836" w14:textId="77777777" w:rsidR="00F15AD6" w:rsidRPr="00315C9A" w:rsidRDefault="00F15AD6" w:rsidP="005274DD">
            <w:pPr>
              <w:spacing w:before="60" w:after="60"/>
              <w:ind w:left="57"/>
            </w:pPr>
            <w:r w:rsidRPr="00315C9A">
              <w:t>X</w:t>
            </w:r>
            <w:r w:rsidRPr="00315C9A">
              <w:rPr>
                <w:vertAlign w:val="superscript"/>
              </w:rPr>
              <w:t>y</w:t>
            </w:r>
          </w:p>
        </w:tc>
        <w:tc>
          <w:tcPr>
            <w:tcW w:w="394" w:type="dxa"/>
          </w:tcPr>
          <w:p w14:paraId="0B4356FE" w14:textId="77777777" w:rsidR="00F15AD6" w:rsidRPr="00315C9A" w:rsidRDefault="00F15AD6" w:rsidP="005274DD">
            <w:pPr>
              <w:spacing w:before="60" w:after="60"/>
              <w:ind w:left="57"/>
            </w:pPr>
            <w:r w:rsidRPr="00315C9A">
              <w:t>X</w:t>
            </w:r>
            <w:r w:rsidRPr="00315C9A">
              <w:rPr>
                <w:vertAlign w:val="superscript"/>
              </w:rPr>
              <w:t>y</w:t>
            </w:r>
          </w:p>
        </w:tc>
        <w:tc>
          <w:tcPr>
            <w:tcW w:w="2341" w:type="dxa"/>
          </w:tcPr>
          <w:p w14:paraId="316D0AAB" w14:textId="77777777" w:rsidR="00F15AD6" w:rsidRPr="00315C9A" w:rsidRDefault="00F15AD6" w:rsidP="005274DD">
            <w:pPr>
              <w:spacing w:before="60" w:after="60"/>
              <w:ind w:left="57"/>
            </w:pPr>
            <w:r w:rsidRPr="00315C9A">
              <w:rPr>
                <w:vertAlign w:val="superscript"/>
              </w:rPr>
              <w:t>y</w:t>
            </w:r>
            <w:r w:rsidRPr="00315C9A">
              <w:t xml:space="preserve"> Applicable to motor vehicles equipped after 30 June 2023. If the date of equipping is not  available the date of first registration of the vehicle shall be used instead.</w:t>
            </w:r>
          </w:p>
        </w:tc>
      </w:tr>
    </w:tbl>
    <w:p w14:paraId="70658C7A" w14:textId="61815FF9" w:rsidR="00F15AD6" w:rsidRPr="00315C9A" w:rsidRDefault="005D1573" w:rsidP="00470BA8">
      <w:pPr>
        <w:pStyle w:val="SingleTxtG"/>
        <w:spacing w:before="120"/>
      </w:pPr>
      <w:r w:rsidRPr="00315C9A">
        <w:t>3.</w:t>
      </w:r>
      <w:r w:rsidRPr="00315C9A">
        <w:tab/>
      </w:r>
      <w:r w:rsidR="00F15AD6" w:rsidRPr="00315C9A">
        <w:t xml:space="preserve">(Modification to paragraph 7 of Annex </w:t>
      </w:r>
      <w:r w:rsidR="002509C1" w:rsidRPr="00315C9A">
        <w:t>I</w:t>
      </w:r>
      <w:r w:rsidR="00F15AD6" w:rsidRPr="00315C9A">
        <w:t>) Introduce a new subsection 9.2.4.6 to read:</w:t>
      </w:r>
    </w:p>
    <w:p w14:paraId="449B8D91" w14:textId="72BE106B" w:rsidR="00F15AD6" w:rsidRPr="00D27745" w:rsidRDefault="00D27745" w:rsidP="00D27745">
      <w:pPr>
        <w:spacing w:before="120" w:after="120" w:line="240" w:lineRule="auto"/>
        <w:ind w:left="1701" w:right="1134" w:hanging="567"/>
        <w:jc w:val="both"/>
        <w:rPr>
          <w:rFonts w:eastAsia="SimSun"/>
          <w:b/>
          <w:i/>
        </w:rPr>
      </w:pPr>
      <w:r>
        <w:rPr>
          <w:rFonts w:eastAsia="SimSun"/>
          <w:b/>
          <w:iCs/>
        </w:rPr>
        <w:t>“</w:t>
      </w:r>
      <w:r w:rsidR="00F15AD6" w:rsidRPr="00315C9A">
        <w:rPr>
          <w:rFonts w:eastAsia="SimSun"/>
          <w:b/>
          <w:iCs/>
        </w:rPr>
        <w:t>9.2.4.6</w:t>
      </w:r>
      <w:r w:rsidR="00894B61" w:rsidRPr="00315C9A">
        <w:rPr>
          <w:rFonts w:eastAsia="SimSun"/>
          <w:b/>
          <w:iCs/>
        </w:rPr>
        <w:tab/>
      </w:r>
      <w:r w:rsidR="00F15AD6" w:rsidRPr="00D27745">
        <w:rPr>
          <w:rFonts w:eastAsia="SimSun"/>
          <w:b/>
          <w:i/>
        </w:rPr>
        <w:t>Electric drive system</w:t>
      </w:r>
    </w:p>
    <w:p w14:paraId="1E92D024" w14:textId="18CF2FC3" w:rsidR="00F15AD6" w:rsidRPr="00315C9A" w:rsidRDefault="00D27745" w:rsidP="00894B61">
      <w:pPr>
        <w:spacing w:before="120" w:after="120" w:line="240" w:lineRule="auto"/>
        <w:ind w:left="2268" w:right="1134"/>
        <w:jc w:val="both"/>
      </w:pPr>
      <w:r w:rsidRPr="00D27745">
        <w:rPr>
          <w:b/>
          <w:bCs/>
          <w:i/>
          <w:iCs/>
        </w:rPr>
        <w:t>NOTE:</w:t>
      </w:r>
      <w:r w:rsidR="00F15AD6" w:rsidRPr="00315C9A">
        <w:rPr>
          <w:i/>
          <w:iCs/>
        </w:rPr>
        <w:t xml:space="preserve"> 9.2.4.6 likewise applies to hybrid vehicles that include an electric drive system in the mechanical driveline of an internal combustion engine. Electric drive systems shall not be used for EX vehicles.[Electric drive shall only be used on FL tractors for semi-trailers.]</w:t>
      </w:r>
    </w:p>
    <w:p w14:paraId="39614FFC" w14:textId="3479FB84" w:rsidR="00F15AD6" w:rsidRPr="00315C9A" w:rsidRDefault="00F15AD6" w:rsidP="00CE6312">
      <w:pPr>
        <w:spacing w:before="120" w:after="120" w:line="240" w:lineRule="auto"/>
        <w:ind w:left="2268" w:right="1134" w:hanging="1134"/>
        <w:jc w:val="both"/>
      </w:pPr>
      <w:r w:rsidRPr="00315C9A">
        <w:t>9.2.4.6.1</w:t>
      </w:r>
      <w:r w:rsidRPr="00315C9A">
        <w:tab/>
        <w:t xml:space="preserve">The </w:t>
      </w:r>
      <w:r w:rsidR="00D27745">
        <w:t>e</w:t>
      </w:r>
      <w:r w:rsidRPr="00315C9A">
        <w:t xml:space="preserve">lectric </w:t>
      </w:r>
      <w:r w:rsidR="00D27745">
        <w:t>d</w:t>
      </w:r>
      <w:r w:rsidRPr="00315C9A">
        <w:t>rive system shall meet the requirements of UN Regulation No.</w:t>
      </w:r>
      <w:r w:rsidR="00CE6312">
        <w:t> </w:t>
      </w:r>
      <w:r w:rsidRPr="00315C9A">
        <w:t>100</w:t>
      </w:r>
      <w:r w:rsidR="00CE6312" w:rsidRPr="00315C9A">
        <w:t xml:space="preserve"> </w:t>
      </w:r>
      <w:r w:rsidR="00CE6312" w:rsidRPr="00315C9A">
        <w:rPr>
          <w:vertAlign w:val="superscript"/>
        </w:rPr>
        <w:t>8</w:t>
      </w:r>
      <w:r w:rsidRPr="00315C9A">
        <w:t>. Measures shall be taken to prevent any danger to the load by heating or ignition.</w:t>
      </w:r>
    </w:p>
    <w:p w14:paraId="55DFDF17" w14:textId="77777777" w:rsidR="00F15AD6" w:rsidRPr="00315C9A" w:rsidRDefault="00F15AD6" w:rsidP="00894B61">
      <w:pPr>
        <w:spacing w:before="120" w:after="120" w:line="240" w:lineRule="auto"/>
        <w:ind w:left="2268" w:right="1134" w:hanging="1134"/>
        <w:jc w:val="both"/>
      </w:pPr>
      <w:r w:rsidRPr="00315C9A">
        <w:t>9.2.4.6.2</w:t>
      </w:r>
      <w:r w:rsidRPr="00315C9A">
        <w:tab/>
        <w:t>The electric drive system shall be provided with a battery master switch for breaking the electrical circuits shall be placed as close to the battery as possible. A control device to facilitate the disconnecting and reconnecting functions of the switch shall be installed in the driver's cab. It shall be readily accessible to the driver and be distinctively marked. It shall be protected against inadvertent operation by either adding a protective cover, by using a dual movement control device or by other suitable means. Additional control devices may be installed provided they are distinctively marked and protected against inadvertent operation. If the control device(s) are electrically operated, the circuits of the control device(s) are subject to the requirements of 9.2.2.9.</w:t>
      </w:r>
    </w:p>
    <w:p w14:paraId="73462517" w14:textId="3ED80538" w:rsidR="00F15AD6" w:rsidRDefault="00F15AD6" w:rsidP="00894B61">
      <w:pPr>
        <w:spacing w:before="120" w:after="120" w:line="240" w:lineRule="auto"/>
        <w:ind w:left="2268" w:right="1134"/>
        <w:jc w:val="both"/>
      </w:pPr>
      <w:r w:rsidRPr="00315C9A">
        <w:t>Batteries positioned near the outer side contour of the vehicle shall be so placed in protective housings, constructed as to offer protection against mechanical impact. Measures shall be taken to protect the load in case of a battery fire. Batteries to provide energy for traction shall not be fitted to trailers.</w:t>
      </w:r>
      <w:r w:rsidR="00D27745">
        <w:t>”</w:t>
      </w:r>
    </w:p>
    <w:p w14:paraId="6F39CDD4" w14:textId="77777777" w:rsidR="00E35988" w:rsidRPr="00315C9A" w:rsidRDefault="00E35988" w:rsidP="00E35988">
      <w:pPr>
        <w:pStyle w:val="SingleTxtG"/>
        <w:spacing w:before="120"/>
        <w:rPr>
          <w:i/>
          <w:iCs/>
        </w:rPr>
      </w:pPr>
      <w:r w:rsidRPr="00315C9A">
        <w:tab/>
      </w:r>
      <w:r w:rsidRPr="00315C9A">
        <w:tab/>
        <w:t>Footnote 8 reads:</w:t>
      </w:r>
      <w:r w:rsidRPr="00315C9A">
        <w:rPr>
          <w:i/>
          <w:iCs/>
        </w:rPr>
        <w:t xml:space="preserve"> </w:t>
      </w:r>
    </w:p>
    <w:p w14:paraId="179A3C59" w14:textId="77777777" w:rsidR="00E35988" w:rsidRPr="00315C9A" w:rsidRDefault="00E35988" w:rsidP="00E35988">
      <w:pPr>
        <w:pStyle w:val="SingleTxtG"/>
        <w:spacing w:before="120"/>
        <w:ind w:left="2268" w:hanging="1134"/>
        <w:rPr>
          <w:i/>
          <w:iCs/>
        </w:rPr>
      </w:pPr>
      <w:r w:rsidRPr="00315C9A">
        <w:rPr>
          <w:i/>
          <w:iCs/>
        </w:rPr>
        <w:t>“</w:t>
      </w:r>
      <w:r w:rsidRPr="00315C9A">
        <w:rPr>
          <w:b/>
          <w:bCs/>
          <w:vertAlign w:val="superscript"/>
        </w:rPr>
        <w:t>8</w:t>
      </w:r>
      <w:r w:rsidRPr="00315C9A">
        <w:rPr>
          <w:i/>
          <w:iCs/>
        </w:rPr>
        <w:tab/>
        <w:t>UN Regulation No. 100 (Uniform provisions concerning the approval of vehicles with regard to specific requirements for the electric power train).”</w:t>
      </w:r>
    </w:p>
    <w:p w14:paraId="1309DF67" w14:textId="77777777" w:rsidR="00E35988" w:rsidRPr="00315C9A" w:rsidRDefault="00E35988" w:rsidP="00E35988">
      <w:pPr>
        <w:pStyle w:val="SingleTxtG"/>
        <w:spacing w:before="120"/>
      </w:pPr>
      <w:r w:rsidRPr="00315C9A">
        <w:tab/>
      </w:r>
      <w:r w:rsidRPr="00315C9A">
        <w:tab/>
        <w:t>In Chapter 9.2, renumber subsequent footnote</w:t>
      </w:r>
      <w:r>
        <w:t>s accordingly.</w:t>
      </w:r>
      <w:r w:rsidRPr="00315C9A">
        <w:t xml:space="preserve"> </w:t>
      </w:r>
    </w:p>
    <w:p w14:paraId="4349E64A" w14:textId="77777777" w:rsidR="00F15AD6" w:rsidRPr="00315C9A" w:rsidRDefault="00F15AD6" w:rsidP="00470BA8">
      <w:pPr>
        <w:pStyle w:val="SingleTxtG"/>
        <w:spacing w:before="120"/>
      </w:pPr>
      <w:r w:rsidRPr="00315C9A">
        <w:t>4.</w:t>
      </w:r>
      <w:r w:rsidRPr="00315C9A">
        <w:tab/>
        <w:t>Amend 9.2.4.8.3 (b) to read (new wording underlined):</w:t>
      </w:r>
    </w:p>
    <w:p w14:paraId="05147343" w14:textId="7127B757" w:rsidR="00F15AD6" w:rsidRPr="00A83D51" w:rsidRDefault="00A83D51" w:rsidP="00A83D51">
      <w:pPr>
        <w:pStyle w:val="SingleTxtG"/>
        <w:spacing w:before="120"/>
        <w:ind w:left="2268" w:hanging="567"/>
      </w:pPr>
      <w:r>
        <w:t>“</w:t>
      </w:r>
      <w:r w:rsidR="00F15AD6" w:rsidRPr="00A83D51">
        <w:t>(b)</w:t>
      </w:r>
      <w:r w:rsidR="00F15AD6" w:rsidRPr="00A83D51">
        <w:tab/>
        <w:t xml:space="preserve">Stopping of the vehicle engine </w:t>
      </w:r>
      <w:r w:rsidR="00F15AD6" w:rsidRPr="00A46DE8">
        <w:rPr>
          <w:u w:val="single"/>
        </w:rPr>
        <w:t>or active drive mode of electric vehicles</w:t>
      </w:r>
      <w:r w:rsidR="00F15AD6" w:rsidRPr="00A83D51">
        <w:t>; in this case the heating device may be restarted manually by the driver;</w:t>
      </w:r>
      <w:r>
        <w:t>”</w:t>
      </w:r>
    </w:p>
    <w:p w14:paraId="356C57DB" w14:textId="1C98F9A3" w:rsidR="00F15AD6" w:rsidRPr="00315C9A" w:rsidRDefault="002C7840" w:rsidP="002C7840">
      <w:pPr>
        <w:spacing w:before="240"/>
        <w:jc w:val="center"/>
        <w:rPr>
          <w:u w:val="single"/>
        </w:rPr>
      </w:pPr>
      <w:r w:rsidRPr="00315C9A">
        <w:rPr>
          <w:u w:val="single"/>
        </w:rPr>
        <w:tab/>
      </w:r>
      <w:r w:rsidRPr="00315C9A">
        <w:rPr>
          <w:u w:val="single"/>
        </w:rPr>
        <w:tab/>
      </w:r>
      <w:r w:rsidRPr="00315C9A">
        <w:rPr>
          <w:u w:val="single"/>
        </w:rPr>
        <w:tab/>
      </w:r>
    </w:p>
    <w:sectPr w:rsidR="00F15AD6" w:rsidRPr="00315C9A" w:rsidSect="006B7BD0">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7094" w14:textId="77777777" w:rsidR="009C48BA" w:rsidRDefault="009C48BA"/>
  </w:endnote>
  <w:endnote w:type="continuationSeparator" w:id="0">
    <w:p w14:paraId="49DDE232" w14:textId="77777777" w:rsidR="009C48BA" w:rsidRDefault="009C48BA"/>
  </w:endnote>
  <w:endnote w:type="continuationNotice" w:id="1">
    <w:p w14:paraId="63A58121" w14:textId="77777777" w:rsidR="009C48BA" w:rsidRDefault="009C4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8CF1" w14:textId="27943CEF" w:rsidR="006B7BD0" w:rsidRPr="006B7BD0" w:rsidRDefault="006B7BD0" w:rsidP="006B7BD0">
    <w:pPr>
      <w:pStyle w:val="Footer"/>
      <w:tabs>
        <w:tab w:val="right" w:pos="9638"/>
      </w:tabs>
      <w:rPr>
        <w:sz w:val="18"/>
      </w:rPr>
    </w:pPr>
    <w:r w:rsidRPr="006B7BD0">
      <w:rPr>
        <w:b/>
        <w:sz w:val="18"/>
      </w:rPr>
      <w:fldChar w:fldCharType="begin"/>
    </w:r>
    <w:r w:rsidRPr="006B7BD0">
      <w:rPr>
        <w:b/>
        <w:sz w:val="18"/>
      </w:rPr>
      <w:instrText xml:space="preserve"> PAGE  \* MERGEFORMAT </w:instrText>
    </w:r>
    <w:r w:rsidRPr="006B7BD0">
      <w:rPr>
        <w:b/>
        <w:sz w:val="18"/>
      </w:rPr>
      <w:fldChar w:fldCharType="separate"/>
    </w:r>
    <w:r w:rsidRPr="006B7BD0">
      <w:rPr>
        <w:b/>
        <w:noProof/>
        <w:sz w:val="18"/>
      </w:rPr>
      <w:t>2</w:t>
    </w:r>
    <w:r w:rsidRPr="006B7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E2EC" w14:textId="6EC12096" w:rsidR="006B7BD0" w:rsidRPr="006B7BD0" w:rsidRDefault="006B7BD0" w:rsidP="006B7BD0">
    <w:pPr>
      <w:pStyle w:val="Footer"/>
      <w:tabs>
        <w:tab w:val="right" w:pos="9638"/>
      </w:tabs>
      <w:rPr>
        <w:b/>
        <w:sz w:val="18"/>
      </w:rPr>
    </w:pPr>
    <w:r>
      <w:tab/>
    </w:r>
    <w:r w:rsidRPr="006B7BD0">
      <w:rPr>
        <w:b/>
        <w:sz w:val="18"/>
      </w:rPr>
      <w:fldChar w:fldCharType="begin"/>
    </w:r>
    <w:r w:rsidRPr="006B7BD0">
      <w:rPr>
        <w:b/>
        <w:sz w:val="18"/>
      </w:rPr>
      <w:instrText xml:space="preserve"> PAGE  \* MERGEFORMAT </w:instrText>
    </w:r>
    <w:r w:rsidRPr="006B7BD0">
      <w:rPr>
        <w:b/>
        <w:sz w:val="18"/>
      </w:rPr>
      <w:fldChar w:fldCharType="separate"/>
    </w:r>
    <w:r w:rsidRPr="006B7BD0">
      <w:rPr>
        <w:b/>
        <w:noProof/>
        <w:sz w:val="18"/>
      </w:rPr>
      <w:t>3</w:t>
    </w:r>
    <w:r w:rsidRPr="006B7BD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672D" w14:textId="77777777" w:rsidR="009C48BA" w:rsidRPr="000B175B" w:rsidRDefault="009C48BA" w:rsidP="000B175B">
      <w:pPr>
        <w:tabs>
          <w:tab w:val="right" w:pos="2155"/>
        </w:tabs>
        <w:spacing w:after="80"/>
        <w:ind w:left="680"/>
        <w:rPr>
          <w:u w:val="single"/>
        </w:rPr>
      </w:pPr>
      <w:r>
        <w:rPr>
          <w:u w:val="single"/>
        </w:rPr>
        <w:tab/>
      </w:r>
    </w:p>
  </w:footnote>
  <w:footnote w:type="continuationSeparator" w:id="0">
    <w:p w14:paraId="05E21D46" w14:textId="77777777" w:rsidR="009C48BA" w:rsidRPr="00FC68B7" w:rsidRDefault="009C48BA" w:rsidP="00FC68B7">
      <w:pPr>
        <w:tabs>
          <w:tab w:val="left" w:pos="2155"/>
        </w:tabs>
        <w:spacing w:after="80"/>
        <w:ind w:left="680"/>
        <w:rPr>
          <w:u w:val="single"/>
        </w:rPr>
      </w:pPr>
      <w:r>
        <w:rPr>
          <w:u w:val="single"/>
        </w:rPr>
        <w:tab/>
      </w:r>
    </w:p>
  </w:footnote>
  <w:footnote w:type="continuationNotice" w:id="1">
    <w:p w14:paraId="14DEA8C2" w14:textId="77777777" w:rsidR="009C48BA" w:rsidRDefault="009C48BA"/>
  </w:footnote>
  <w:footnote w:id="2">
    <w:p w14:paraId="542DE23B" w14:textId="77777777" w:rsidR="00DD3565" w:rsidRDefault="00DD3565" w:rsidP="00DD3565">
      <w:pPr>
        <w:pStyle w:val="FootnoteText"/>
        <w:tabs>
          <w:tab w:val="left" w:pos="720"/>
        </w:tabs>
        <w:ind w:left="1418" w:right="1260" w:hanging="284"/>
        <w:jc w:val="both"/>
      </w:pPr>
      <w:r>
        <w:rPr>
          <w:rStyle w:val="FootnoteReference"/>
          <w:sz w:val="20"/>
        </w:rPr>
        <w:sym w:font="Symbol" w:char="F02A"/>
      </w:r>
      <w:r>
        <w:tab/>
        <w:t>A/76/6 (Sect.20), para 20.76.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569E" w14:textId="281340C3" w:rsidR="006B7BD0" w:rsidRPr="006B7BD0" w:rsidRDefault="00A46DE8">
    <w:pPr>
      <w:pStyle w:val="Header"/>
    </w:pPr>
    <w:fldSimple w:instr=" TITLE  \* MERGEFORMAT ">
      <w:r w:rsidR="006B7BD0">
        <w:t>ECE/TRANS/WP.15/2022/5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5818" w14:textId="326117E2" w:rsidR="006B7BD0" w:rsidRPr="006B7BD0" w:rsidRDefault="00A46DE8" w:rsidP="006B7BD0">
    <w:pPr>
      <w:pStyle w:val="Header"/>
      <w:jc w:val="right"/>
    </w:pPr>
    <w:fldSimple w:instr=" TITLE  \* MERGEFORMAT ">
      <w:r w:rsidR="006B7BD0">
        <w:t>ECE/TRANS/WP.15/2022/5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415050"/>
    <w:multiLevelType w:val="hybridMultilevel"/>
    <w:tmpl w:val="A68E1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A21C5E"/>
    <w:multiLevelType w:val="hybridMultilevel"/>
    <w:tmpl w:val="A9A6C73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13503CD"/>
    <w:multiLevelType w:val="hybridMultilevel"/>
    <w:tmpl w:val="A0D6D9C6"/>
    <w:lvl w:ilvl="0" w:tplc="DFC04F0A">
      <w:start w:val="2"/>
      <w:numFmt w:val="bullet"/>
      <w:lvlText w:val=""/>
      <w:lvlJc w:val="left"/>
      <w:pPr>
        <w:ind w:left="1854" w:hanging="360"/>
      </w:pPr>
      <w:rPr>
        <w:rFonts w:ascii="Symbol" w:eastAsia="Times New Roman" w:hAnsi="Symbol" w:cs="Times New Roman"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C7EB7"/>
    <w:multiLevelType w:val="hybridMultilevel"/>
    <w:tmpl w:val="B53A2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10"/>
  </w:num>
  <w:num w:numId="14">
    <w:abstractNumId w:val="14"/>
  </w:num>
  <w:num w:numId="15">
    <w:abstractNumId w:val="18"/>
  </w:num>
  <w:num w:numId="16">
    <w:abstractNumId w:val="15"/>
  </w:num>
  <w:num w:numId="17">
    <w:abstractNumId w:val="20"/>
  </w:num>
  <w:num w:numId="18">
    <w:abstractNumId w:val="21"/>
  </w:num>
  <w:num w:numId="19">
    <w:abstractNumId w:val="12"/>
  </w:num>
  <w:num w:numId="20">
    <w:abstractNumId w:val="12"/>
  </w:num>
  <w:num w:numId="21">
    <w:abstractNumId w:val="11"/>
  </w:num>
  <w:num w:numId="22">
    <w:abstractNumId w:val="19"/>
  </w:num>
  <w:num w:numId="23">
    <w:abstractNumId w:val="22"/>
  </w:num>
  <w:num w:numId="24">
    <w:abstractNumId w:val="13"/>
  </w:num>
  <w:num w:numId="25">
    <w:abstractNumId w:val="20"/>
  </w:num>
  <w:num w:numId="26">
    <w:abstractNumId w:val="20"/>
  </w:num>
  <w:num w:numId="27">
    <w:abstractNumId w:val="20"/>
  </w:num>
  <w:num w:numId="28">
    <w:abstractNumId w:val="20"/>
  </w:num>
  <w:num w:numId="2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D0"/>
    <w:rsid w:val="00002A7D"/>
    <w:rsid w:val="000038A8"/>
    <w:rsid w:val="0000543D"/>
    <w:rsid w:val="00006790"/>
    <w:rsid w:val="00027624"/>
    <w:rsid w:val="000417FC"/>
    <w:rsid w:val="00050F6B"/>
    <w:rsid w:val="000678CD"/>
    <w:rsid w:val="00072C8C"/>
    <w:rsid w:val="00080705"/>
    <w:rsid w:val="00081711"/>
    <w:rsid w:val="00081CE0"/>
    <w:rsid w:val="000835C7"/>
    <w:rsid w:val="00084D30"/>
    <w:rsid w:val="00090320"/>
    <w:rsid w:val="000931C0"/>
    <w:rsid w:val="0009732C"/>
    <w:rsid w:val="000A01F9"/>
    <w:rsid w:val="000A2E09"/>
    <w:rsid w:val="000B175B"/>
    <w:rsid w:val="000B3A0F"/>
    <w:rsid w:val="000D77A1"/>
    <w:rsid w:val="000E0415"/>
    <w:rsid w:val="000E2F14"/>
    <w:rsid w:val="000F7715"/>
    <w:rsid w:val="001362C5"/>
    <w:rsid w:val="00154124"/>
    <w:rsid w:val="00156B99"/>
    <w:rsid w:val="00166124"/>
    <w:rsid w:val="00184DDA"/>
    <w:rsid w:val="001900CD"/>
    <w:rsid w:val="001A0452"/>
    <w:rsid w:val="001A04D1"/>
    <w:rsid w:val="001B10F3"/>
    <w:rsid w:val="001B4B04"/>
    <w:rsid w:val="001B5875"/>
    <w:rsid w:val="001C4B9C"/>
    <w:rsid w:val="001C6663"/>
    <w:rsid w:val="001C7895"/>
    <w:rsid w:val="001D26DF"/>
    <w:rsid w:val="001F1599"/>
    <w:rsid w:val="001F19C4"/>
    <w:rsid w:val="001F434A"/>
    <w:rsid w:val="002043F0"/>
    <w:rsid w:val="00211E0B"/>
    <w:rsid w:val="00232575"/>
    <w:rsid w:val="00247258"/>
    <w:rsid w:val="002509C1"/>
    <w:rsid w:val="00257CAC"/>
    <w:rsid w:val="00264441"/>
    <w:rsid w:val="00265DFA"/>
    <w:rsid w:val="00271F0F"/>
    <w:rsid w:val="0027237A"/>
    <w:rsid w:val="002974E9"/>
    <w:rsid w:val="002A7B34"/>
    <w:rsid w:val="002A7F94"/>
    <w:rsid w:val="002B109A"/>
    <w:rsid w:val="002C6D45"/>
    <w:rsid w:val="002C7840"/>
    <w:rsid w:val="002D6E53"/>
    <w:rsid w:val="002E0786"/>
    <w:rsid w:val="002F046D"/>
    <w:rsid w:val="002F3023"/>
    <w:rsid w:val="00301764"/>
    <w:rsid w:val="00315C9A"/>
    <w:rsid w:val="003229D8"/>
    <w:rsid w:val="00336C97"/>
    <w:rsid w:val="00337F88"/>
    <w:rsid w:val="00342432"/>
    <w:rsid w:val="0035223F"/>
    <w:rsid w:val="00352D4B"/>
    <w:rsid w:val="00354CF6"/>
    <w:rsid w:val="0035638C"/>
    <w:rsid w:val="00365E9F"/>
    <w:rsid w:val="003A46BB"/>
    <w:rsid w:val="003A4EC7"/>
    <w:rsid w:val="003A7295"/>
    <w:rsid w:val="003B1F60"/>
    <w:rsid w:val="003B263D"/>
    <w:rsid w:val="003C2CC4"/>
    <w:rsid w:val="003D4B23"/>
    <w:rsid w:val="003D7344"/>
    <w:rsid w:val="003E278A"/>
    <w:rsid w:val="00413520"/>
    <w:rsid w:val="004325CB"/>
    <w:rsid w:val="00440A07"/>
    <w:rsid w:val="00462880"/>
    <w:rsid w:val="00470BA8"/>
    <w:rsid w:val="00476F24"/>
    <w:rsid w:val="004C55B0"/>
    <w:rsid w:val="004D72D8"/>
    <w:rsid w:val="004F6BA0"/>
    <w:rsid w:val="00503BEA"/>
    <w:rsid w:val="005274DD"/>
    <w:rsid w:val="00533616"/>
    <w:rsid w:val="00535ABA"/>
    <w:rsid w:val="0053768B"/>
    <w:rsid w:val="005420F2"/>
    <w:rsid w:val="0054285C"/>
    <w:rsid w:val="00584173"/>
    <w:rsid w:val="00595520"/>
    <w:rsid w:val="005A44B9"/>
    <w:rsid w:val="005B1BA0"/>
    <w:rsid w:val="005B3DB3"/>
    <w:rsid w:val="005D1573"/>
    <w:rsid w:val="005D15CA"/>
    <w:rsid w:val="005D7969"/>
    <w:rsid w:val="005F08DF"/>
    <w:rsid w:val="005F3066"/>
    <w:rsid w:val="005F3E61"/>
    <w:rsid w:val="00604DDD"/>
    <w:rsid w:val="006115CC"/>
    <w:rsid w:val="00611FC4"/>
    <w:rsid w:val="00614790"/>
    <w:rsid w:val="006176FB"/>
    <w:rsid w:val="00630FCB"/>
    <w:rsid w:val="00635214"/>
    <w:rsid w:val="00640B26"/>
    <w:rsid w:val="0065766B"/>
    <w:rsid w:val="006770B2"/>
    <w:rsid w:val="00686A48"/>
    <w:rsid w:val="006940E1"/>
    <w:rsid w:val="006A3C72"/>
    <w:rsid w:val="006A7392"/>
    <w:rsid w:val="006B03A1"/>
    <w:rsid w:val="006B2CB6"/>
    <w:rsid w:val="006B67D9"/>
    <w:rsid w:val="006B7BD0"/>
    <w:rsid w:val="006C5535"/>
    <w:rsid w:val="006C6E2F"/>
    <w:rsid w:val="006D0589"/>
    <w:rsid w:val="006E564B"/>
    <w:rsid w:val="006E7154"/>
    <w:rsid w:val="0070001D"/>
    <w:rsid w:val="007003CD"/>
    <w:rsid w:val="0070701E"/>
    <w:rsid w:val="007137F4"/>
    <w:rsid w:val="0072632A"/>
    <w:rsid w:val="007358E8"/>
    <w:rsid w:val="00736ECE"/>
    <w:rsid w:val="0074533B"/>
    <w:rsid w:val="00751547"/>
    <w:rsid w:val="007643BC"/>
    <w:rsid w:val="00780C68"/>
    <w:rsid w:val="007959FE"/>
    <w:rsid w:val="007A0CF1"/>
    <w:rsid w:val="007A478E"/>
    <w:rsid w:val="007B6BA5"/>
    <w:rsid w:val="007C3390"/>
    <w:rsid w:val="007C42D8"/>
    <w:rsid w:val="007C4F4B"/>
    <w:rsid w:val="007D2830"/>
    <w:rsid w:val="007D7362"/>
    <w:rsid w:val="007F5CE2"/>
    <w:rsid w:val="007F6611"/>
    <w:rsid w:val="00800522"/>
    <w:rsid w:val="0080501E"/>
    <w:rsid w:val="008079F6"/>
    <w:rsid w:val="00810BAC"/>
    <w:rsid w:val="00811F4C"/>
    <w:rsid w:val="008175E9"/>
    <w:rsid w:val="008242D7"/>
    <w:rsid w:val="0082577B"/>
    <w:rsid w:val="008272DD"/>
    <w:rsid w:val="00835DB8"/>
    <w:rsid w:val="00865843"/>
    <w:rsid w:val="00866893"/>
    <w:rsid w:val="00866F02"/>
    <w:rsid w:val="00867D18"/>
    <w:rsid w:val="00871F9A"/>
    <w:rsid w:val="00871FD5"/>
    <w:rsid w:val="0088172E"/>
    <w:rsid w:val="00881EFA"/>
    <w:rsid w:val="008841F6"/>
    <w:rsid w:val="00886EEB"/>
    <w:rsid w:val="008879CB"/>
    <w:rsid w:val="00894B61"/>
    <w:rsid w:val="008979B1"/>
    <w:rsid w:val="008A6B25"/>
    <w:rsid w:val="008A6C4F"/>
    <w:rsid w:val="008A77AE"/>
    <w:rsid w:val="008B389E"/>
    <w:rsid w:val="008D045E"/>
    <w:rsid w:val="008D2B30"/>
    <w:rsid w:val="008D3F25"/>
    <w:rsid w:val="008D4D82"/>
    <w:rsid w:val="008E0E46"/>
    <w:rsid w:val="008E7116"/>
    <w:rsid w:val="008F143B"/>
    <w:rsid w:val="008F3882"/>
    <w:rsid w:val="008F4B7C"/>
    <w:rsid w:val="00926E47"/>
    <w:rsid w:val="00947162"/>
    <w:rsid w:val="009610D0"/>
    <w:rsid w:val="0096375C"/>
    <w:rsid w:val="00964729"/>
    <w:rsid w:val="009662E6"/>
    <w:rsid w:val="0097095E"/>
    <w:rsid w:val="0098592B"/>
    <w:rsid w:val="00985FC4"/>
    <w:rsid w:val="00990766"/>
    <w:rsid w:val="00991261"/>
    <w:rsid w:val="009964C4"/>
    <w:rsid w:val="009A7B81"/>
    <w:rsid w:val="009B06CF"/>
    <w:rsid w:val="009C48BA"/>
    <w:rsid w:val="009D01C0"/>
    <w:rsid w:val="009D6A08"/>
    <w:rsid w:val="009E0A16"/>
    <w:rsid w:val="009E6CB7"/>
    <w:rsid w:val="009E7970"/>
    <w:rsid w:val="009F2EAC"/>
    <w:rsid w:val="009F57E3"/>
    <w:rsid w:val="00A10F4F"/>
    <w:rsid w:val="00A11067"/>
    <w:rsid w:val="00A1704A"/>
    <w:rsid w:val="00A22E0B"/>
    <w:rsid w:val="00A425EB"/>
    <w:rsid w:val="00A46DE8"/>
    <w:rsid w:val="00A72F22"/>
    <w:rsid w:val="00A73157"/>
    <w:rsid w:val="00A733BC"/>
    <w:rsid w:val="00A748A6"/>
    <w:rsid w:val="00A76A69"/>
    <w:rsid w:val="00A83D51"/>
    <w:rsid w:val="00A879A4"/>
    <w:rsid w:val="00AA0FF8"/>
    <w:rsid w:val="00AB135E"/>
    <w:rsid w:val="00AC0F2C"/>
    <w:rsid w:val="00AC502A"/>
    <w:rsid w:val="00AF58C1"/>
    <w:rsid w:val="00B04A3F"/>
    <w:rsid w:val="00B06643"/>
    <w:rsid w:val="00B15055"/>
    <w:rsid w:val="00B20551"/>
    <w:rsid w:val="00B30179"/>
    <w:rsid w:val="00B33FC7"/>
    <w:rsid w:val="00B37B15"/>
    <w:rsid w:val="00B45C02"/>
    <w:rsid w:val="00B70B63"/>
    <w:rsid w:val="00B72A1E"/>
    <w:rsid w:val="00B7453D"/>
    <w:rsid w:val="00B81E12"/>
    <w:rsid w:val="00B821DF"/>
    <w:rsid w:val="00BA339B"/>
    <w:rsid w:val="00BB23CC"/>
    <w:rsid w:val="00BB7501"/>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14C01"/>
    <w:rsid w:val="00C15991"/>
    <w:rsid w:val="00C34B52"/>
    <w:rsid w:val="00C408B7"/>
    <w:rsid w:val="00C411EB"/>
    <w:rsid w:val="00C463DD"/>
    <w:rsid w:val="00C745C3"/>
    <w:rsid w:val="00C96819"/>
    <w:rsid w:val="00C978F5"/>
    <w:rsid w:val="00CA24A4"/>
    <w:rsid w:val="00CB348D"/>
    <w:rsid w:val="00CD46F5"/>
    <w:rsid w:val="00CE4A8F"/>
    <w:rsid w:val="00CE6312"/>
    <w:rsid w:val="00CE78F6"/>
    <w:rsid w:val="00CF071D"/>
    <w:rsid w:val="00D00CC5"/>
    <w:rsid w:val="00D0123D"/>
    <w:rsid w:val="00D13844"/>
    <w:rsid w:val="00D14F67"/>
    <w:rsid w:val="00D15B04"/>
    <w:rsid w:val="00D2031B"/>
    <w:rsid w:val="00D25FE2"/>
    <w:rsid w:val="00D26B21"/>
    <w:rsid w:val="00D27745"/>
    <w:rsid w:val="00D368BE"/>
    <w:rsid w:val="00D37DA9"/>
    <w:rsid w:val="00D406A7"/>
    <w:rsid w:val="00D40765"/>
    <w:rsid w:val="00D43252"/>
    <w:rsid w:val="00D44D86"/>
    <w:rsid w:val="00D50B7D"/>
    <w:rsid w:val="00D52012"/>
    <w:rsid w:val="00D704E5"/>
    <w:rsid w:val="00D72727"/>
    <w:rsid w:val="00D978C6"/>
    <w:rsid w:val="00DA0956"/>
    <w:rsid w:val="00DA357F"/>
    <w:rsid w:val="00DA3E12"/>
    <w:rsid w:val="00DC1647"/>
    <w:rsid w:val="00DC18AD"/>
    <w:rsid w:val="00DD3565"/>
    <w:rsid w:val="00DD43B5"/>
    <w:rsid w:val="00DD6E57"/>
    <w:rsid w:val="00DF7CAE"/>
    <w:rsid w:val="00E3270F"/>
    <w:rsid w:val="00E35988"/>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3343"/>
    <w:rsid w:val="00F04782"/>
    <w:rsid w:val="00F078E5"/>
    <w:rsid w:val="00F15AD6"/>
    <w:rsid w:val="00F21786"/>
    <w:rsid w:val="00F3742B"/>
    <w:rsid w:val="00F41FDB"/>
    <w:rsid w:val="00F50596"/>
    <w:rsid w:val="00F54B84"/>
    <w:rsid w:val="00F56D63"/>
    <w:rsid w:val="00F609A9"/>
    <w:rsid w:val="00F80C99"/>
    <w:rsid w:val="00F867EC"/>
    <w:rsid w:val="00F91B2B"/>
    <w:rsid w:val="00F970AF"/>
    <w:rsid w:val="00FC03CD"/>
    <w:rsid w:val="00FC0646"/>
    <w:rsid w:val="00FC685B"/>
    <w:rsid w:val="00FC68B7"/>
    <w:rsid w:val="00FE6985"/>
    <w:rsid w:val="00FE6E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F141"/>
  <w15:docId w15:val="{E3B0130E-C92F-49EF-9FD3-515C9C64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4_GR"/>
    <w:basedOn w:val="DefaultParagraphFont"/>
    <w:qFormat/>
    <w:rsid w:val="00E925AD"/>
    <w:rPr>
      <w:rFonts w:ascii="Times New Roman" w:hAnsi="Times New Roman"/>
      <w:sz w:val="18"/>
      <w:vertAlign w:val="superscript"/>
    </w:rPr>
  </w:style>
  <w:style w:type="paragraph" w:styleId="FootnoteText">
    <w:name w:val="footnote text"/>
    <w:aliases w:val="5_G,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H1GChar">
    <w:name w:val="_ H_1_G Char"/>
    <w:link w:val="H1G"/>
    <w:rsid w:val="00F15AD6"/>
    <w:rPr>
      <w:b/>
      <w:sz w:val="24"/>
      <w:lang w:val="en-GB"/>
    </w:rPr>
  </w:style>
  <w:style w:type="character" w:customStyle="1" w:styleId="HChGChar">
    <w:name w:val="_ H _Ch_G Char"/>
    <w:link w:val="HChG"/>
    <w:rsid w:val="00F15AD6"/>
    <w:rPr>
      <w:b/>
      <w:sz w:val="28"/>
      <w:lang w:val="en-GB"/>
    </w:rPr>
  </w:style>
  <w:style w:type="character" w:customStyle="1" w:styleId="FootnoteTextChar">
    <w:name w:val="Footnote Text Char"/>
    <w:aliases w:val="5_G Char,5_GR Char"/>
    <w:basedOn w:val="DefaultParagraphFont"/>
    <w:link w:val="FootnoteText"/>
    <w:rsid w:val="00F15AD6"/>
    <w:rPr>
      <w:sz w:val="18"/>
      <w:lang w:val="en-GB"/>
    </w:rPr>
  </w:style>
  <w:style w:type="paragraph" w:styleId="ListParagraph">
    <w:name w:val="List Paragraph"/>
    <w:basedOn w:val="Normal"/>
    <w:uiPriority w:val="34"/>
    <w:qFormat/>
    <w:rsid w:val="00F15AD6"/>
    <w:pPr>
      <w:suppressAutoHyphens w:val="0"/>
      <w:spacing w:line="240" w:lineRule="auto"/>
      <w:ind w:left="720"/>
    </w:pPr>
    <w:rPr>
      <w:rFonts w:ascii="Calibri" w:eastAsiaTheme="minorHAnsi" w:hAnsi="Calibri" w:cs="Calibri"/>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2744">
      <w:bodyDiv w:val="1"/>
      <w:marLeft w:val="0"/>
      <w:marRight w:val="0"/>
      <w:marTop w:val="0"/>
      <w:marBottom w:val="0"/>
      <w:divBdr>
        <w:top w:val="none" w:sz="0" w:space="0" w:color="auto"/>
        <w:left w:val="none" w:sz="0" w:space="0" w:color="auto"/>
        <w:bottom w:val="none" w:sz="0" w:space="0" w:color="auto"/>
        <w:right w:val="none" w:sz="0" w:space="0" w:color="auto"/>
      </w:divBdr>
    </w:div>
    <w:div w:id="1109079796">
      <w:bodyDiv w:val="1"/>
      <w:marLeft w:val="0"/>
      <w:marRight w:val="0"/>
      <w:marTop w:val="0"/>
      <w:marBottom w:val="0"/>
      <w:divBdr>
        <w:top w:val="none" w:sz="0" w:space="0" w:color="auto"/>
        <w:left w:val="none" w:sz="0" w:space="0" w:color="auto"/>
        <w:bottom w:val="none" w:sz="0" w:space="0" w:color="auto"/>
        <w:right w:val="none" w:sz="0" w:space="0" w:color="auto"/>
      </w:divBdr>
    </w:div>
    <w:div w:id="15903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D0A6-4C9C-4227-9910-0FFE4BD37E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08DF31-FA92-4AA9-99A9-7109DF5B2E48}">
  <ds:schemaRefs>
    <ds:schemaRef ds:uri="http://schemas.microsoft.com/sharepoint/v3/contenttype/forms"/>
  </ds:schemaRefs>
</ds:datastoreItem>
</file>

<file path=customXml/itemProps3.xml><?xml version="1.0" encoding="utf-8"?>
<ds:datastoreItem xmlns:ds="http://schemas.openxmlformats.org/officeDocument/2006/customXml" ds:itemID="{3F8B1584-E435-457E-99D4-739D0E500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TRANS_WP1_24_E.dotm</Template>
  <TotalTime>85</TotalTime>
  <Pages>6</Pages>
  <Words>1707</Words>
  <Characters>9733</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ECE/TRANS/WP.15/2022/5</dc:title>
  <dc:creator>Christine Barrio-Champeau</dc:creator>
  <cp:lastModifiedBy>Christine Barrio-Champeau</cp:lastModifiedBy>
  <cp:revision>76</cp:revision>
  <cp:lastPrinted>2009-02-18T09:36:00Z</cp:lastPrinted>
  <dcterms:created xsi:type="dcterms:W3CDTF">2022-02-16T10:53:00Z</dcterms:created>
  <dcterms:modified xsi:type="dcterms:W3CDTF">2022-02-21T12:15:00Z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