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1A7F6D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AA23616" w14:textId="77777777" w:rsidR="002D5AAC" w:rsidRDefault="002D5AAC" w:rsidP="00E473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C01F07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173C70C" w14:textId="1C663E16" w:rsidR="002D5AAC" w:rsidRDefault="00E4730D" w:rsidP="00E4730D">
            <w:pPr>
              <w:jc w:val="right"/>
            </w:pPr>
            <w:r w:rsidRPr="00E4730D">
              <w:rPr>
                <w:sz w:val="40"/>
              </w:rPr>
              <w:t>ECE</w:t>
            </w:r>
            <w:r>
              <w:t>/TRANS/WP.29/GRSG/2022/15</w:t>
            </w:r>
          </w:p>
        </w:tc>
      </w:tr>
      <w:tr w:rsidR="002D5AAC" w:rsidRPr="00FD301D" w14:paraId="457AD70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3B4997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ECA309B" wp14:editId="1DB770B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2719AB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525BC37" w14:textId="77777777" w:rsidR="002D5AAC" w:rsidRDefault="00E4730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AEFF4DB" w14:textId="77777777" w:rsidR="00E4730D" w:rsidRDefault="00E4730D" w:rsidP="00E4730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January 2022</w:t>
            </w:r>
          </w:p>
          <w:p w14:paraId="5E825BFF" w14:textId="77777777" w:rsidR="00E4730D" w:rsidRDefault="00E4730D" w:rsidP="00E4730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B4948CD" w14:textId="6C2C0818" w:rsidR="00E4730D" w:rsidRPr="008D53B6" w:rsidRDefault="00E4730D" w:rsidP="00E4730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4974F5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0F3A3E2" w14:textId="77777777" w:rsidR="00E4730D" w:rsidRPr="00E4730D" w:rsidRDefault="00E4730D" w:rsidP="00E4730D">
      <w:pPr>
        <w:spacing w:before="120"/>
        <w:rPr>
          <w:rFonts w:asciiTheme="majorBidi" w:hAnsiTheme="majorBidi" w:cstheme="majorBidi"/>
          <w:sz w:val="28"/>
          <w:szCs w:val="28"/>
        </w:rPr>
      </w:pPr>
      <w:r w:rsidRPr="00E4730D">
        <w:rPr>
          <w:sz w:val="28"/>
          <w:szCs w:val="28"/>
        </w:rPr>
        <w:t>Комитет по внутреннему транспорту</w:t>
      </w:r>
    </w:p>
    <w:p w14:paraId="6DE2CE32" w14:textId="50903461" w:rsidR="00E4730D" w:rsidRPr="00E4730D" w:rsidRDefault="00E4730D" w:rsidP="00E4730D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E4730D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E4730D">
        <w:rPr>
          <w:b/>
          <w:bCs/>
          <w:sz w:val="24"/>
          <w:szCs w:val="24"/>
        </w:rPr>
        <w:t>в области транспортных средств</w:t>
      </w:r>
    </w:p>
    <w:p w14:paraId="310D3DBD" w14:textId="4736480D" w:rsidR="00E4730D" w:rsidRPr="00FC6A9F" w:rsidRDefault="00E4730D" w:rsidP="00E4730D">
      <w:pPr>
        <w:spacing w:before="120"/>
        <w:rPr>
          <w:rFonts w:asciiTheme="majorBidi" w:hAnsiTheme="majorBidi" w:cstheme="majorBidi"/>
          <w:b/>
        </w:rPr>
      </w:pPr>
      <w:r>
        <w:rPr>
          <w:b/>
          <w:bCs/>
        </w:rPr>
        <w:t xml:space="preserve">Рабочая группа по общим предписаниям, касающимся </w:t>
      </w:r>
      <w:r>
        <w:rPr>
          <w:b/>
          <w:bCs/>
        </w:rPr>
        <w:br/>
        <w:t>безопасности</w:t>
      </w:r>
    </w:p>
    <w:p w14:paraId="640652F3" w14:textId="77777777" w:rsidR="00E4730D" w:rsidRPr="00FC6A9F" w:rsidRDefault="00E4730D" w:rsidP="00E4730D">
      <w:pPr>
        <w:spacing w:before="120"/>
        <w:rPr>
          <w:rFonts w:asciiTheme="majorBidi" w:hAnsiTheme="majorBidi" w:cstheme="majorBidi"/>
          <w:b/>
        </w:rPr>
      </w:pPr>
      <w:r>
        <w:rPr>
          <w:b/>
          <w:bCs/>
        </w:rPr>
        <w:t>Сто двадцать третья сессия</w:t>
      </w:r>
    </w:p>
    <w:p w14:paraId="61A92591" w14:textId="576B8028" w:rsidR="00E4730D" w:rsidRPr="00FC6A9F" w:rsidRDefault="00E4730D" w:rsidP="00E4730D">
      <w:pPr>
        <w:rPr>
          <w:rFonts w:asciiTheme="majorBidi" w:hAnsiTheme="majorBidi" w:cstheme="majorBidi"/>
        </w:rPr>
      </w:pPr>
      <w:r>
        <w:t xml:space="preserve">Женева, 28 марта </w:t>
      </w:r>
      <w:r w:rsidRPr="00F06E27">
        <w:t>—</w:t>
      </w:r>
      <w:r>
        <w:t xml:space="preserve"> 1 апреля 2022 года</w:t>
      </w:r>
    </w:p>
    <w:p w14:paraId="31131E18" w14:textId="77777777" w:rsidR="00E4730D" w:rsidRPr="00FC6A9F" w:rsidRDefault="00E4730D" w:rsidP="00E4730D">
      <w:pPr>
        <w:rPr>
          <w:rFonts w:asciiTheme="majorBidi" w:hAnsiTheme="majorBidi" w:cstheme="majorBidi"/>
        </w:rPr>
      </w:pPr>
      <w:r>
        <w:t>Пункт 9 с) предварительной повестки дня</w:t>
      </w:r>
    </w:p>
    <w:p w14:paraId="45764035" w14:textId="1B710047" w:rsidR="00E4730D" w:rsidRPr="00FC6A9F" w:rsidRDefault="00E4730D" w:rsidP="00E4730D">
      <w:pPr>
        <w:rPr>
          <w:b/>
        </w:rPr>
      </w:pPr>
      <w:r>
        <w:rPr>
          <w:b/>
          <w:bCs/>
        </w:rPr>
        <w:t xml:space="preserve">Поправки к правилам, касающимся устройств </w:t>
      </w:r>
      <w:r>
        <w:rPr>
          <w:b/>
          <w:bCs/>
        </w:rPr>
        <w:br/>
        <w:t>для предотвращения несанкционированного</w:t>
      </w:r>
      <w:r>
        <w:rPr>
          <w:b/>
          <w:bCs/>
        </w:rPr>
        <w:br/>
        <w:t xml:space="preserve">использования, </w:t>
      </w:r>
      <w:proofErr w:type="spellStart"/>
      <w:r>
        <w:rPr>
          <w:b/>
          <w:bCs/>
        </w:rPr>
        <w:t>иммобилизаторов</w:t>
      </w:r>
      <w:proofErr w:type="spellEnd"/>
      <w:r>
        <w:rPr>
          <w:b/>
          <w:bCs/>
        </w:rPr>
        <w:t xml:space="preserve"> и систем </w:t>
      </w:r>
      <w:r>
        <w:rPr>
          <w:b/>
          <w:bCs/>
        </w:rPr>
        <w:br/>
        <w:t>охранной сигнализации транспортных средств:</w:t>
      </w:r>
    </w:p>
    <w:p w14:paraId="648A01A6" w14:textId="77777777" w:rsidR="00E4730D" w:rsidRPr="00FC6A9F" w:rsidRDefault="00E4730D" w:rsidP="00E4730D">
      <w:r>
        <w:rPr>
          <w:b/>
          <w:bCs/>
        </w:rPr>
        <w:t>Правила № 162 ООН (</w:t>
      </w:r>
      <w:proofErr w:type="spellStart"/>
      <w:r>
        <w:rPr>
          <w:b/>
          <w:bCs/>
        </w:rPr>
        <w:t>иммобилизаторы</w:t>
      </w:r>
      <w:proofErr w:type="spellEnd"/>
      <w:r>
        <w:rPr>
          <w:b/>
          <w:bCs/>
        </w:rPr>
        <w:t>)</w:t>
      </w:r>
    </w:p>
    <w:p w14:paraId="1D6E39B0" w14:textId="77777777" w:rsidR="00E4730D" w:rsidRPr="00E112E5" w:rsidRDefault="00E4730D" w:rsidP="00E4730D">
      <w:pPr>
        <w:pStyle w:val="HChG"/>
      </w:pPr>
      <w:r>
        <w:tab/>
      </w:r>
      <w:r>
        <w:tab/>
      </w:r>
      <w:r>
        <w:tab/>
      </w:r>
      <w:r>
        <w:rPr>
          <w:bCs/>
        </w:rPr>
        <w:t>Предложение по дополнению 3 к первоначальному варианту Правил № 162 ООН (</w:t>
      </w:r>
      <w:proofErr w:type="spellStart"/>
      <w:r>
        <w:rPr>
          <w:bCs/>
        </w:rPr>
        <w:t>иммобилизаторы</w:t>
      </w:r>
      <w:proofErr w:type="spellEnd"/>
      <w:r>
        <w:rPr>
          <w:bCs/>
        </w:rPr>
        <w:t>)</w:t>
      </w:r>
    </w:p>
    <w:p w14:paraId="28A7DC7F" w14:textId="77777777" w:rsidR="00E4730D" w:rsidRPr="00FC6A9F" w:rsidRDefault="00E4730D" w:rsidP="00E4730D">
      <w:pPr>
        <w:pStyle w:val="H1G"/>
      </w:pPr>
      <w:r>
        <w:tab/>
      </w:r>
      <w:r>
        <w:tab/>
      </w:r>
      <w:r>
        <w:rPr>
          <w:bCs/>
        </w:rPr>
        <w:t>Представлено экспертом от Международной организации предприятий автомобильной промышленности</w:t>
      </w:r>
      <w:r w:rsidRPr="00E4730D">
        <w:rPr>
          <w:b w:val="0"/>
          <w:sz w:val="20"/>
        </w:rPr>
        <w:footnoteReference w:customMarkFollows="1" w:id="1"/>
        <w:t xml:space="preserve">* </w:t>
      </w:r>
    </w:p>
    <w:p w14:paraId="4AC2B985" w14:textId="77777777" w:rsidR="00E4730D" w:rsidRPr="00FC6A9F" w:rsidRDefault="00E4730D" w:rsidP="00E4730D">
      <w:pPr>
        <w:pStyle w:val="SingleTxtG"/>
        <w:ind w:firstLine="425"/>
        <w:rPr>
          <w:rFonts w:asciiTheme="majorBidi" w:hAnsiTheme="majorBidi" w:cstheme="majorBidi"/>
        </w:rPr>
      </w:pPr>
      <w:r>
        <w:t>Воспроизведенный ниже текст был подготовлен экспертом Международной организации предприятий автомобильной промышленности (МОПАП) для внесения поправок в Правила № 162 ООН в целях уточнения области применения Правил ООН и дополнения текста Правил ООН отсутствующим дополнением 7 к первоначальному варианту Правил № 116 ООН. В его основу положен неофициальный документ</w:t>
      </w:r>
      <w:r>
        <w:br/>
        <w:t xml:space="preserve">GRSG-122-12, распространенный в ходе сто двадцать второй сессии Рабочей группы по общим предписаниям, касающимся безопасности (GRSG). Изменения к нынешнему тексту Правил ООН выделены жирным шрифтом в случае новых элементов или зачеркиванием в случае исключенных элементов. </w:t>
      </w:r>
    </w:p>
    <w:p w14:paraId="2B5404CD" w14:textId="77777777" w:rsidR="00E4730D" w:rsidRPr="00FC6A9F" w:rsidRDefault="00E4730D" w:rsidP="00E4730D">
      <w:pPr>
        <w:pStyle w:val="HChG"/>
        <w:pageBreakBefore/>
        <w:rPr>
          <w:rFonts w:asciiTheme="majorBidi" w:hAnsiTheme="majorBidi" w:cstheme="majorBidi"/>
          <w:b w:val="0"/>
          <w:szCs w:val="28"/>
        </w:rPr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5148EC03" w14:textId="77777777" w:rsidR="00E4730D" w:rsidRPr="00FC6A9F" w:rsidRDefault="00E4730D" w:rsidP="00E4730D">
      <w:pPr>
        <w:pStyle w:val="SingleTxtG"/>
        <w:rPr>
          <w:rFonts w:eastAsia="DengXian"/>
          <w:iCs/>
        </w:rPr>
      </w:pPr>
      <w:r>
        <w:rPr>
          <w:i/>
          <w:iCs/>
        </w:rPr>
        <w:t>Пункт 1</w:t>
      </w:r>
      <w:r>
        <w:t xml:space="preserve"> изменить следующим образом (сноски остаются без изменений):</w:t>
      </w:r>
    </w:p>
    <w:p w14:paraId="75930A20" w14:textId="638C6B2D" w:rsidR="00E4730D" w:rsidRPr="00FC6A9F" w:rsidRDefault="00E4730D" w:rsidP="00E4730D">
      <w:pPr>
        <w:pStyle w:val="HChG"/>
        <w:ind w:left="2268"/>
      </w:pPr>
      <w:r w:rsidRPr="00FD301D">
        <w:rPr>
          <w:b w:val="0"/>
          <w:sz w:val="20"/>
        </w:rPr>
        <w:t>«</w:t>
      </w:r>
      <w:r>
        <w:rPr>
          <w:bCs/>
        </w:rPr>
        <w:t>1.</w:t>
      </w:r>
      <w:r>
        <w:tab/>
      </w:r>
      <w:r>
        <w:rPr>
          <w:bCs/>
        </w:rPr>
        <w:t>Область применения</w:t>
      </w:r>
    </w:p>
    <w:p w14:paraId="24F86211" w14:textId="63023C81" w:rsidR="00E4730D" w:rsidRPr="00FC6A9F" w:rsidRDefault="00E4730D" w:rsidP="00E4730D">
      <w:pPr>
        <w:pStyle w:val="SingleTxtG"/>
        <w:ind w:left="2268"/>
      </w:pPr>
      <w:r>
        <w:t>Настоящие Правила ООН применяются:</w:t>
      </w:r>
    </w:p>
    <w:p w14:paraId="67D6E424" w14:textId="693FDD6F" w:rsidR="00E4730D" w:rsidRPr="00E112E5" w:rsidRDefault="00E4730D" w:rsidP="00E4730D">
      <w:pPr>
        <w:tabs>
          <w:tab w:val="left" w:pos="851"/>
        </w:tabs>
        <w:spacing w:after="240"/>
        <w:ind w:left="2268" w:right="1133" w:hanging="1134"/>
        <w:jc w:val="both"/>
      </w:pPr>
      <w:r>
        <w:t>1.1</w:t>
      </w:r>
      <w:r>
        <w:tab/>
      </w:r>
      <w:r>
        <w:tab/>
        <w:t xml:space="preserve">к официальному утверждению </w:t>
      </w:r>
      <w:proofErr w:type="spellStart"/>
      <w:r>
        <w:rPr>
          <w:b/>
          <w:bCs/>
        </w:rPr>
        <w:t>иммобилизаторов</w:t>
      </w:r>
      <w:proofErr w:type="spellEnd"/>
      <w:r>
        <w:rPr>
          <w:b/>
          <w:bCs/>
        </w:rPr>
        <w:t>, предназначенных для стационарной установки на транспортных средствах</w:t>
      </w:r>
      <w:r>
        <w:t xml:space="preserve"> </w:t>
      </w:r>
      <w:r>
        <w:rPr>
          <w:b/>
          <w:bCs/>
        </w:rPr>
        <w:t>любой категории</w:t>
      </w:r>
      <w:r>
        <w:rPr>
          <w:b/>
          <w:bCs/>
          <w:vertAlign w:val="superscript"/>
        </w:rPr>
        <w:t>1,</w:t>
      </w:r>
      <w:r w:rsidRPr="00E112E5">
        <w:rPr>
          <w:b/>
          <w:bCs/>
          <w:vertAlign w:val="superscript"/>
        </w:rPr>
        <w:t xml:space="preserve"> </w:t>
      </w:r>
      <w:r>
        <w:rPr>
          <w:b/>
          <w:bCs/>
          <w:vertAlign w:val="superscript"/>
        </w:rPr>
        <w:t>2</w:t>
      </w:r>
      <w:r w:rsidRPr="00E112E5">
        <w:rPr>
          <w:b/>
          <w:bCs/>
        </w:rPr>
        <w:t>.</w:t>
      </w:r>
    </w:p>
    <w:p w14:paraId="39FB1B3C" w14:textId="4042CFD5" w:rsidR="00E4730D" w:rsidRPr="00FC6A9F" w:rsidRDefault="00E4730D" w:rsidP="00E4730D">
      <w:pPr>
        <w:pStyle w:val="SingleTxtG"/>
        <w:ind w:left="2835" w:hanging="567"/>
        <w:rPr>
          <w:strike/>
        </w:rPr>
      </w:pPr>
      <w:r>
        <w:rPr>
          <w:strike/>
        </w:rPr>
        <w:t>a)</w:t>
      </w:r>
      <w:r w:rsidRPr="00E112E5">
        <w:rPr>
          <w:strike/>
        </w:rPr>
        <w:tab/>
      </w:r>
      <w:r w:rsidRPr="00E4730D">
        <w:rPr>
          <w:strike/>
        </w:rPr>
        <w:t>“</w:t>
      </w:r>
      <w:r>
        <w:rPr>
          <w:strike/>
        </w:rPr>
        <w:t>установленных (если они установлены)</w:t>
      </w:r>
      <w:r w:rsidRPr="00E4730D">
        <w:rPr>
          <w:strike/>
        </w:rPr>
        <w:t>”</w:t>
      </w:r>
      <w:r>
        <w:rPr>
          <w:strike/>
        </w:rPr>
        <w:t xml:space="preserve"> </w:t>
      </w:r>
      <w:proofErr w:type="spellStart"/>
      <w:r>
        <w:rPr>
          <w:strike/>
        </w:rPr>
        <w:t>иммобилизаторов</w:t>
      </w:r>
      <w:proofErr w:type="spellEnd"/>
      <w:r>
        <w:rPr>
          <w:strike/>
        </w:rPr>
        <w:t>, предназначенных в первую очередь для транспортных средств категорий M</w:t>
      </w:r>
      <w:r>
        <w:rPr>
          <w:strike/>
          <w:vertAlign w:val="subscript"/>
        </w:rPr>
        <w:t>1</w:t>
      </w:r>
      <w:r>
        <w:rPr>
          <w:strike/>
        </w:rPr>
        <w:t xml:space="preserve"> и N</w:t>
      </w:r>
      <w:r>
        <w:rPr>
          <w:strike/>
          <w:vertAlign w:val="subscript"/>
        </w:rPr>
        <w:t>1</w:t>
      </w:r>
      <w:r>
        <w:rPr>
          <w:strike/>
        </w:rPr>
        <w:t xml:space="preserve"> максимальной массой не более 2 т</w:t>
      </w:r>
      <w:r w:rsidRPr="00E112E5">
        <w:rPr>
          <w:strike/>
        </w:rPr>
        <w:t xml:space="preserve">; </w:t>
      </w:r>
      <w:r>
        <w:rPr>
          <w:strike/>
        </w:rPr>
        <w:t>и</w:t>
      </w:r>
      <w:r>
        <w:t xml:space="preserve"> </w:t>
      </w:r>
    </w:p>
    <w:p w14:paraId="7150A4AF" w14:textId="5433061D" w:rsidR="00E4730D" w:rsidRPr="00FC6A9F" w:rsidRDefault="00E4730D" w:rsidP="00E4730D">
      <w:pPr>
        <w:pStyle w:val="SingleTxtG"/>
        <w:ind w:left="2835" w:hanging="567"/>
        <w:rPr>
          <w:strike/>
        </w:rPr>
      </w:pPr>
      <w:r>
        <w:rPr>
          <w:strike/>
        </w:rPr>
        <w:t>b)</w:t>
      </w:r>
      <w:r w:rsidRPr="00E112E5">
        <w:rPr>
          <w:strike/>
        </w:rPr>
        <w:tab/>
      </w:r>
      <w:r>
        <w:rPr>
          <w:strike/>
        </w:rPr>
        <w:t>транспортных средств категории M</w:t>
      </w:r>
      <w:r>
        <w:rPr>
          <w:strike/>
          <w:vertAlign w:val="subscript"/>
        </w:rPr>
        <w:t>1</w:t>
      </w:r>
      <w:r>
        <w:rPr>
          <w:strike/>
        </w:rPr>
        <w:t xml:space="preserve"> и транспортных средств категории N</w:t>
      </w:r>
      <w:r>
        <w:rPr>
          <w:strike/>
          <w:vertAlign w:val="subscript"/>
        </w:rPr>
        <w:t>1</w:t>
      </w:r>
      <w:r>
        <w:rPr>
          <w:strike/>
        </w:rPr>
        <w:t xml:space="preserve"> максимальной массой не более 2 т в отношении установленных иммобилизаторов</w:t>
      </w:r>
      <w:r>
        <w:rPr>
          <w:strike/>
          <w:vertAlign w:val="superscript"/>
        </w:rPr>
        <w:t>1/</w:t>
      </w:r>
      <w:r w:rsidRPr="00E4730D">
        <w:rPr>
          <w:strike/>
          <w:vertAlign w:val="superscript"/>
        </w:rPr>
        <w:t>,</w:t>
      </w:r>
      <w:r>
        <w:rPr>
          <w:strike/>
          <w:vertAlign w:val="superscript"/>
        </w:rPr>
        <w:t xml:space="preserve"> 2/</w:t>
      </w:r>
      <w:r>
        <w:rPr>
          <w:strike/>
        </w:rPr>
        <w:t>.</w:t>
      </w:r>
    </w:p>
    <w:p w14:paraId="3DCAD040" w14:textId="4B8B1DB3" w:rsidR="00E4730D" w:rsidRPr="00E112E5" w:rsidRDefault="00E4730D" w:rsidP="00E4730D">
      <w:pPr>
        <w:pStyle w:val="SingleTxtG"/>
        <w:ind w:left="2268" w:hanging="1134"/>
        <w:rPr>
          <w:b/>
          <w:bCs/>
        </w:rPr>
      </w:pPr>
      <w:r>
        <w:t>1.2</w:t>
      </w:r>
      <w:r>
        <w:tab/>
      </w:r>
      <w:r>
        <w:tab/>
      </w:r>
      <w:r>
        <w:rPr>
          <w:b/>
          <w:bCs/>
        </w:rPr>
        <w:t>Официальное утверждение транспортных средств категории M</w:t>
      </w:r>
      <w:r>
        <w:rPr>
          <w:b/>
          <w:bCs/>
          <w:vertAlign w:val="subscript"/>
        </w:rPr>
        <w:t>1</w:t>
      </w:r>
      <w:r>
        <w:rPr>
          <w:b/>
          <w:bCs/>
        </w:rPr>
        <w:t xml:space="preserve"> и транспортных средств категории N</w:t>
      </w:r>
      <w:r>
        <w:rPr>
          <w:b/>
          <w:bCs/>
          <w:vertAlign w:val="subscript"/>
        </w:rPr>
        <w:t>1</w:t>
      </w:r>
      <w:r>
        <w:rPr>
          <w:b/>
          <w:bCs/>
        </w:rPr>
        <w:t xml:space="preserve"> максимальной массой не </w:t>
      </w:r>
      <w:r>
        <w:rPr>
          <w:b/>
          <w:bCs/>
        </w:rPr>
        <w:br/>
        <w:t xml:space="preserve">более </w:t>
      </w:r>
      <w:r w:rsidRPr="00E4730D">
        <w:rPr>
          <w:b/>
          <w:bCs/>
        </w:rPr>
        <w:t>2</w:t>
      </w:r>
      <w:r>
        <w:rPr>
          <w:b/>
          <w:bCs/>
          <w:lang w:val="en-US"/>
        </w:rPr>
        <w:t> </w:t>
      </w:r>
      <w:r>
        <w:rPr>
          <w:b/>
          <w:bCs/>
        </w:rPr>
        <w:t xml:space="preserve">т в отношении их </w:t>
      </w:r>
      <w:proofErr w:type="spellStart"/>
      <w:r>
        <w:rPr>
          <w:b/>
          <w:bCs/>
        </w:rPr>
        <w:t>иммобилизатора</w:t>
      </w:r>
      <w:proofErr w:type="spellEnd"/>
      <w:r>
        <w:rPr>
          <w:b/>
          <w:bCs/>
        </w:rPr>
        <w:t>(</w:t>
      </w:r>
      <w:proofErr w:type="spellStart"/>
      <w:r>
        <w:rPr>
          <w:b/>
          <w:bCs/>
        </w:rPr>
        <w:t>ов</w:t>
      </w:r>
      <w:proofErr w:type="spellEnd"/>
      <w:r>
        <w:rPr>
          <w:b/>
          <w:bCs/>
        </w:rPr>
        <w:t>)</w:t>
      </w:r>
      <w:r>
        <w:rPr>
          <w:b/>
          <w:bCs/>
          <w:vertAlign w:val="superscript"/>
        </w:rPr>
        <w:t>2</w:t>
      </w:r>
      <w:r w:rsidRPr="00E112E5">
        <w:rPr>
          <w:b/>
          <w:bCs/>
        </w:rPr>
        <w:t>.</w:t>
      </w:r>
    </w:p>
    <w:p w14:paraId="28A3F8B3" w14:textId="32FF3531" w:rsidR="00E4730D" w:rsidRPr="00FC6A9F" w:rsidRDefault="00E4730D" w:rsidP="00E4730D">
      <w:pPr>
        <w:pStyle w:val="SingleTxtG"/>
        <w:ind w:left="2268" w:hanging="1134"/>
      </w:pPr>
      <w:r>
        <w:rPr>
          <w:strike/>
        </w:rPr>
        <w:t>1.2</w:t>
      </w:r>
      <w:r>
        <w:t xml:space="preserve"> 1.3</w:t>
      </w:r>
      <w:r>
        <w:tab/>
      </w:r>
      <w:r>
        <w:tab/>
        <w:t xml:space="preserve">По просьбе изготовителя Договаривающиеся стороны могут предоставлять официальные утверждения в отношении </w:t>
      </w:r>
      <w:proofErr w:type="spellStart"/>
      <w:r>
        <w:rPr>
          <w:b/>
          <w:bCs/>
        </w:rPr>
        <w:t>иммобилизаторов</w:t>
      </w:r>
      <w:proofErr w:type="spellEnd"/>
      <w:r>
        <w:rPr>
          <w:b/>
          <w:bCs/>
        </w:rPr>
        <w:t xml:space="preserve"> </w:t>
      </w:r>
      <w:r>
        <w:t xml:space="preserve">транспортных средств других категорий </w:t>
      </w:r>
      <w:r>
        <w:rPr>
          <w:strike/>
        </w:rPr>
        <w:t xml:space="preserve">и </w:t>
      </w:r>
      <w:proofErr w:type="spellStart"/>
      <w:r>
        <w:rPr>
          <w:strike/>
        </w:rPr>
        <w:t>иммобилизаторов</w:t>
      </w:r>
      <w:proofErr w:type="spellEnd"/>
      <w:r>
        <w:rPr>
          <w:strike/>
        </w:rPr>
        <w:t>, предназначенных для установки на таких транспортных средствах</w:t>
      </w:r>
      <w:r>
        <w:t>.</w:t>
      </w:r>
    </w:p>
    <w:p w14:paraId="3588AF83" w14:textId="2ED81CAC" w:rsidR="00E4730D" w:rsidRPr="00FC6A9F" w:rsidRDefault="00E4730D" w:rsidP="00E4730D">
      <w:pPr>
        <w:tabs>
          <w:tab w:val="left" w:pos="567"/>
          <w:tab w:val="left" w:pos="1701"/>
        </w:tabs>
        <w:spacing w:after="240"/>
        <w:ind w:left="2268" w:right="1134" w:hanging="1134"/>
        <w:jc w:val="both"/>
      </w:pPr>
      <w:r w:rsidRPr="00E112E5">
        <w:rPr>
          <w:strike/>
        </w:rPr>
        <w:t>1.3</w:t>
      </w:r>
      <w:r>
        <w:t xml:space="preserve"> </w:t>
      </w:r>
      <w:r>
        <w:rPr>
          <w:b/>
          <w:bCs/>
        </w:rPr>
        <w:t>1.4</w:t>
      </w:r>
      <w:r>
        <w:tab/>
      </w:r>
      <w:r>
        <w:tab/>
        <w:t>Настоящие Правила не применяются к частотам передачи радиосигналов независимо от того, связаны они с защитой транспортных средств от несанкционированного использования или нет</w:t>
      </w:r>
      <w:r w:rsidR="00C12CAE">
        <w:t>»</w:t>
      </w:r>
      <w:r>
        <w:t xml:space="preserve">. </w:t>
      </w:r>
    </w:p>
    <w:p w14:paraId="57C20F2D" w14:textId="77777777" w:rsidR="00E4730D" w:rsidRPr="00FC6A9F" w:rsidRDefault="00E4730D" w:rsidP="00E4730D">
      <w:pPr>
        <w:spacing w:after="120"/>
        <w:ind w:left="1166"/>
        <w:rPr>
          <w:i/>
        </w:rPr>
      </w:pPr>
      <w:r>
        <w:rPr>
          <w:i/>
          <w:iCs/>
        </w:rPr>
        <w:t>Приложение 6, пункт 1</w:t>
      </w:r>
      <w:r>
        <w:t xml:space="preserve"> изменить следующим образом:</w:t>
      </w:r>
    </w:p>
    <w:p w14:paraId="4ACD2257" w14:textId="7CE7656C" w:rsidR="00E4730D" w:rsidRPr="00FC6A9F" w:rsidRDefault="00C12CAE" w:rsidP="00E4730D">
      <w:pPr>
        <w:spacing w:after="120"/>
        <w:ind w:left="2268" w:right="1133" w:hanging="1133"/>
        <w:jc w:val="both"/>
        <w:rPr>
          <w:bCs/>
        </w:rPr>
      </w:pPr>
      <w:r>
        <w:t>«</w:t>
      </w:r>
      <w:r w:rsidR="00E4730D" w:rsidRPr="00E112E5">
        <w:t>1.</w:t>
      </w:r>
      <w:r w:rsidR="00E4730D">
        <w:tab/>
        <w:t>Эксплуатационные параметры</w:t>
      </w:r>
    </w:p>
    <w:p w14:paraId="3AAB3A26" w14:textId="77777777" w:rsidR="00E4730D" w:rsidRPr="00FC6A9F" w:rsidRDefault="00E4730D" w:rsidP="00E4730D">
      <w:pPr>
        <w:spacing w:after="120"/>
        <w:ind w:left="2268" w:right="1133"/>
        <w:jc w:val="both"/>
        <w:rPr>
          <w:bCs/>
        </w:rPr>
      </w:pPr>
      <w:r>
        <w:t>Приведенные ниже требования не применяются:</w:t>
      </w:r>
    </w:p>
    <w:p w14:paraId="55E295C6" w14:textId="77777777" w:rsidR="00E4730D" w:rsidRPr="00FC6A9F" w:rsidRDefault="00E4730D" w:rsidP="00E4730D">
      <w:pPr>
        <w:spacing w:after="120"/>
        <w:ind w:left="2835" w:right="1133" w:hanging="566"/>
        <w:jc w:val="both"/>
        <w:rPr>
          <w:bCs/>
        </w:rPr>
      </w:pPr>
      <w:r>
        <w:t>a)</w:t>
      </w:r>
      <w:r>
        <w:tab/>
        <w:t xml:space="preserve">к тем компонентам, которые устанавливаются и испытываются в качестве части транспортного средства, независимо от того, установлена блокирующая система или нет (например, огни, система охранной сигнализации, </w:t>
      </w:r>
      <w:proofErr w:type="spellStart"/>
      <w:r>
        <w:t>иммобилизатор</w:t>
      </w:r>
      <w:proofErr w:type="spellEnd"/>
      <w:r>
        <w:t xml:space="preserve">); </w:t>
      </w:r>
      <w:r>
        <w:rPr>
          <w:strike/>
        </w:rPr>
        <w:t>или</w:t>
      </w:r>
    </w:p>
    <w:p w14:paraId="7098C231" w14:textId="6170D1DC" w:rsidR="00E4730D" w:rsidRPr="00FC6A9F" w:rsidRDefault="00E4730D" w:rsidP="00E4730D">
      <w:pPr>
        <w:spacing w:after="120"/>
        <w:ind w:left="2835" w:right="1133" w:hanging="566"/>
        <w:jc w:val="both"/>
        <w:rPr>
          <w:b/>
        </w:rPr>
      </w:pPr>
      <w:r>
        <w:t>b)</w:t>
      </w:r>
      <w:r>
        <w:tab/>
        <w:t>к тем компонентам, которые ранее были подвергнуты испытанию в качестве части транспортного средства, если и в отношении этого представлено документальное подтверждение</w:t>
      </w:r>
      <w:r>
        <w:rPr>
          <w:strike/>
        </w:rPr>
        <w:t>.</w:t>
      </w:r>
      <w:r>
        <w:rPr>
          <w:b/>
          <w:bCs/>
        </w:rPr>
        <w:t xml:space="preserve">; </w:t>
      </w:r>
      <w:r w:rsidR="00A52899">
        <w:rPr>
          <w:b/>
          <w:bCs/>
        </w:rPr>
        <w:t>или</w:t>
      </w:r>
    </w:p>
    <w:p w14:paraId="2F5EB5E8" w14:textId="77777777" w:rsidR="00E4730D" w:rsidRPr="00FC6A9F" w:rsidRDefault="00E4730D" w:rsidP="00E4730D">
      <w:pPr>
        <w:spacing w:after="120"/>
        <w:ind w:left="2835" w:right="1133" w:hanging="566"/>
        <w:jc w:val="both"/>
        <w:rPr>
          <w:b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к компонентам, которые не встроены в транспортное средство, например к ключам.</w:t>
      </w:r>
    </w:p>
    <w:p w14:paraId="5F755288" w14:textId="542ACBC1" w:rsidR="00E4730D" w:rsidRPr="00FC6A9F" w:rsidRDefault="00E4730D" w:rsidP="00E4730D">
      <w:pPr>
        <w:spacing w:before="120" w:line="240" w:lineRule="auto"/>
        <w:ind w:left="2268" w:right="1140"/>
        <w:jc w:val="both"/>
        <w:rPr>
          <w:rFonts w:eastAsia="DengXian"/>
          <w:b/>
          <w:bCs/>
        </w:rPr>
      </w:pPr>
      <w:r>
        <w:t xml:space="preserve">Все компоненты </w:t>
      </w:r>
      <w:proofErr w:type="spellStart"/>
      <w:r>
        <w:t>иммобилизатора</w:t>
      </w:r>
      <w:proofErr w:type="spellEnd"/>
      <w:r>
        <w:t xml:space="preserve"> должны функционировать без </w:t>
      </w:r>
      <w:r w:rsidR="00C12CAE">
        <w:br/>
      </w:r>
      <w:r>
        <w:t>каких-либо нарушений в нижеследующих условиях.</w:t>
      </w:r>
    </w:p>
    <w:p w14:paraId="32EC0FA9" w14:textId="77777777" w:rsidR="00E4730D" w:rsidRPr="00F62960" w:rsidRDefault="00E4730D" w:rsidP="00E4730D">
      <w:pPr>
        <w:pStyle w:val="HChG"/>
        <w:rPr>
          <w:b w:val="0"/>
        </w:rPr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50ED4045" w14:textId="77777777" w:rsidR="00C12CAE" w:rsidRDefault="00E4730D" w:rsidP="00C12CAE">
      <w:pPr>
        <w:pStyle w:val="SingleTxtG"/>
      </w:pPr>
      <w:r>
        <w:t>1.</w:t>
      </w:r>
      <w:r>
        <w:tab/>
        <w:t>Пункт 1</w:t>
      </w:r>
      <w:r w:rsidR="00C12CAE">
        <w:t xml:space="preserve"> </w:t>
      </w:r>
    </w:p>
    <w:p w14:paraId="1640AD25" w14:textId="38C76F55" w:rsidR="00E4730D" w:rsidRPr="00FC6A9F" w:rsidRDefault="00C12CAE" w:rsidP="00C12CAE">
      <w:pPr>
        <w:pStyle w:val="SingleTxtG"/>
      </w:pPr>
      <w:r>
        <w:tab/>
      </w:r>
      <w:r w:rsidR="00E4730D">
        <w:t xml:space="preserve">Разделение Правил № 116 ООН дает, помимо прочего, возможность уточнить область применения правил. Теперь область применения Правил № 162 ООН, касающихся </w:t>
      </w:r>
      <w:proofErr w:type="spellStart"/>
      <w:r w:rsidR="00E4730D">
        <w:t>иммобилизаторов</w:t>
      </w:r>
      <w:proofErr w:type="spellEnd"/>
      <w:r w:rsidR="00E4730D">
        <w:t>, распределена по четырем подразделам:</w:t>
      </w:r>
    </w:p>
    <w:p w14:paraId="4A3F1A04" w14:textId="77777777" w:rsidR="00E4730D" w:rsidRPr="00ED083D" w:rsidRDefault="00E4730D" w:rsidP="00C12CAE">
      <w:pPr>
        <w:pStyle w:val="SingleTxtG"/>
        <w:pageBreakBefore/>
        <w:ind w:left="2268" w:hanging="567"/>
      </w:pPr>
      <w:r w:rsidRPr="00F62960">
        <w:lastRenderedPageBreak/>
        <w:t>a)</w:t>
      </w:r>
      <w:r w:rsidRPr="00F62960">
        <w:tab/>
      </w:r>
      <w:proofErr w:type="spellStart"/>
      <w:r>
        <w:t>иммобилизаторы</w:t>
      </w:r>
      <w:proofErr w:type="spellEnd"/>
      <w:r>
        <w:t>;</w:t>
      </w:r>
    </w:p>
    <w:p w14:paraId="71D5E06B" w14:textId="32E577F9" w:rsidR="00E4730D" w:rsidRPr="00FC6A9F" w:rsidRDefault="00E4730D" w:rsidP="00E4730D">
      <w:pPr>
        <w:pStyle w:val="SingleTxtG"/>
        <w:ind w:left="2268" w:hanging="567"/>
      </w:pPr>
      <w:r w:rsidRPr="00FC6A9F">
        <w:t>b)</w:t>
      </w:r>
      <w:r w:rsidRPr="00FC6A9F">
        <w:tab/>
      </w:r>
      <w:r>
        <w:t>транспортные средства категории M</w:t>
      </w:r>
      <w:r>
        <w:rPr>
          <w:vertAlign w:val="subscript"/>
        </w:rPr>
        <w:t>1</w:t>
      </w:r>
      <w:r>
        <w:t>/N</w:t>
      </w:r>
      <w:r>
        <w:rPr>
          <w:vertAlign w:val="subscript"/>
        </w:rPr>
        <w:t>1</w:t>
      </w:r>
      <w:r>
        <w:t xml:space="preserve"> массой &lt;2 т, оснащенные такими устройствами;</w:t>
      </w:r>
    </w:p>
    <w:p w14:paraId="350F6853" w14:textId="77777777" w:rsidR="00E4730D" w:rsidRPr="00FC6A9F" w:rsidRDefault="00E4730D" w:rsidP="00E4730D">
      <w:pPr>
        <w:pStyle w:val="SingleTxtG"/>
        <w:ind w:left="2268" w:hanging="567"/>
      </w:pPr>
      <w:r w:rsidRPr="00FC6A9F">
        <w:t>c)</w:t>
      </w:r>
      <w:r w:rsidRPr="00FC6A9F">
        <w:tab/>
      </w:r>
      <w:r>
        <w:t>другие транспортные средства — по просьбе изготовителя;</w:t>
      </w:r>
    </w:p>
    <w:p w14:paraId="2B2210F2" w14:textId="77777777" w:rsidR="00E4730D" w:rsidRPr="00ED083D" w:rsidRDefault="00E4730D" w:rsidP="00E4730D">
      <w:pPr>
        <w:pStyle w:val="SingleTxtG"/>
        <w:ind w:left="2268" w:hanging="567"/>
      </w:pPr>
      <w:r w:rsidRPr="00F62960">
        <w:t>d)</w:t>
      </w:r>
      <w:r w:rsidRPr="00F62960">
        <w:tab/>
      </w:r>
      <w:r>
        <w:t>исключение частот передачи радиосигналов.</w:t>
      </w:r>
    </w:p>
    <w:p w14:paraId="54F0D0C1" w14:textId="5606E8AB" w:rsidR="00E4730D" w:rsidRPr="00FC6A9F" w:rsidRDefault="00C12CAE" w:rsidP="00C12CAE">
      <w:pPr>
        <w:pStyle w:val="SingleTxtG"/>
      </w:pPr>
      <w:r>
        <w:tab/>
      </w:r>
      <w:r w:rsidR="00E4730D">
        <w:t>Такая структура хорошо показывает, какие категории транспортных средств входят или не входят в область применения, а также какие разделы правил применяются к каким транспортным средствам/устройствам. Настоящее предложение отражает формулировку, предложенную в неофициальном документе GRSG-122-21, принятом (в принципе) на сто двадцать второй сессии GRSG (октябрь 2021 года).</w:t>
      </w:r>
    </w:p>
    <w:p w14:paraId="77948E04" w14:textId="0967EEF6" w:rsidR="00C12CAE" w:rsidRDefault="00E4730D" w:rsidP="00C12CAE">
      <w:pPr>
        <w:pStyle w:val="SingleTxtG"/>
      </w:pPr>
      <w:r w:rsidRPr="00ED083D">
        <w:t>2.</w:t>
      </w:r>
      <w:r w:rsidRPr="00ED083D">
        <w:tab/>
      </w:r>
      <w:r>
        <w:t>Приложение 6, пункт 1</w:t>
      </w:r>
    </w:p>
    <w:p w14:paraId="3E5669E6" w14:textId="19191CA0" w:rsidR="00E4730D" w:rsidRPr="00E112E5" w:rsidRDefault="00C12CAE" w:rsidP="00C12CAE">
      <w:pPr>
        <w:pStyle w:val="SingleTxtG"/>
        <w:rPr>
          <w:b/>
          <w:bCs/>
        </w:rPr>
      </w:pPr>
      <w:r>
        <w:tab/>
      </w:r>
      <w:r w:rsidR="00E4730D">
        <w:t xml:space="preserve">Дополнение 7 к Правилам № 116 ООН вносит изменения в первоначальный пункт 8.4.1, который аналогичен положениям приложения 6 новых правил, касающихся </w:t>
      </w:r>
      <w:proofErr w:type="spellStart"/>
      <w:r w:rsidR="00E4730D">
        <w:t>иммобилизаторов</w:t>
      </w:r>
      <w:proofErr w:type="spellEnd"/>
      <w:r w:rsidR="00E4730D">
        <w:t>. Текст дополнения 7 к Правилам № 116 ООН гласил:</w:t>
      </w:r>
    </w:p>
    <w:p w14:paraId="14297C77" w14:textId="608140FA" w:rsidR="00E4730D" w:rsidRPr="00ED083D" w:rsidRDefault="00C12CAE" w:rsidP="00E4730D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>
        <w:t>«</w:t>
      </w:r>
      <w:r w:rsidR="00E4730D">
        <w:t>8.4.1</w:t>
      </w:r>
      <w:r w:rsidR="00E4730D">
        <w:tab/>
        <w:t>Эксплуатационные параметры</w:t>
      </w:r>
    </w:p>
    <w:p w14:paraId="1698A7E4" w14:textId="77777777" w:rsidR="00E4730D" w:rsidRPr="00FC6A9F" w:rsidRDefault="00E4730D" w:rsidP="00E4730D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>
        <w:tab/>
        <w:t xml:space="preserve">Все компоненты </w:t>
      </w:r>
      <w:proofErr w:type="spellStart"/>
      <w:r>
        <w:t>иммобилизатора</w:t>
      </w:r>
      <w:proofErr w:type="spellEnd"/>
      <w:r>
        <w:t xml:space="preserve"> должны отвечать предписаниям, изложенным в пункте 6.4 настоящих Правил.</w:t>
      </w:r>
    </w:p>
    <w:p w14:paraId="796D9451" w14:textId="77777777" w:rsidR="00E4730D" w:rsidRPr="00FC6A9F" w:rsidRDefault="00E4730D" w:rsidP="00E4730D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>
        <w:tab/>
        <w:t>Это требование не применяется к:</w:t>
      </w:r>
    </w:p>
    <w:p w14:paraId="7BDFD3FE" w14:textId="77777777" w:rsidR="00E4730D" w:rsidRPr="00FC6A9F" w:rsidRDefault="00E4730D" w:rsidP="00E4730D">
      <w:pPr>
        <w:tabs>
          <w:tab w:val="left" w:pos="2268"/>
          <w:tab w:val="left" w:pos="2835"/>
        </w:tabs>
        <w:spacing w:before="120" w:after="120" w:line="240" w:lineRule="auto"/>
        <w:ind w:left="2835" w:right="1134" w:hanging="1701"/>
        <w:jc w:val="both"/>
      </w:pPr>
      <w:r>
        <w:tab/>
        <w:t>i)</w:t>
      </w:r>
      <w:r>
        <w:tab/>
        <w:t xml:space="preserve">тем компонентам, которые устанавливаются и испытываются в качестве части транспортного средства, независимо от того, установлен ли </w:t>
      </w:r>
      <w:proofErr w:type="spellStart"/>
      <w:r>
        <w:t>иммобилизатор</w:t>
      </w:r>
      <w:proofErr w:type="spellEnd"/>
      <w:r>
        <w:t xml:space="preserve"> (например, огни); или</w:t>
      </w:r>
    </w:p>
    <w:p w14:paraId="54D4BF1E" w14:textId="7ADD9FE1" w:rsidR="00E4730D" w:rsidRPr="00FC6A9F" w:rsidRDefault="00E4730D" w:rsidP="00E4730D">
      <w:pPr>
        <w:tabs>
          <w:tab w:val="left" w:pos="2268"/>
          <w:tab w:val="left" w:pos="2835"/>
        </w:tabs>
        <w:spacing w:before="120" w:after="120" w:line="240" w:lineRule="auto"/>
        <w:ind w:left="2835" w:right="1134" w:hanging="1701"/>
        <w:jc w:val="both"/>
      </w:pPr>
      <w:r>
        <w:tab/>
      </w:r>
      <w:proofErr w:type="spellStart"/>
      <w:r>
        <w:t>ii</w:t>
      </w:r>
      <w:proofErr w:type="spellEnd"/>
      <w:r>
        <w:t>)</w:t>
      </w:r>
      <w:r>
        <w:tab/>
        <w:t>тем компонентам, которые ранее были подвергнуты испытанию в качестве части транспортного средства и было представлено документальное подтверждение; или</w:t>
      </w:r>
    </w:p>
    <w:p w14:paraId="00B4C7E1" w14:textId="1413B72F" w:rsidR="00E4730D" w:rsidRPr="00FC6A9F" w:rsidRDefault="00E4730D" w:rsidP="00E4730D">
      <w:pPr>
        <w:tabs>
          <w:tab w:val="left" w:pos="2268"/>
          <w:tab w:val="left" w:pos="2835"/>
        </w:tabs>
        <w:spacing w:before="120" w:after="120" w:line="240" w:lineRule="auto"/>
        <w:ind w:left="2835" w:right="1134" w:hanging="1701"/>
        <w:jc w:val="both"/>
      </w:pPr>
      <w:r>
        <w:tab/>
      </w:r>
      <w:proofErr w:type="spellStart"/>
      <w:r>
        <w:t>iii</w:t>
      </w:r>
      <w:proofErr w:type="spellEnd"/>
      <w:r>
        <w:t>)</w:t>
      </w:r>
      <w:r>
        <w:tab/>
        <w:t xml:space="preserve">компонентам, которые не встроены в транспортное средство, </w:t>
      </w:r>
      <w:proofErr w:type="gramStart"/>
      <w:r>
        <w:t>например</w:t>
      </w:r>
      <w:proofErr w:type="gramEnd"/>
      <w:r>
        <w:t xml:space="preserve"> к ключам</w:t>
      </w:r>
      <w:r w:rsidR="0057049E">
        <w:t>»</w:t>
      </w:r>
      <w:r>
        <w:t>.</w:t>
      </w:r>
    </w:p>
    <w:p w14:paraId="3264BE62" w14:textId="77777777" w:rsidR="00E4730D" w:rsidRPr="00FC6A9F" w:rsidRDefault="00E4730D" w:rsidP="00E4730D">
      <w:pPr>
        <w:pStyle w:val="SingleTxtG"/>
        <w:ind w:left="1170"/>
      </w:pPr>
      <w:r>
        <w:t>Таким образом, пункт 1 приложения 6 нуждается в предлагаемой поправке.</w:t>
      </w:r>
    </w:p>
    <w:p w14:paraId="5DE87F8E" w14:textId="77777777" w:rsidR="00E4730D" w:rsidRPr="00FC6A9F" w:rsidRDefault="00E4730D" w:rsidP="00E4730D">
      <w:pPr>
        <w:spacing w:before="240"/>
        <w:jc w:val="center"/>
        <w:rPr>
          <w:u w:val="single"/>
        </w:rPr>
      </w:pPr>
      <w:r w:rsidRPr="00FC6A9F">
        <w:rPr>
          <w:u w:val="single"/>
        </w:rPr>
        <w:tab/>
      </w:r>
      <w:r w:rsidRPr="00FC6A9F">
        <w:rPr>
          <w:u w:val="single"/>
        </w:rPr>
        <w:tab/>
      </w:r>
      <w:r w:rsidRPr="00FC6A9F">
        <w:rPr>
          <w:u w:val="single"/>
        </w:rPr>
        <w:tab/>
      </w:r>
    </w:p>
    <w:sectPr w:rsidR="00E4730D" w:rsidRPr="00FC6A9F" w:rsidSect="00E4730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E6349" w14:textId="77777777" w:rsidR="0066567B" w:rsidRPr="00A312BC" w:rsidRDefault="0066567B" w:rsidP="00A312BC"/>
  </w:endnote>
  <w:endnote w:type="continuationSeparator" w:id="0">
    <w:p w14:paraId="27361BA5" w14:textId="77777777" w:rsidR="0066567B" w:rsidRPr="00A312BC" w:rsidRDefault="0066567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7F468" w14:textId="5ED1728C" w:rsidR="00E4730D" w:rsidRPr="00E4730D" w:rsidRDefault="00E4730D">
    <w:pPr>
      <w:pStyle w:val="a8"/>
    </w:pPr>
    <w:r w:rsidRPr="00E4730D">
      <w:rPr>
        <w:b/>
        <w:sz w:val="18"/>
      </w:rPr>
      <w:fldChar w:fldCharType="begin"/>
    </w:r>
    <w:r w:rsidRPr="00E4730D">
      <w:rPr>
        <w:b/>
        <w:sz w:val="18"/>
      </w:rPr>
      <w:instrText xml:space="preserve"> PAGE  \* MERGEFORMAT </w:instrText>
    </w:r>
    <w:r w:rsidRPr="00E4730D">
      <w:rPr>
        <w:b/>
        <w:sz w:val="18"/>
      </w:rPr>
      <w:fldChar w:fldCharType="separate"/>
    </w:r>
    <w:r w:rsidRPr="00E4730D">
      <w:rPr>
        <w:b/>
        <w:noProof/>
        <w:sz w:val="18"/>
      </w:rPr>
      <w:t>2</w:t>
    </w:r>
    <w:r w:rsidRPr="00E4730D">
      <w:rPr>
        <w:b/>
        <w:sz w:val="18"/>
      </w:rPr>
      <w:fldChar w:fldCharType="end"/>
    </w:r>
    <w:r>
      <w:rPr>
        <w:b/>
        <w:sz w:val="18"/>
      </w:rPr>
      <w:tab/>
    </w:r>
    <w:r>
      <w:t>GE.22-00386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C4F3B" w14:textId="1A1124F8" w:rsidR="00E4730D" w:rsidRPr="00E4730D" w:rsidRDefault="00E4730D" w:rsidP="00E4730D">
    <w:pPr>
      <w:pStyle w:val="a8"/>
      <w:tabs>
        <w:tab w:val="clear" w:pos="9639"/>
        <w:tab w:val="right" w:pos="9638"/>
      </w:tabs>
      <w:rPr>
        <w:b/>
        <w:sz w:val="18"/>
      </w:rPr>
    </w:pPr>
    <w:r>
      <w:t>GE.22-00386</w:t>
    </w:r>
    <w:r>
      <w:tab/>
    </w:r>
    <w:r w:rsidRPr="00E4730D">
      <w:rPr>
        <w:b/>
        <w:sz w:val="18"/>
      </w:rPr>
      <w:fldChar w:fldCharType="begin"/>
    </w:r>
    <w:r w:rsidRPr="00E4730D">
      <w:rPr>
        <w:b/>
        <w:sz w:val="18"/>
      </w:rPr>
      <w:instrText xml:space="preserve"> PAGE  \* MERGEFORMAT </w:instrText>
    </w:r>
    <w:r w:rsidRPr="00E4730D">
      <w:rPr>
        <w:b/>
        <w:sz w:val="18"/>
      </w:rPr>
      <w:fldChar w:fldCharType="separate"/>
    </w:r>
    <w:r w:rsidRPr="00E4730D">
      <w:rPr>
        <w:b/>
        <w:noProof/>
        <w:sz w:val="18"/>
      </w:rPr>
      <w:t>3</w:t>
    </w:r>
    <w:r w:rsidRPr="00E4730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8CF01" w14:textId="7A624F63" w:rsidR="00042B72" w:rsidRPr="00E4730D" w:rsidRDefault="00E4730D" w:rsidP="00E4730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D0CCC36" wp14:editId="7003746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22-00386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B342F2F" wp14:editId="165AC1B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200122  210122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CF8F9" w14:textId="77777777" w:rsidR="0066567B" w:rsidRPr="001075E9" w:rsidRDefault="0066567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71D5BD4" w14:textId="77777777" w:rsidR="0066567B" w:rsidRDefault="0066567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B725AA4" w14:textId="1CDCABBA" w:rsidR="00E4730D" w:rsidRPr="00E112E5" w:rsidRDefault="00E4730D" w:rsidP="00E4730D">
      <w:pPr>
        <w:pStyle w:val="ad"/>
      </w:pPr>
      <w:r>
        <w:tab/>
      </w:r>
      <w:r w:rsidRPr="00E4730D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 20.76), Всемирный форум будет разрабатывать, согласовывать и обновлять правила </w:t>
      </w:r>
      <w:r>
        <w:br/>
        <w:t>в 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B9978" w14:textId="6DB914AB" w:rsidR="00E4730D" w:rsidRPr="00E4730D" w:rsidRDefault="005F080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ECE/TRANS/WP.29/GRSG/2022/15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68EBE" w14:textId="68B7042D" w:rsidR="00E4730D" w:rsidRPr="00E4730D" w:rsidRDefault="005F0808" w:rsidP="00E4730D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ECE/TRANS/WP.29/GRSG/2022/15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7B"/>
    <w:rsid w:val="00033EE1"/>
    <w:rsid w:val="00042B72"/>
    <w:rsid w:val="000558BD"/>
    <w:rsid w:val="00075499"/>
    <w:rsid w:val="000B3DBA"/>
    <w:rsid w:val="000B57E7"/>
    <w:rsid w:val="000B6373"/>
    <w:rsid w:val="000E4E5B"/>
    <w:rsid w:val="000F09DF"/>
    <w:rsid w:val="000F42B5"/>
    <w:rsid w:val="000F61B2"/>
    <w:rsid w:val="001075E9"/>
    <w:rsid w:val="00130ED6"/>
    <w:rsid w:val="0014152F"/>
    <w:rsid w:val="00180183"/>
    <w:rsid w:val="0018024D"/>
    <w:rsid w:val="0018649F"/>
    <w:rsid w:val="00192CFD"/>
    <w:rsid w:val="00196389"/>
    <w:rsid w:val="001B3EF6"/>
    <w:rsid w:val="001C7A89"/>
    <w:rsid w:val="002256B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5D61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49E"/>
    <w:rsid w:val="005709E0"/>
    <w:rsid w:val="00572E19"/>
    <w:rsid w:val="005961C8"/>
    <w:rsid w:val="005966F1"/>
    <w:rsid w:val="005D7914"/>
    <w:rsid w:val="005E2B41"/>
    <w:rsid w:val="005F0808"/>
    <w:rsid w:val="005F0B42"/>
    <w:rsid w:val="00617A43"/>
    <w:rsid w:val="006345DB"/>
    <w:rsid w:val="00640F49"/>
    <w:rsid w:val="0066567B"/>
    <w:rsid w:val="00680D03"/>
    <w:rsid w:val="00681A10"/>
    <w:rsid w:val="006A1ED8"/>
    <w:rsid w:val="006C2031"/>
    <w:rsid w:val="006D461A"/>
    <w:rsid w:val="006F35EE"/>
    <w:rsid w:val="007021FF"/>
    <w:rsid w:val="00712895"/>
    <w:rsid w:val="00726357"/>
    <w:rsid w:val="00734ACB"/>
    <w:rsid w:val="00757357"/>
    <w:rsid w:val="00792497"/>
    <w:rsid w:val="00806737"/>
    <w:rsid w:val="00825F8D"/>
    <w:rsid w:val="00834B71"/>
    <w:rsid w:val="00840965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1C64"/>
    <w:rsid w:val="00951972"/>
    <w:rsid w:val="009608F3"/>
    <w:rsid w:val="009A24AC"/>
    <w:rsid w:val="009C59D7"/>
    <w:rsid w:val="009C6FE6"/>
    <w:rsid w:val="009D4D6A"/>
    <w:rsid w:val="009D7E7D"/>
    <w:rsid w:val="00A14DA8"/>
    <w:rsid w:val="00A312BC"/>
    <w:rsid w:val="00A52899"/>
    <w:rsid w:val="00A84021"/>
    <w:rsid w:val="00A84D35"/>
    <w:rsid w:val="00A917B3"/>
    <w:rsid w:val="00AB4B51"/>
    <w:rsid w:val="00B05CC3"/>
    <w:rsid w:val="00B10CC7"/>
    <w:rsid w:val="00B36DF7"/>
    <w:rsid w:val="00B539E7"/>
    <w:rsid w:val="00B62458"/>
    <w:rsid w:val="00B87AC7"/>
    <w:rsid w:val="00BC18B2"/>
    <w:rsid w:val="00BD33EE"/>
    <w:rsid w:val="00BE1CC7"/>
    <w:rsid w:val="00C106D6"/>
    <w:rsid w:val="00C119AE"/>
    <w:rsid w:val="00C12CAE"/>
    <w:rsid w:val="00C60F0C"/>
    <w:rsid w:val="00C71E84"/>
    <w:rsid w:val="00C805C9"/>
    <w:rsid w:val="00C92939"/>
    <w:rsid w:val="00CA1679"/>
    <w:rsid w:val="00CB151C"/>
    <w:rsid w:val="00CD14E1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A0F"/>
    <w:rsid w:val="00E12C5F"/>
    <w:rsid w:val="00E4730D"/>
    <w:rsid w:val="00E73F76"/>
    <w:rsid w:val="00EA2C9F"/>
    <w:rsid w:val="00EA420E"/>
    <w:rsid w:val="00ED0BDA"/>
    <w:rsid w:val="00ED48D5"/>
    <w:rsid w:val="00EE142A"/>
    <w:rsid w:val="00EE658D"/>
    <w:rsid w:val="00EF1360"/>
    <w:rsid w:val="00EF3220"/>
    <w:rsid w:val="00F06E27"/>
    <w:rsid w:val="00F2523A"/>
    <w:rsid w:val="00F43903"/>
    <w:rsid w:val="00F94155"/>
    <w:rsid w:val="00F9783F"/>
    <w:rsid w:val="00FD2EF7"/>
    <w:rsid w:val="00FD301D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3A1731"/>
  <w15:docId w15:val="{039C86F8-44F7-492A-9E9C-CD5DB5C1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E4730D"/>
    <w:rPr>
      <w:lang w:val="ru-RU" w:eastAsia="en-US"/>
    </w:rPr>
  </w:style>
  <w:style w:type="character" w:customStyle="1" w:styleId="HChGChar">
    <w:name w:val="_ H _Ch_G Char"/>
    <w:link w:val="HChG"/>
    <w:locked/>
    <w:rsid w:val="00E4730D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639</Words>
  <Characters>4472</Characters>
  <Application>Microsoft Office Word</Application>
  <DocSecurity>0</DocSecurity>
  <Lines>108</Lines>
  <Paragraphs>53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ECE/TRANS/WP.29/GRSG/2022/15</vt:lpstr>
      <vt:lpstr>A/</vt:lpstr>
      <vt:lpstr>A/</vt:lpstr>
    </vt:vector>
  </TitlesOfParts>
  <Company>DCM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ECE/TRANS/WP.29/GRSG/2022/15</dc:title>
  <dc:subject/>
  <dc:creator>Svetlana PROKOUDINA</dc:creator>
  <cp:keywords/>
  <cp:lastModifiedBy>Ekaterina SALYNSKAYA</cp:lastModifiedBy>
  <cp:revision>3</cp:revision>
  <cp:lastPrinted>2022-01-21T15:05:00Z</cp:lastPrinted>
  <dcterms:created xsi:type="dcterms:W3CDTF">2022-01-21T15:05:00Z</dcterms:created>
  <dcterms:modified xsi:type="dcterms:W3CDTF">2022-01-21T15:05:00Z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