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29DFBFE" w14:textId="77777777" w:rsidTr="00387CD4">
        <w:trPr>
          <w:trHeight w:hRule="exact" w:val="851"/>
        </w:trPr>
        <w:tc>
          <w:tcPr>
            <w:tcW w:w="142" w:type="dxa"/>
            <w:tcBorders>
              <w:bottom w:val="single" w:sz="4" w:space="0" w:color="auto"/>
            </w:tcBorders>
          </w:tcPr>
          <w:p w14:paraId="2E0D87DC" w14:textId="77777777" w:rsidR="002D5AAC" w:rsidRDefault="002D5AAC" w:rsidP="00C9626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21BC8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4AEE20" w14:textId="4E13F2CE" w:rsidR="002D5AAC" w:rsidRDefault="00C9626D" w:rsidP="00C9626D">
            <w:pPr>
              <w:jc w:val="right"/>
            </w:pPr>
            <w:r w:rsidRPr="00C9626D">
              <w:rPr>
                <w:sz w:val="40"/>
              </w:rPr>
              <w:t>ECE</w:t>
            </w:r>
            <w:r>
              <w:t>/TRANS/WP.29/GRSG/2022/14</w:t>
            </w:r>
          </w:p>
        </w:tc>
      </w:tr>
      <w:tr w:rsidR="002D5AAC" w:rsidRPr="001D216B" w14:paraId="22F444E0" w14:textId="77777777" w:rsidTr="00387CD4">
        <w:trPr>
          <w:trHeight w:hRule="exact" w:val="2835"/>
        </w:trPr>
        <w:tc>
          <w:tcPr>
            <w:tcW w:w="1280" w:type="dxa"/>
            <w:gridSpan w:val="2"/>
            <w:tcBorders>
              <w:top w:val="single" w:sz="4" w:space="0" w:color="auto"/>
              <w:bottom w:val="single" w:sz="12" w:space="0" w:color="auto"/>
            </w:tcBorders>
          </w:tcPr>
          <w:p w14:paraId="11D92C39" w14:textId="77777777" w:rsidR="002D5AAC" w:rsidRDefault="002E5067" w:rsidP="00387CD4">
            <w:pPr>
              <w:spacing w:before="120"/>
              <w:jc w:val="center"/>
            </w:pPr>
            <w:r>
              <w:rPr>
                <w:noProof/>
                <w:lang w:val="fr-CH" w:eastAsia="fr-CH"/>
              </w:rPr>
              <w:drawing>
                <wp:inline distT="0" distB="0" distL="0" distR="0" wp14:anchorId="102A7378" wp14:editId="479C6F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823E3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910034" w14:textId="77777777" w:rsidR="002D5AAC" w:rsidRDefault="00C9626D" w:rsidP="00387CD4">
            <w:pPr>
              <w:spacing w:before="240"/>
              <w:rPr>
                <w:lang w:val="en-US"/>
              </w:rPr>
            </w:pPr>
            <w:r>
              <w:rPr>
                <w:lang w:val="en-US"/>
              </w:rPr>
              <w:t>Distr.: General</w:t>
            </w:r>
          </w:p>
          <w:p w14:paraId="54EA79A4" w14:textId="77777777" w:rsidR="00C9626D" w:rsidRDefault="00C9626D" w:rsidP="00C9626D">
            <w:pPr>
              <w:spacing w:line="240" w:lineRule="exact"/>
              <w:rPr>
                <w:lang w:val="en-US"/>
              </w:rPr>
            </w:pPr>
            <w:r>
              <w:rPr>
                <w:lang w:val="en-US"/>
              </w:rPr>
              <w:t>13 January 2022</w:t>
            </w:r>
          </w:p>
          <w:p w14:paraId="41058F88" w14:textId="77777777" w:rsidR="00C9626D" w:rsidRDefault="00C9626D" w:rsidP="00C9626D">
            <w:pPr>
              <w:spacing w:line="240" w:lineRule="exact"/>
              <w:rPr>
                <w:lang w:val="en-US"/>
              </w:rPr>
            </w:pPr>
            <w:r>
              <w:rPr>
                <w:lang w:val="en-US"/>
              </w:rPr>
              <w:t>Russian</w:t>
            </w:r>
          </w:p>
          <w:p w14:paraId="469A27C3" w14:textId="3CB5C5C0" w:rsidR="00C9626D" w:rsidRPr="008D53B6" w:rsidRDefault="00C9626D" w:rsidP="00C9626D">
            <w:pPr>
              <w:spacing w:line="240" w:lineRule="exact"/>
              <w:rPr>
                <w:lang w:val="en-US"/>
              </w:rPr>
            </w:pPr>
            <w:r>
              <w:rPr>
                <w:lang w:val="en-US"/>
              </w:rPr>
              <w:t>Original: English</w:t>
            </w:r>
          </w:p>
        </w:tc>
      </w:tr>
    </w:tbl>
    <w:p w14:paraId="1003017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74D8A4D" w14:textId="77777777" w:rsidR="00C9626D" w:rsidRPr="00C9626D" w:rsidRDefault="00C9626D" w:rsidP="00C9626D">
      <w:pPr>
        <w:spacing w:before="120"/>
        <w:rPr>
          <w:rFonts w:asciiTheme="majorBidi" w:hAnsiTheme="majorBidi" w:cstheme="majorBidi"/>
          <w:sz w:val="28"/>
          <w:szCs w:val="28"/>
        </w:rPr>
      </w:pPr>
      <w:r w:rsidRPr="00C9626D">
        <w:rPr>
          <w:sz w:val="28"/>
          <w:szCs w:val="28"/>
        </w:rPr>
        <w:t>Комитет по внутреннему транспорту</w:t>
      </w:r>
    </w:p>
    <w:p w14:paraId="64BF6CA2" w14:textId="43C744C3" w:rsidR="00C9626D" w:rsidRPr="00C9626D" w:rsidRDefault="00C9626D" w:rsidP="00C9626D">
      <w:pPr>
        <w:spacing w:before="120"/>
        <w:rPr>
          <w:rFonts w:asciiTheme="majorBidi" w:hAnsiTheme="majorBidi" w:cstheme="majorBidi"/>
          <w:b/>
          <w:sz w:val="24"/>
          <w:szCs w:val="24"/>
        </w:rPr>
      </w:pPr>
      <w:r w:rsidRPr="00C9626D">
        <w:rPr>
          <w:b/>
          <w:bCs/>
          <w:sz w:val="24"/>
          <w:szCs w:val="24"/>
        </w:rPr>
        <w:t xml:space="preserve">Всемирный форум для согласования правил </w:t>
      </w:r>
      <w:r>
        <w:rPr>
          <w:b/>
          <w:bCs/>
          <w:sz w:val="24"/>
          <w:szCs w:val="24"/>
        </w:rPr>
        <w:br/>
      </w:r>
      <w:r w:rsidRPr="00C9626D">
        <w:rPr>
          <w:b/>
          <w:bCs/>
          <w:sz w:val="24"/>
          <w:szCs w:val="24"/>
        </w:rPr>
        <w:t>в области транспортных средств</w:t>
      </w:r>
    </w:p>
    <w:p w14:paraId="1EB779B1" w14:textId="4EA5D30B" w:rsidR="00C9626D" w:rsidRPr="003D09F6" w:rsidRDefault="00C9626D" w:rsidP="00C9626D">
      <w:pPr>
        <w:spacing w:before="120"/>
        <w:rPr>
          <w:rFonts w:asciiTheme="majorBidi" w:hAnsiTheme="majorBidi" w:cstheme="majorBidi"/>
          <w:b/>
        </w:rPr>
      </w:pPr>
      <w:r>
        <w:rPr>
          <w:b/>
          <w:bCs/>
        </w:rPr>
        <w:t xml:space="preserve">Рабочая группа по общим предписаниям, </w:t>
      </w:r>
      <w:r>
        <w:rPr>
          <w:b/>
          <w:bCs/>
        </w:rPr>
        <w:br/>
        <w:t>касающимся безопасности</w:t>
      </w:r>
    </w:p>
    <w:p w14:paraId="7FC431EC" w14:textId="77777777" w:rsidR="00C9626D" w:rsidRPr="003D09F6" w:rsidRDefault="00C9626D" w:rsidP="00C9626D">
      <w:pPr>
        <w:spacing w:before="120"/>
        <w:rPr>
          <w:rFonts w:asciiTheme="majorBidi" w:hAnsiTheme="majorBidi" w:cstheme="majorBidi"/>
          <w:b/>
        </w:rPr>
      </w:pPr>
      <w:r>
        <w:rPr>
          <w:b/>
          <w:bCs/>
        </w:rPr>
        <w:t>Сто двадцать третья сессия</w:t>
      </w:r>
    </w:p>
    <w:p w14:paraId="24BC1489" w14:textId="7DB30C52" w:rsidR="00C9626D" w:rsidRPr="003D09F6" w:rsidRDefault="00C9626D" w:rsidP="00C9626D">
      <w:pPr>
        <w:rPr>
          <w:rFonts w:asciiTheme="majorBidi" w:hAnsiTheme="majorBidi" w:cstheme="majorBidi"/>
        </w:rPr>
      </w:pPr>
      <w:r>
        <w:t xml:space="preserve">Женева, 28 марта </w:t>
      </w:r>
      <w:r w:rsidR="00DF10F1">
        <w:t>—</w:t>
      </w:r>
      <w:r w:rsidRPr="003D09F6">
        <w:t xml:space="preserve"> </w:t>
      </w:r>
      <w:r>
        <w:t>1 апреля 2022 года</w:t>
      </w:r>
    </w:p>
    <w:p w14:paraId="5E6C9187" w14:textId="77777777" w:rsidR="00C9626D" w:rsidRPr="003D09F6" w:rsidRDefault="00C9626D" w:rsidP="00C9626D">
      <w:pPr>
        <w:rPr>
          <w:rFonts w:asciiTheme="majorBidi" w:hAnsiTheme="majorBidi" w:cstheme="majorBidi"/>
        </w:rPr>
      </w:pPr>
      <w:r>
        <w:t>Пункт 9 b) предварительной повестки дня</w:t>
      </w:r>
    </w:p>
    <w:p w14:paraId="1C4DA480" w14:textId="1D2C769D" w:rsidR="00C9626D" w:rsidRDefault="00C9626D" w:rsidP="00C9626D">
      <w:pPr>
        <w:rPr>
          <w:b/>
          <w:bCs/>
        </w:rPr>
      </w:pPr>
      <w:r w:rsidRPr="003D09F6">
        <w:rPr>
          <w:b/>
          <w:bCs/>
        </w:rPr>
        <w:t xml:space="preserve">Поправки к правилам, касающимся устройств для </w:t>
      </w:r>
      <w:r>
        <w:rPr>
          <w:b/>
          <w:bCs/>
        </w:rPr>
        <w:br/>
      </w:r>
      <w:r w:rsidRPr="003D09F6">
        <w:rPr>
          <w:b/>
          <w:bCs/>
        </w:rPr>
        <w:t xml:space="preserve">предотвращения несанкционированного </w:t>
      </w:r>
      <w:r>
        <w:rPr>
          <w:b/>
          <w:bCs/>
        </w:rPr>
        <w:br/>
      </w:r>
      <w:r w:rsidRPr="003D09F6">
        <w:rPr>
          <w:b/>
          <w:bCs/>
        </w:rPr>
        <w:t xml:space="preserve">использования, иммобилизаторов и систем </w:t>
      </w:r>
      <w:r>
        <w:rPr>
          <w:b/>
          <w:bCs/>
        </w:rPr>
        <w:br/>
      </w:r>
      <w:r w:rsidRPr="003D09F6">
        <w:rPr>
          <w:b/>
          <w:bCs/>
        </w:rPr>
        <w:t xml:space="preserve">охранной сигнализации транспортных средств: </w:t>
      </w:r>
    </w:p>
    <w:p w14:paraId="5913E5A9" w14:textId="69AC7214" w:rsidR="00C9626D" w:rsidRPr="003D09F6" w:rsidRDefault="00C9626D" w:rsidP="00C9626D">
      <w:r>
        <w:rPr>
          <w:b/>
          <w:bCs/>
        </w:rPr>
        <w:t xml:space="preserve">Правила № 161 ООН (устройства для предотвращения </w:t>
      </w:r>
      <w:r>
        <w:rPr>
          <w:b/>
          <w:bCs/>
        </w:rPr>
        <w:br/>
        <w:t>несанкционированного использования)</w:t>
      </w:r>
    </w:p>
    <w:p w14:paraId="6B5E614E" w14:textId="77777777" w:rsidR="00C9626D" w:rsidRPr="003D09F6" w:rsidRDefault="00C9626D" w:rsidP="00C9626D">
      <w:pPr>
        <w:pStyle w:val="HChG"/>
      </w:pPr>
      <w:r>
        <w:tab/>
      </w:r>
      <w:r>
        <w:tab/>
      </w:r>
      <w:r>
        <w:tab/>
      </w:r>
      <w:r>
        <w:rPr>
          <w:bCs/>
        </w:rPr>
        <w:t>Предложение по дополнению 3 к первоначальному варианту Правил № 161 ООН (устройства для предотвращения несанкционированного использования)</w:t>
      </w:r>
    </w:p>
    <w:p w14:paraId="1EC7D02B" w14:textId="77777777" w:rsidR="00C9626D" w:rsidRPr="003D09F6" w:rsidRDefault="00C9626D" w:rsidP="00C9626D">
      <w:pPr>
        <w:pStyle w:val="H1G"/>
      </w:pPr>
      <w:r>
        <w:tab/>
      </w:r>
      <w:r>
        <w:tab/>
      </w:r>
      <w:r>
        <w:rPr>
          <w:bCs/>
        </w:rPr>
        <w:t>Представлено экспертом от Международной организации предприятий автомобильной промышленности</w:t>
      </w:r>
      <w:r w:rsidRPr="00C9626D">
        <w:rPr>
          <w:b w:val="0"/>
          <w:sz w:val="20"/>
        </w:rPr>
        <w:footnoteReference w:customMarkFollows="1" w:id="1"/>
        <w:t>*</w:t>
      </w:r>
      <w:r>
        <w:t xml:space="preserve"> </w:t>
      </w:r>
    </w:p>
    <w:p w14:paraId="7289CB93" w14:textId="4441A695" w:rsidR="00DF10F1" w:rsidRDefault="00C9626D" w:rsidP="00C9626D">
      <w:pPr>
        <w:pStyle w:val="SingleTxtG"/>
        <w:ind w:firstLine="425"/>
      </w:pPr>
      <w:r>
        <w:t xml:space="preserve">Воспроизведенный ниже текст был подготовлен экспертом Международной организации предприятий автомобильной промышленности (МОПАП) для внесения поправок в Правила № 161 ООН в целях уточнения области применения данных Правил ООН и дополнения их текста отсутствующим дополнением 7 к первоначальному варианту Правил № 116 ООН. В его основу положен неофициальный документ GRSG-122-14, распространенный в ходе сто двадцать второй сессии Рабочей группы по общим предписаниям, касающимся безопасности (GRSG). Изменения к нынешнему тексту Правил ООН выделены жирным шрифтом в случае новых элементов или зачеркиванием в случае исключенных элементов. </w:t>
      </w:r>
    </w:p>
    <w:p w14:paraId="25A07BF8" w14:textId="77777777" w:rsidR="00DF10F1" w:rsidRDefault="00DF10F1">
      <w:pPr>
        <w:suppressAutoHyphens w:val="0"/>
        <w:spacing w:line="240" w:lineRule="auto"/>
        <w:rPr>
          <w:rFonts w:eastAsia="Times New Roman" w:cs="Times New Roman"/>
          <w:szCs w:val="20"/>
        </w:rPr>
      </w:pPr>
      <w:r>
        <w:br w:type="page"/>
      </w:r>
    </w:p>
    <w:p w14:paraId="2B53AAF5" w14:textId="77777777" w:rsidR="00C9626D" w:rsidRPr="003D09F6" w:rsidRDefault="00C9626D" w:rsidP="00C9626D">
      <w:pPr>
        <w:pStyle w:val="HChG"/>
        <w:rPr>
          <w:rFonts w:asciiTheme="majorBidi" w:hAnsiTheme="majorBidi" w:cstheme="majorBidi"/>
          <w:b w:val="0"/>
          <w:szCs w:val="28"/>
        </w:rPr>
      </w:pPr>
      <w:r>
        <w:rPr>
          <w:bCs/>
        </w:rPr>
        <w:lastRenderedPageBreak/>
        <w:tab/>
        <w:t>I.</w:t>
      </w:r>
      <w:r>
        <w:tab/>
      </w:r>
      <w:r>
        <w:rPr>
          <w:bCs/>
        </w:rPr>
        <w:t>Предложение</w:t>
      </w:r>
    </w:p>
    <w:p w14:paraId="43D249DA" w14:textId="77777777" w:rsidR="00C9626D" w:rsidRPr="003D09F6" w:rsidRDefault="00C9626D" w:rsidP="00C9626D">
      <w:pPr>
        <w:pStyle w:val="SingleTxtG"/>
        <w:rPr>
          <w:rFonts w:eastAsia="DengXian"/>
        </w:rPr>
      </w:pPr>
      <w:r>
        <w:rPr>
          <w:i/>
          <w:iCs/>
        </w:rPr>
        <w:t>Пункт 1</w:t>
      </w:r>
      <w:r>
        <w:t xml:space="preserve">, добавить новую сноску </w:t>
      </w:r>
      <w:r w:rsidRPr="0090253A">
        <w:rPr>
          <w:sz w:val="18"/>
          <w:szCs w:val="18"/>
          <w:vertAlign w:val="superscript"/>
        </w:rPr>
        <w:t>2</w:t>
      </w:r>
      <w:r>
        <w:t xml:space="preserve"> и изменить текст следующим образом:</w:t>
      </w:r>
    </w:p>
    <w:p w14:paraId="756809A8" w14:textId="0B23321D" w:rsidR="00C9626D" w:rsidRPr="003D09F6" w:rsidRDefault="00F04CF6" w:rsidP="00C9626D">
      <w:pPr>
        <w:pStyle w:val="HChG"/>
        <w:ind w:left="2268"/>
      </w:pPr>
      <w:r w:rsidRPr="001D216B">
        <w:rPr>
          <w:b w:val="0"/>
          <w:bCs/>
          <w:sz w:val="20"/>
        </w:rPr>
        <w:t>«</w:t>
      </w:r>
      <w:r w:rsidR="00C9626D">
        <w:rPr>
          <w:bCs/>
        </w:rPr>
        <w:t>1.</w:t>
      </w:r>
      <w:r w:rsidR="00C9626D">
        <w:tab/>
      </w:r>
      <w:r w:rsidR="00C9626D">
        <w:rPr>
          <w:bCs/>
        </w:rPr>
        <w:t>Область применения</w:t>
      </w:r>
    </w:p>
    <w:p w14:paraId="33476D97" w14:textId="77777777" w:rsidR="00C9626D" w:rsidRPr="003D09F6" w:rsidRDefault="00C9626D" w:rsidP="00C9626D">
      <w:pPr>
        <w:keepNext/>
        <w:keepLines/>
        <w:tabs>
          <w:tab w:val="left" w:pos="2268"/>
          <w:tab w:val="left" w:pos="2493"/>
        </w:tabs>
        <w:spacing w:after="120"/>
        <w:ind w:left="2268" w:right="991" w:hanging="1134"/>
        <w:jc w:val="both"/>
      </w:pPr>
      <w:r>
        <w:tab/>
        <w:t>Настоящие Правила применяются:</w:t>
      </w:r>
    </w:p>
    <w:p w14:paraId="56440190" w14:textId="467F15B4" w:rsidR="00C9626D" w:rsidRPr="00F1333A" w:rsidRDefault="00C9626D" w:rsidP="00C9626D">
      <w:pPr>
        <w:keepNext/>
        <w:keepLines/>
        <w:tabs>
          <w:tab w:val="left" w:pos="2268"/>
        </w:tabs>
        <w:spacing w:after="120"/>
        <w:ind w:left="2268" w:right="991" w:hanging="1134"/>
        <w:jc w:val="both"/>
        <w:rPr>
          <w:b/>
          <w:bCs/>
        </w:rPr>
      </w:pPr>
      <w:r>
        <w:t>1.1</w:t>
      </w:r>
      <w:r>
        <w:tab/>
      </w:r>
      <w:r>
        <w:rPr>
          <w:strike/>
        </w:rPr>
        <w:t>к официальному утверждению транспортного средства категорий M</w:t>
      </w:r>
      <w:r>
        <w:rPr>
          <w:strike/>
          <w:vertAlign w:val="subscript"/>
        </w:rPr>
        <w:t>1</w:t>
      </w:r>
      <w:r>
        <w:rPr>
          <w:strike/>
        </w:rPr>
        <w:t xml:space="preserve"> и N</w:t>
      </w:r>
      <w:r>
        <w:rPr>
          <w:strike/>
          <w:vertAlign w:val="subscript"/>
        </w:rPr>
        <w:t>1</w:t>
      </w:r>
      <w:r>
        <w:rPr>
          <w:strike/>
          <w:vertAlign w:val="superscript"/>
        </w:rPr>
        <w:t>1/</w:t>
      </w:r>
      <w:r>
        <w:rPr>
          <w:strike/>
        </w:rPr>
        <w:t xml:space="preserve"> в отношении его устройств для предотвращения несанкционированного использования.</w:t>
      </w:r>
      <w:r>
        <w:t xml:space="preserve"> </w:t>
      </w:r>
      <w:r>
        <w:rPr>
          <w:b/>
          <w:bCs/>
        </w:rPr>
        <w:t>к официальному утверждению устройств для предотвращения несанкционированного использования, предназначенных для стационарной установки на транспортных средствах любой категории</w:t>
      </w:r>
      <w:r w:rsidRPr="00A61D53">
        <w:rPr>
          <w:rStyle w:val="aa"/>
          <w:b/>
          <w:bCs/>
          <w:iCs/>
        </w:rPr>
        <w:footnoteReference w:id="2"/>
      </w:r>
      <w:r w:rsidR="005F53A0" w:rsidRPr="00A61D53">
        <w:rPr>
          <w:b/>
          <w:bCs/>
          <w:vertAlign w:val="superscript"/>
        </w:rPr>
        <w:t>,</w:t>
      </w:r>
      <w:r w:rsidR="005F53A0" w:rsidRPr="005F53A0">
        <w:t xml:space="preserve"> </w:t>
      </w:r>
      <w:r w:rsidRPr="00EF7F0E">
        <w:rPr>
          <w:rStyle w:val="aa"/>
          <w:b/>
          <w:bCs/>
          <w:iCs/>
        </w:rPr>
        <w:footnoteReference w:id="3"/>
      </w:r>
      <w:r>
        <w:rPr>
          <w:b/>
          <w:bCs/>
        </w:rPr>
        <w:t>.</w:t>
      </w:r>
      <w:r>
        <w:t xml:space="preserve"> </w:t>
      </w:r>
    </w:p>
    <w:p w14:paraId="09FCC4A3" w14:textId="43BCD0BE" w:rsidR="00C9626D" w:rsidRPr="00F1333A" w:rsidRDefault="00C9626D" w:rsidP="00C9626D">
      <w:pPr>
        <w:tabs>
          <w:tab w:val="left" w:pos="2268"/>
        </w:tabs>
        <w:spacing w:after="120"/>
        <w:ind w:left="2268" w:right="991" w:hanging="1134"/>
        <w:jc w:val="both"/>
      </w:pPr>
      <w:r>
        <w:t>1.2</w:t>
      </w:r>
      <w:r>
        <w:tab/>
      </w:r>
      <w:r>
        <w:rPr>
          <w:strike/>
        </w:rPr>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r>
        <w:t xml:space="preserve"> </w:t>
      </w:r>
      <w:r>
        <w:rPr>
          <w:b/>
          <w:bCs/>
        </w:rPr>
        <w:t xml:space="preserve">Официальное утверждение транспортных средств </w:t>
      </w:r>
      <w:r w:rsidR="00E76C13">
        <w:rPr>
          <w:b/>
          <w:bCs/>
        </w:rPr>
        <w:br/>
      </w:r>
      <w:r>
        <w:rPr>
          <w:b/>
          <w:bCs/>
        </w:rPr>
        <w:t>категории</w:t>
      </w:r>
      <w:r w:rsidR="00E76C13" w:rsidRPr="00E76C13">
        <w:rPr>
          <w:b/>
          <w:bCs/>
        </w:rPr>
        <w:t xml:space="preserve"> </w:t>
      </w:r>
      <w:r>
        <w:rPr>
          <w:b/>
          <w:bCs/>
        </w:rPr>
        <w:t>M</w:t>
      </w:r>
      <w:r>
        <w:rPr>
          <w:b/>
          <w:bCs/>
          <w:vertAlign w:val="subscript"/>
        </w:rPr>
        <w:t>1</w:t>
      </w:r>
      <w:r>
        <w:rPr>
          <w:b/>
          <w:bCs/>
        </w:rPr>
        <w:t xml:space="preserve"> и транспортных средств категории N</w:t>
      </w:r>
      <w:r>
        <w:rPr>
          <w:b/>
          <w:bCs/>
          <w:vertAlign w:val="subscript"/>
        </w:rPr>
        <w:t>1</w:t>
      </w:r>
      <w:r>
        <w:rPr>
          <w:b/>
          <w:bCs/>
        </w:rPr>
        <w:t xml:space="preserve"> максимальной массой не более 2</w:t>
      </w:r>
      <w:r w:rsidR="00E76C13" w:rsidRPr="00E76C13">
        <w:rPr>
          <w:b/>
          <w:bCs/>
        </w:rPr>
        <w:t xml:space="preserve"> </w:t>
      </w:r>
      <w:r>
        <w:rPr>
          <w:b/>
          <w:bCs/>
        </w:rPr>
        <w:t>т в отношении их устройств для предотвращения несанкционированного использования</w:t>
      </w:r>
      <w:r w:rsidRPr="0090253A">
        <w:rPr>
          <w:b/>
          <w:bCs/>
          <w:sz w:val="18"/>
          <w:szCs w:val="18"/>
          <w:vertAlign w:val="superscript"/>
        </w:rPr>
        <w:t>2</w:t>
      </w:r>
      <w:r w:rsidR="0090253A" w:rsidRPr="0090253A">
        <w:rPr>
          <w:b/>
          <w:bCs/>
          <w:sz w:val="18"/>
          <w:szCs w:val="18"/>
        </w:rPr>
        <w:t>.</w:t>
      </w:r>
    </w:p>
    <w:p w14:paraId="41105417" w14:textId="7E6CCD08" w:rsidR="00C9626D" w:rsidRPr="00F1333A" w:rsidRDefault="00C9626D" w:rsidP="00C9626D">
      <w:pPr>
        <w:tabs>
          <w:tab w:val="left" w:pos="2268"/>
        </w:tabs>
        <w:spacing w:after="120"/>
        <w:ind w:left="2268" w:right="991" w:hanging="1134"/>
        <w:jc w:val="both"/>
      </w:pPr>
      <w:r>
        <w:t>1.3</w:t>
      </w:r>
      <w:r>
        <w:tab/>
      </w:r>
      <w:r>
        <w:rPr>
          <w:strike/>
        </w:rPr>
        <w:t>По просьбе изготовителя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r>
        <w:t xml:space="preserve"> </w:t>
      </w:r>
      <w:r>
        <w:rPr>
          <w:b/>
          <w:bCs/>
        </w:rPr>
        <w:t>По просьбе изготовителя Договаривающиеся стороны могут предоставлять официальные утверждения для транспортных средств других категорий в отношении их устройств(а) для предотвращения несанкционированного использования.</w:t>
      </w:r>
    </w:p>
    <w:p w14:paraId="2A76DD02" w14:textId="7E653BD9" w:rsidR="00C9626D" w:rsidRPr="004A5F73" w:rsidRDefault="00C9626D" w:rsidP="00C9626D">
      <w:pPr>
        <w:tabs>
          <w:tab w:val="left" w:pos="2268"/>
        </w:tabs>
        <w:spacing w:after="120"/>
        <w:ind w:left="2268" w:right="991" w:hanging="1134"/>
        <w:jc w:val="both"/>
        <w:rPr>
          <w:rFonts w:eastAsia="DengXian"/>
          <w:iCs/>
        </w:rPr>
      </w:pPr>
      <w:r>
        <w:t>1.4</w:t>
      </w:r>
      <w:r>
        <w:tab/>
      </w:r>
      <w:r w:rsidRPr="004A5F73">
        <w:rPr>
          <w:strike/>
        </w:rPr>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r w:rsidRPr="004A5F73">
        <w:t xml:space="preserve"> </w:t>
      </w:r>
      <w:r w:rsidRPr="004A5F73">
        <w:rPr>
          <w:b/>
          <w:bCs/>
        </w:rPr>
        <w:t xml:space="preserve">Настоящие Правила не применяются к частотам передачи радиосигналов независимо от </w:t>
      </w:r>
      <w:r>
        <w:rPr>
          <w:b/>
          <w:bCs/>
        </w:rPr>
        <w:br/>
      </w:r>
      <w:r w:rsidRPr="004A5F73">
        <w:rPr>
          <w:b/>
          <w:bCs/>
        </w:rPr>
        <w:t>того, связаны они с защитой транспортных средств от несанкционированного использования или нет</w:t>
      </w:r>
      <w:r w:rsidR="00F04CF6" w:rsidRPr="00F04CF6">
        <w:t>»</w:t>
      </w:r>
      <w:r w:rsidRPr="00F04CF6">
        <w:t>.</w:t>
      </w:r>
    </w:p>
    <w:p w14:paraId="2D0969B9" w14:textId="77777777" w:rsidR="00C9626D" w:rsidRPr="004A5F73" w:rsidRDefault="00C9626D" w:rsidP="00C9626D">
      <w:pPr>
        <w:pStyle w:val="SingleTxtG"/>
        <w:rPr>
          <w:i/>
        </w:rPr>
      </w:pPr>
      <w:bookmarkStart w:id="0" w:name="_Hlk92106570"/>
      <w:r w:rsidRPr="004A5F73">
        <w:rPr>
          <w:i/>
          <w:iCs/>
        </w:rPr>
        <w:t>Пункт 5.3</w:t>
      </w:r>
      <w:r w:rsidRPr="004A5F73">
        <w:t xml:space="preserve"> изменить следующим образом:</w:t>
      </w:r>
      <w:bookmarkEnd w:id="0"/>
    </w:p>
    <w:p w14:paraId="5D29A96F" w14:textId="3A62DA66" w:rsidR="00C9626D" w:rsidRPr="003D09F6" w:rsidRDefault="00F04CF6" w:rsidP="00C9626D">
      <w:pPr>
        <w:pStyle w:val="para"/>
        <w:rPr>
          <w:lang w:val="ru-RU"/>
        </w:rPr>
      </w:pPr>
      <w:r>
        <w:rPr>
          <w:lang w:val="ru-RU"/>
        </w:rPr>
        <w:t>«</w:t>
      </w:r>
      <w:r w:rsidR="00C9626D" w:rsidRPr="004A5F73">
        <w:rPr>
          <w:lang w:val="ru-RU"/>
        </w:rPr>
        <w:t>5.3</w:t>
      </w:r>
      <w:r w:rsidR="00C9626D" w:rsidRPr="004A5F73">
        <w:rPr>
          <w:lang w:val="ru-RU"/>
        </w:rPr>
        <w:tab/>
        <w:t>Электромеханические и электронные устройства для предотвращения</w:t>
      </w:r>
      <w:r w:rsidR="00C9626D">
        <w:rPr>
          <w:lang w:val="ru-RU"/>
        </w:rPr>
        <w:t xml:space="preserve"> несанкционированного использования </w:t>
      </w:r>
      <w:r w:rsidR="00C9626D">
        <w:rPr>
          <w:b/>
          <w:bCs/>
          <w:lang w:val="ru-RU"/>
        </w:rPr>
        <w:t xml:space="preserve">должны отвечать требованиям пунктов 5.1 и 5.2 и </w:t>
      </w:r>
      <w:r w:rsidR="00C9626D">
        <w:rPr>
          <w:lang w:val="ru-RU"/>
        </w:rPr>
        <w:t>представляются</w:t>
      </w:r>
      <w:r w:rsidR="00C9626D">
        <w:rPr>
          <w:b/>
          <w:bCs/>
          <w:lang w:val="ru-RU"/>
        </w:rPr>
        <w:t>, mutatis mutandis,</w:t>
      </w:r>
      <w:r w:rsidR="00C9626D">
        <w:rPr>
          <w:lang w:val="ru-RU"/>
        </w:rPr>
        <w:t xml:space="preserve"> для испытаний, описание которых приведено в приложении 6.</w:t>
      </w:r>
    </w:p>
    <w:p w14:paraId="2255EF40" w14:textId="47E63B26" w:rsidR="00C9626D" w:rsidRPr="00F1333A" w:rsidRDefault="00C9626D" w:rsidP="00C9626D">
      <w:pPr>
        <w:pStyle w:val="para"/>
        <w:ind w:firstLine="0"/>
        <w:rPr>
          <w:b/>
          <w:lang w:val="ru-RU"/>
        </w:rPr>
      </w:pPr>
      <w:r>
        <w:rPr>
          <w:b/>
          <w:bCs/>
          <w:lang w:val="ru-RU"/>
        </w:rPr>
        <w:t>Компоненты, которые не встроены в транспортное средство (например ключи, которые не используются для активации/</w:t>
      </w:r>
      <w:r w:rsidR="00C97ECD" w:rsidRPr="00C97ECD">
        <w:rPr>
          <w:b/>
          <w:bCs/>
          <w:lang w:val="ru-RU"/>
        </w:rPr>
        <w:t xml:space="preserve"> </w:t>
      </w:r>
      <w:r>
        <w:rPr>
          <w:b/>
          <w:bCs/>
          <w:lang w:val="ru-RU"/>
        </w:rPr>
        <w:t>дезактивации), могут не отвечать требованиям, изложенным в приложении 6.</w:t>
      </w:r>
    </w:p>
    <w:p w14:paraId="55C8419E" w14:textId="420B48B0" w:rsidR="00C9626D" w:rsidRPr="003D09F6" w:rsidRDefault="00C9626D" w:rsidP="00C9626D">
      <w:pPr>
        <w:pStyle w:val="para"/>
        <w:ind w:firstLine="0"/>
        <w:rPr>
          <w:lang w:val="ru-RU"/>
        </w:rPr>
      </w:pPr>
      <w:r>
        <w:rPr>
          <w:b/>
          <w:bCs/>
          <w:lang w:val="ru-RU"/>
        </w:rPr>
        <w:t>Если технология использования устройства такова, что пункт 5 и приложение 6 не применимы, то следует проверить, были ли приняты надлежащие меры по сохранению безопасности транспортного средства.</w:t>
      </w:r>
      <w:r>
        <w:rPr>
          <w:lang w:val="ru-RU"/>
        </w:rPr>
        <w:t xml:space="preserve"> </w:t>
      </w:r>
      <w:r>
        <w:rPr>
          <w:b/>
          <w:bCs/>
          <w:lang w:val="ru-RU"/>
        </w:rPr>
        <w:t xml:space="preserve">Процесс функционирования этих устройств должен предполагать использование средств безопасности, </w:t>
      </w:r>
      <w:r>
        <w:rPr>
          <w:b/>
          <w:bCs/>
          <w:lang w:val="ru-RU"/>
        </w:rPr>
        <w:lastRenderedPageBreak/>
        <w:t>позволяющих предотвратить любой риск блокировки или случайного сбоя в работе, что могло бы создать проблемы с точки зрения безопасности транспортного средства</w:t>
      </w:r>
      <w:r w:rsidR="00F04CF6" w:rsidRPr="00F04CF6">
        <w:rPr>
          <w:lang w:val="ru-RU"/>
        </w:rPr>
        <w:t>»</w:t>
      </w:r>
      <w:r w:rsidRPr="00F04CF6">
        <w:rPr>
          <w:lang w:val="ru-RU"/>
        </w:rPr>
        <w:t>.</w:t>
      </w:r>
    </w:p>
    <w:p w14:paraId="7E8A1C4B" w14:textId="77777777" w:rsidR="00C9626D" w:rsidRPr="003D09F6" w:rsidRDefault="00C9626D" w:rsidP="00C9626D">
      <w:pPr>
        <w:pStyle w:val="para"/>
        <w:ind w:left="1170" w:firstLine="0"/>
        <w:rPr>
          <w:lang w:val="ru-RU"/>
        </w:rPr>
      </w:pPr>
      <w:r>
        <w:rPr>
          <w:i/>
          <w:iCs/>
          <w:lang w:val="ru-RU"/>
        </w:rPr>
        <w:t xml:space="preserve">Пункты 6.1–6.3 </w:t>
      </w:r>
      <w:r>
        <w:rPr>
          <w:lang w:val="ru-RU"/>
        </w:rPr>
        <w:t>исключить.</w:t>
      </w:r>
    </w:p>
    <w:p w14:paraId="136C578B" w14:textId="77777777" w:rsidR="00C9626D" w:rsidRPr="003D09F6" w:rsidRDefault="00C9626D" w:rsidP="00C9626D">
      <w:pPr>
        <w:pStyle w:val="para"/>
        <w:ind w:left="1170" w:firstLine="0"/>
        <w:rPr>
          <w:lang w:val="ru-RU"/>
        </w:rPr>
      </w:pPr>
      <w:r>
        <w:rPr>
          <w:i/>
          <w:iCs/>
          <w:lang w:val="ru-RU"/>
        </w:rPr>
        <w:t>Включить новые пункты 6.1–6.3</w:t>
      </w:r>
      <w:r>
        <w:rPr>
          <w:lang w:val="ru-RU"/>
        </w:rPr>
        <w:t xml:space="preserve"> следующего содержания:</w:t>
      </w:r>
    </w:p>
    <w:p w14:paraId="3E67315C" w14:textId="31BBA2C7" w:rsidR="00C9626D" w:rsidRPr="006214D1" w:rsidRDefault="00F04CF6" w:rsidP="00C9626D">
      <w:pPr>
        <w:pStyle w:val="af3"/>
        <w:tabs>
          <w:tab w:val="left" w:pos="2268"/>
        </w:tabs>
        <w:suppressAutoHyphens/>
        <w:spacing w:before="120" w:after="120"/>
        <w:ind w:left="2262" w:right="992" w:hanging="1092"/>
        <w:jc w:val="both"/>
        <w:rPr>
          <w:rFonts w:ascii="Times New Roman" w:hAnsi="Times New Roman"/>
          <w:b/>
          <w:bCs/>
          <w:sz w:val="20"/>
          <w:szCs w:val="20"/>
        </w:rPr>
      </w:pPr>
      <w:r>
        <w:rPr>
          <w:rFonts w:ascii="Times New Roman" w:hAnsi="Times New Roman"/>
          <w:sz w:val="20"/>
          <w:szCs w:val="20"/>
          <w:lang w:val="ru-RU"/>
        </w:rPr>
        <w:t>«</w:t>
      </w:r>
      <w:r w:rsidR="00C9626D" w:rsidRPr="006214D1">
        <w:rPr>
          <w:rFonts w:ascii="Times New Roman" w:hAnsi="Times New Roman"/>
          <w:b/>
          <w:bCs/>
          <w:sz w:val="20"/>
          <w:szCs w:val="20"/>
          <w:lang w:val="ru-RU"/>
        </w:rPr>
        <w:t>6.1</w:t>
      </w:r>
      <w:r w:rsidR="00C9626D" w:rsidRPr="006214D1">
        <w:rPr>
          <w:rFonts w:ascii="Times New Roman" w:hAnsi="Times New Roman"/>
          <w:sz w:val="20"/>
          <w:szCs w:val="20"/>
          <w:lang w:val="ru-RU"/>
        </w:rPr>
        <w:tab/>
      </w:r>
      <w:r w:rsidR="00C9626D" w:rsidRPr="006214D1">
        <w:rPr>
          <w:rFonts w:ascii="Times New Roman" w:hAnsi="Times New Roman"/>
          <w:b/>
          <w:bCs/>
          <w:sz w:val="20"/>
          <w:szCs w:val="20"/>
          <w:lang w:val="ru-RU"/>
        </w:rPr>
        <w:t xml:space="preserve">Каждое изменение типа транспортного средства или </w:t>
      </w:r>
      <w:r w:rsidR="00C9626D">
        <w:rPr>
          <w:rFonts w:ascii="Times New Roman" w:hAnsi="Times New Roman"/>
          <w:b/>
          <w:bCs/>
          <w:sz w:val="20"/>
          <w:szCs w:val="20"/>
          <w:lang w:val="ru-RU"/>
        </w:rPr>
        <w:t xml:space="preserve">типа </w:t>
      </w:r>
      <w:r w:rsidR="00C9626D" w:rsidRPr="006214D1">
        <w:rPr>
          <w:rFonts w:ascii="Times New Roman" w:hAnsi="Times New Roman"/>
          <w:b/>
          <w:bCs/>
          <w:sz w:val="20"/>
          <w:szCs w:val="20"/>
          <w:lang w:val="ru-RU"/>
        </w:rPr>
        <w:t>компонента, имеющее отношение к настоящим Правилам, доводят до сведения административного органа, который предоставил официальное утверждение данного типа транспортного средства или компонента.</w:t>
      </w:r>
      <w:r w:rsidR="00C9626D" w:rsidRPr="006214D1">
        <w:rPr>
          <w:rFonts w:ascii="Times New Roman" w:hAnsi="Times New Roman"/>
          <w:sz w:val="20"/>
          <w:szCs w:val="20"/>
          <w:lang w:val="ru-RU"/>
        </w:rPr>
        <w:t xml:space="preserve"> </w:t>
      </w:r>
      <w:r w:rsidR="00C9626D" w:rsidRPr="006214D1">
        <w:rPr>
          <w:rFonts w:ascii="Times New Roman" w:hAnsi="Times New Roman"/>
          <w:b/>
          <w:bCs/>
          <w:sz w:val="20"/>
          <w:szCs w:val="20"/>
          <w:lang w:val="ru-RU"/>
        </w:rPr>
        <w:t>Этот орган может:</w:t>
      </w:r>
    </w:p>
    <w:p w14:paraId="17DD634D" w14:textId="08F1C06D" w:rsidR="00C9626D" w:rsidRPr="006214D1" w:rsidRDefault="00C9626D" w:rsidP="00C9626D">
      <w:pPr>
        <w:pStyle w:val="af3"/>
        <w:tabs>
          <w:tab w:val="left" w:pos="2268"/>
        </w:tabs>
        <w:suppressAutoHyphens/>
        <w:spacing w:before="120" w:after="120"/>
        <w:ind w:left="2262" w:right="992" w:hanging="1092"/>
        <w:jc w:val="both"/>
        <w:rPr>
          <w:rFonts w:ascii="Times New Roman" w:hAnsi="Times New Roman"/>
          <w:b/>
          <w:bCs/>
          <w:sz w:val="20"/>
          <w:szCs w:val="20"/>
        </w:rPr>
      </w:pPr>
      <w:r w:rsidRPr="006214D1">
        <w:rPr>
          <w:rFonts w:ascii="Times New Roman" w:hAnsi="Times New Roman"/>
          <w:b/>
          <w:bCs/>
          <w:sz w:val="20"/>
          <w:szCs w:val="20"/>
          <w:lang w:val="ru-RU"/>
        </w:rPr>
        <w:t>6.1.1</w:t>
      </w:r>
      <w:r w:rsidRPr="006214D1">
        <w:rPr>
          <w:rFonts w:ascii="Times New Roman" w:hAnsi="Times New Roman"/>
          <w:sz w:val="20"/>
          <w:szCs w:val="20"/>
          <w:lang w:val="ru-RU"/>
        </w:rPr>
        <w:tab/>
      </w:r>
      <w:r w:rsidRPr="006214D1">
        <w:rPr>
          <w:rFonts w:ascii="Times New Roman" w:hAnsi="Times New Roman"/>
          <w:b/>
          <w:bCs/>
          <w:sz w:val="20"/>
          <w:szCs w:val="20"/>
          <w:lang w:val="ru-RU"/>
        </w:rPr>
        <w:t>либо прийти к заключению,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w:t>
      </w:r>
      <w:r w:rsidR="00B97535">
        <w:rPr>
          <w:rFonts w:ascii="Times New Roman" w:hAnsi="Times New Roman"/>
          <w:b/>
          <w:bCs/>
          <w:sz w:val="20"/>
          <w:szCs w:val="20"/>
          <w:lang w:val="ru-RU"/>
        </w:rPr>
        <w:noBreakHyphen/>
      </w:r>
      <w:r w:rsidRPr="006214D1">
        <w:rPr>
          <w:rFonts w:ascii="Times New Roman" w:hAnsi="Times New Roman"/>
          <w:b/>
          <w:bCs/>
          <w:sz w:val="20"/>
          <w:szCs w:val="20"/>
          <w:lang w:val="ru-RU"/>
        </w:rPr>
        <w:t>прежнему соответствует предписаниям</w:t>
      </w:r>
      <w:r>
        <w:rPr>
          <w:rFonts w:ascii="Times New Roman" w:hAnsi="Times New Roman"/>
          <w:b/>
          <w:bCs/>
          <w:sz w:val="20"/>
          <w:szCs w:val="20"/>
          <w:lang w:val="ru-RU"/>
        </w:rPr>
        <w:t>;</w:t>
      </w:r>
      <w:r w:rsidR="00B97535" w:rsidRPr="00B97535">
        <w:rPr>
          <w:rFonts w:ascii="Times New Roman" w:hAnsi="Times New Roman"/>
          <w:b/>
          <w:bCs/>
          <w:sz w:val="20"/>
          <w:szCs w:val="20"/>
          <w:lang w:val="ru-RU"/>
        </w:rPr>
        <w:t xml:space="preserve"> </w:t>
      </w:r>
      <w:r w:rsidR="00B97535" w:rsidRPr="006214D1">
        <w:rPr>
          <w:rFonts w:ascii="Times New Roman" w:hAnsi="Times New Roman"/>
          <w:b/>
          <w:bCs/>
          <w:sz w:val="20"/>
          <w:szCs w:val="20"/>
          <w:lang w:val="ru-RU"/>
        </w:rPr>
        <w:t>либо</w:t>
      </w:r>
    </w:p>
    <w:p w14:paraId="23374263" w14:textId="5B8A5F7C" w:rsidR="00C9626D" w:rsidRPr="006214D1" w:rsidRDefault="00C9626D" w:rsidP="00C9626D">
      <w:pPr>
        <w:pStyle w:val="af3"/>
        <w:tabs>
          <w:tab w:val="left" w:pos="2268"/>
        </w:tabs>
        <w:suppressAutoHyphens/>
        <w:spacing w:before="120" w:after="120"/>
        <w:ind w:left="2262" w:right="992" w:hanging="1092"/>
        <w:jc w:val="both"/>
        <w:rPr>
          <w:rFonts w:ascii="Times New Roman" w:hAnsi="Times New Roman"/>
          <w:b/>
          <w:bCs/>
          <w:sz w:val="20"/>
          <w:szCs w:val="20"/>
        </w:rPr>
      </w:pPr>
      <w:r w:rsidRPr="006214D1">
        <w:rPr>
          <w:rFonts w:ascii="Times New Roman" w:hAnsi="Times New Roman"/>
          <w:b/>
          <w:bCs/>
          <w:sz w:val="20"/>
          <w:szCs w:val="20"/>
          <w:lang w:val="ru-RU"/>
        </w:rPr>
        <w:t>6.1.2</w:t>
      </w:r>
      <w:r w:rsidRPr="006214D1">
        <w:rPr>
          <w:rFonts w:ascii="Times New Roman" w:hAnsi="Times New Roman"/>
          <w:sz w:val="20"/>
          <w:szCs w:val="20"/>
          <w:lang w:val="ru-RU"/>
        </w:rPr>
        <w:tab/>
      </w:r>
      <w:r w:rsidRPr="006214D1">
        <w:rPr>
          <w:rFonts w:ascii="Times New Roman" w:hAnsi="Times New Roman"/>
          <w:b/>
          <w:bCs/>
          <w:sz w:val="20"/>
          <w:szCs w:val="20"/>
          <w:lang w:val="ru-RU"/>
        </w:rPr>
        <w:t>потребовать от технической службы, уполномоченной проводить испытания, дополнительный протокол.</w:t>
      </w:r>
    </w:p>
    <w:p w14:paraId="19FA9966" w14:textId="77777777" w:rsidR="00C9626D" w:rsidRPr="006214D1" w:rsidRDefault="00C9626D" w:rsidP="00C9626D">
      <w:pPr>
        <w:pStyle w:val="af3"/>
        <w:tabs>
          <w:tab w:val="left" w:pos="2268"/>
        </w:tabs>
        <w:suppressAutoHyphens/>
        <w:spacing w:before="120" w:after="120"/>
        <w:ind w:left="2262" w:right="992" w:hanging="1092"/>
        <w:jc w:val="both"/>
        <w:rPr>
          <w:rFonts w:ascii="Times New Roman" w:hAnsi="Times New Roman"/>
          <w:b/>
          <w:bCs/>
          <w:sz w:val="20"/>
          <w:szCs w:val="20"/>
        </w:rPr>
      </w:pPr>
      <w:r w:rsidRPr="006214D1">
        <w:rPr>
          <w:rFonts w:ascii="Times New Roman" w:hAnsi="Times New Roman"/>
          <w:b/>
          <w:bCs/>
          <w:sz w:val="20"/>
          <w:szCs w:val="20"/>
          <w:lang w:val="ru-RU"/>
        </w:rPr>
        <w:t>6.2</w:t>
      </w:r>
      <w:r w:rsidRPr="006214D1">
        <w:rPr>
          <w:rFonts w:ascii="Times New Roman" w:hAnsi="Times New Roman"/>
          <w:sz w:val="20"/>
          <w:szCs w:val="20"/>
          <w:lang w:val="ru-RU"/>
        </w:rPr>
        <w:tab/>
      </w:r>
      <w:r w:rsidRPr="006214D1">
        <w:rPr>
          <w:rFonts w:ascii="Times New Roman" w:hAnsi="Times New Roman"/>
          <w:b/>
          <w:bCs/>
          <w:sz w:val="20"/>
          <w:szCs w:val="20"/>
          <w:lang w:val="ru-RU"/>
        </w:rPr>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 4.3 выше.</w:t>
      </w:r>
    </w:p>
    <w:p w14:paraId="3DDB91D5" w14:textId="3D1B39A6" w:rsidR="00C9626D" w:rsidRPr="006214D1" w:rsidRDefault="00C9626D" w:rsidP="00C9626D">
      <w:pPr>
        <w:pStyle w:val="af3"/>
        <w:tabs>
          <w:tab w:val="left" w:pos="2268"/>
        </w:tabs>
        <w:suppressAutoHyphens/>
        <w:spacing w:before="120" w:after="120"/>
        <w:ind w:left="2262" w:right="992" w:hanging="1092"/>
        <w:jc w:val="both"/>
        <w:rPr>
          <w:rFonts w:ascii="Times New Roman" w:hAnsi="Times New Roman"/>
          <w:b/>
          <w:bCs/>
          <w:sz w:val="20"/>
          <w:szCs w:val="20"/>
        </w:rPr>
      </w:pPr>
      <w:r w:rsidRPr="006214D1">
        <w:rPr>
          <w:rFonts w:ascii="Times New Roman" w:hAnsi="Times New Roman"/>
          <w:b/>
          <w:bCs/>
          <w:sz w:val="20"/>
          <w:szCs w:val="20"/>
          <w:lang w:val="ru-RU"/>
        </w:rPr>
        <w:t>6.3</w:t>
      </w:r>
      <w:r w:rsidRPr="006214D1">
        <w:rPr>
          <w:rFonts w:ascii="Times New Roman" w:hAnsi="Times New Roman"/>
          <w:sz w:val="20"/>
          <w:szCs w:val="20"/>
          <w:lang w:val="ru-RU"/>
        </w:rPr>
        <w:tab/>
      </w:r>
      <w:r w:rsidRPr="006214D1">
        <w:rPr>
          <w:rFonts w:ascii="Times New Roman" w:hAnsi="Times New Roman"/>
          <w:b/>
          <w:bCs/>
          <w:sz w:val="20"/>
          <w:szCs w:val="20"/>
          <w:lang w:val="ru-RU"/>
        </w:rPr>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w:t>
      </w:r>
      <w:r w:rsidRPr="006214D1">
        <w:rPr>
          <w:rFonts w:ascii="Times New Roman" w:hAnsi="Times New Roman"/>
          <w:sz w:val="20"/>
          <w:szCs w:val="20"/>
          <w:lang w:val="ru-RU"/>
        </w:rPr>
        <w:t xml:space="preserve"> </w:t>
      </w:r>
      <w:r w:rsidRPr="006214D1">
        <w:rPr>
          <w:rFonts w:ascii="Times New Roman" w:hAnsi="Times New Roman"/>
          <w:b/>
          <w:bCs/>
          <w:sz w:val="20"/>
          <w:szCs w:val="20"/>
          <w:lang w:val="ru-RU"/>
        </w:rPr>
        <w:t>Он</w:t>
      </w:r>
      <w:r>
        <w:rPr>
          <w:rFonts w:ascii="Times New Roman" w:hAnsi="Times New Roman"/>
          <w:b/>
          <w:bCs/>
          <w:sz w:val="20"/>
          <w:szCs w:val="20"/>
          <w:lang w:val="ru-RU"/>
        </w:rPr>
        <w:t xml:space="preserve"> </w:t>
      </w:r>
      <w:r w:rsidRPr="006214D1">
        <w:rPr>
          <w:rFonts w:ascii="Times New Roman" w:hAnsi="Times New Roman"/>
          <w:b/>
          <w:bCs/>
          <w:sz w:val="20"/>
          <w:szCs w:val="20"/>
          <w:lang w:val="ru-RU"/>
        </w:rPr>
        <w:t>присваивает каждому распространению порядковый номер, который считается номером распространения</w:t>
      </w:r>
      <w:r w:rsidR="00F04CF6" w:rsidRPr="00F04CF6">
        <w:rPr>
          <w:rFonts w:ascii="Times New Roman" w:hAnsi="Times New Roman"/>
          <w:sz w:val="20"/>
          <w:szCs w:val="20"/>
          <w:lang w:val="ru-RU"/>
        </w:rPr>
        <w:t>»</w:t>
      </w:r>
      <w:r w:rsidRPr="00F04CF6">
        <w:rPr>
          <w:rFonts w:ascii="Times New Roman" w:hAnsi="Times New Roman"/>
          <w:sz w:val="20"/>
          <w:szCs w:val="20"/>
          <w:lang w:val="ru-RU"/>
        </w:rPr>
        <w:t>.</w:t>
      </w:r>
      <w:bookmarkStart w:id="1" w:name="_Hlk92098654"/>
      <w:bookmarkEnd w:id="1"/>
    </w:p>
    <w:p w14:paraId="2B765F90" w14:textId="77777777" w:rsidR="00C9626D" w:rsidRPr="003D09F6" w:rsidRDefault="00C9626D" w:rsidP="00C9626D">
      <w:pPr>
        <w:spacing w:after="120"/>
        <w:ind w:left="1166"/>
        <w:rPr>
          <w:i/>
        </w:rPr>
      </w:pPr>
      <w:r>
        <w:rPr>
          <w:i/>
          <w:iCs/>
        </w:rPr>
        <w:t>Приложение 6, пункт 1</w:t>
      </w:r>
      <w:r>
        <w:t xml:space="preserve"> изменить следующим образом:</w:t>
      </w:r>
    </w:p>
    <w:p w14:paraId="773CE037" w14:textId="2B5EF58C" w:rsidR="00C9626D" w:rsidRPr="003D09F6" w:rsidRDefault="00F04CF6" w:rsidP="00C9626D">
      <w:pPr>
        <w:spacing w:after="120"/>
        <w:ind w:left="2268" w:right="1133" w:hanging="1133"/>
        <w:jc w:val="both"/>
        <w:rPr>
          <w:bCs/>
        </w:rPr>
      </w:pPr>
      <w:r>
        <w:t>«</w:t>
      </w:r>
      <w:r w:rsidR="00C9626D" w:rsidRPr="006A3CAE">
        <w:t>1.</w:t>
      </w:r>
      <w:r w:rsidR="00C9626D" w:rsidRPr="006A3CAE">
        <w:tab/>
      </w:r>
      <w:r w:rsidR="00C9626D">
        <w:t>Эксплуатационные параметры</w:t>
      </w:r>
    </w:p>
    <w:p w14:paraId="75729411" w14:textId="77777777" w:rsidR="00C9626D" w:rsidRPr="003D09F6" w:rsidRDefault="00C9626D" w:rsidP="00C9626D">
      <w:pPr>
        <w:spacing w:after="120"/>
        <w:ind w:left="2268" w:right="1133"/>
        <w:jc w:val="both"/>
        <w:rPr>
          <w:bCs/>
        </w:rPr>
      </w:pPr>
      <w:r>
        <w:t>Приведенные ниже требования не применяются:</w:t>
      </w:r>
    </w:p>
    <w:p w14:paraId="47A73434" w14:textId="1825B9B6" w:rsidR="00C9626D" w:rsidRPr="00F1333A" w:rsidRDefault="00C9626D" w:rsidP="00C9626D">
      <w:pPr>
        <w:spacing w:after="120"/>
        <w:ind w:left="2835" w:right="1133" w:hanging="566"/>
        <w:jc w:val="both"/>
        <w:rPr>
          <w:bCs/>
        </w:rPr>
      </w:pPr>
      <w:r>
        <w:t>a)</w:t>
      </w:r>
      <w:r>
        <w:tab/>
        <w:t>к тем компонентам, которые устанавливаются и испытываются в качестве части транспортного средства, независимо от того, установлена блокирующая система или нет (например, огни, система охранной сигнализации, иммобилизатор)</w:t>
      </w:r>
      <w:r w:rsidR="00893944">
        <w:t>;</w:t>
      </w:r>
      <w:r>
        <w:t xml:space="preserve"> или </w:t>
      </w:r>
    </w:p>
    <w:p w14:paraId="748A9B9C" w14:textId="77777777" w:rsidR="00C9626D" w:rsidRPr="003D09F6" w:rsidRDefault="00C9626D" w:rsidP="00C9626D">
      <w:pPr>
        <w:spacing w:after="120"/>
        <w:ind w:left="2835" w:right="1133" w:hanging="566"/>
        <w:jc w:val="both"/>
        <w:rPr>
          <w:b/>
        </w:rPr>
      </w:pPr>
      <w:r>
        <w:t>b)</w:t>
      </w:r>
      <w:r>
        <w:tab/>
        <w:t>к тем компонентам, которые ранее были подвергнуты испытанию в качестве части транспортного средства, если представлено документальное подтверждение</w:t>
      </w:r>
      <w:r>
        <w:rPr>
          <w:strike/>
        </w:rPr>
        <w:t>.</w:t>
      </w:r>
      <w:r>
        <w:rPr>
          <w:b/>
          <w:bCs/>
        </w:rPr>
        <w:t>, или</w:t>
      </w:r>
    </w:p>
    <w:p w14:paraId="04809F05" w14:textId="77777777" w:rsidR="00C9626D" w:rsidRPr="00F1333A" w:rsidRDefault="00C9626D" w:rsidP="00C9626D">
      <w:pPr>
        <w:spacing w:after="120"/>
        <w:ind w:left="2835" w:right="1133" w:hanging="566"/>
        <w:jc w:val="both"/>
        <w:rPr>
          <w:b/>
        </w:rPr>
      </w:pPr>
      <w:r>
        <w:rPr>
          <w:b/>
          <w:bCs/>
        </w:rPr>
        <w:t>c)</w:t>
      </w:r>
      <w:r>
        <w:tab/>
      </w:r>
      <w:r>
        <w:rPr>
          <w:b/>
          <w:bCs/>
        </w:rPr>
        <w:t>к компонентам, которые не встроены в транспортное средство, например к ключам.</w:t>
      </w:r>
    </w:p>
    <w:p w14:paraId="5561334B" w14:textId="6C7926CE" w:rsidR="00C9626D" w:rsidRPr="003D09F6" w:rsidRDefault="00C9626D" w:rsidP="00C9626D">
      <w:pPr>
        <w:spacing w:before="120" w:line="240" w:lineRule="auto"/>
        <w:ind w:left="2250" w:right="1140"/>
        <w:jc w:val="both"/>
        <w:rPr>
          <w:rFonts w:eastAsia="DengXian"/>
          <w:b/>
          <w:bCs/>
        </w:rPr>
      </w:pPr>
      <w:r>
        <w:t>Все компоненты блокирующей системы должны функционировать без каких-либо нарушений в нижеследующих условиях</w:t>
      </w:r>
      <w:r w:rsidR="00F04CF6">
        <w:t>»</w:t>
      </w:r>
      <w:r>
        <w:t>.</w:t>
      </w:r>
    </w:p>
    <w:p w14:paraId="0CF9B218" w14:textId="77777777" w:rsidR="00C9626D" w:rsidRPr="00EF7F0E" w:rsidRDefault="00C9626D" w:rsidP="00C9626D">
      <w:pPr>
        <w:pStyle w:val="HChG"/>
        <w:rPr>
          <w:b w:val="0"/>
        </w:rPr>
      </w:pPr>
      <w:r>
        <w:rPr>
          <w:bCs/>
        </w:rPr>
        <w:tab/>
        <w:t>II.</w:t>
      </w:r>
      <w:r>
        <w:tab/>
      </w:r>
      <w:r>
        <w:rPr>
          <w:bCs/>
        </w:rPr>
        <w:t>Обоснование</w:t>
      </w:r>
    </w:p>
    <w:p w14:paraId="33625AF5" w14:textId="00C68D82" w:rsidR="00C9626D" w:rsidRPr="003D09F6" w:rsidRDefault="00F04CF6" w:rsidP="00893944">
      <w:pPr>
        <w:pStyle w:val="SingleTxtG"/>
        <w:tabs>
          <w:tab w:val="clear" w:pos="1701"/>
          <w:tab w:val="clear" w:pos="2268"/>
          <w:tab w:val="clear" w:pos="2835"/>
        </w:tabs>
      </w:pPr>
      <w:r>
        <w:t>1.</w:t>
      </w:r>
      <w:r>
        <w:tab/>
      </w:r>
      <w:r w:rsidR="00C9626D">
        <w:rPr>
          <w:b/>
          <w:bCs/>
        </w:rPr>
        <w:t>Пункт 1</w:t>
      </w:r>
      <w:r w:rsidR="00893944" w:rsidRPr="00893944">
        <w:t>.</w:t>
      </w:r>
      <w:r w:rsidR="00893944">
        <w:rPr>
          <w:b/>
          <w:bCs/>
        </w:rPr>
        <w:t xml:space="preserve"> </w:t>
      </w:r>
      <w:r w:rsidR="00C9626D">
        <w:t>Разделение Правил № 116 ООН дает, помимо прочего, возможность уточнить область применения правил. Теперь область применения Правил № 161 ООН, касающихся устройств для предотвращения несанкционированного использования, распределена по четырем подразделам:</w:t>
      </w:r>
    </w:p>
    <w:p w14:paraId="5F48282B" w14:textId="4A5728CC" w:rsidR="00C9626D" w:rsidRPr="00F04CF6" w:rsidRDefault="00F04CF6" w:rsidP="00F04CF6">
      <w:pPr>
        <w:pStyle w:val="SingleTxtG"/>
      </w:pPr>
      <w:r>
        <w:tab/>
      </w:r>
      <w:r w:rsidRPr="00F04CF6">
        <w:t>a)</w:t>
      </w:r>
      <w:r w:rsidRPr="00F04CF6">
        <w:tab/>
      </w:r>
      <w:r w:rsidR="00C9626D" w:rsidRPr="00F04CF6">
        <w:t>устройства для предотвращения несанкционированного использования;</w:t>
      </w:r>
    </w:p>
    <w:p w14:paraId="6E39D82E" w14:textId="0CC4F500" w:rsidR="00C9626D" w:rsidRPr="00F04CF6" w:rsidRDefault="00F04CF6" w:rsidP="00F04CF6">
      <w:pPr>
        <w:pStyle w:val="SingleTxtG"/>
      </w:pPr>
      <w:r>
        <w:tab/>
      </w:r>
      <w:r w:rsidRPr="00F04CF6">
        <w:t>b)</w:t>
      </w:r>
      <w:r w:rsidRPr="00F04CF6">
        <w:tab/>
      </w:r>
      <w:r w:rsidR="00C9626D" w:rsidRPr="00F04CF6">
        <w:t>транспортные средства категории M</w:t>
      </w:r>
      <w:r w:rsidR="00C9626D" w:rsidRPr="00893944">
        <w:rPr>
          <w:vertAlign w:val="subscript"/>
        </w:rPr>
        <w:t>1</w:t>
      </w:r>
      <w:r w:rsidR="00C9626D" w:rsidRPr="00F04CF6">
        <w:t>/N</w:t>
      </w:r>
      <w:r w:rsidR="00C9626D" w:rsidRPr="00893944">
        <w:rPr>
          <w:vertAlign w:val="subscript"/>
        </w:rPr>
        <w:t>1</w:t>
      </w:r>
      <w:r w:rsidR="00C9626D" w:rsidRPr="00F04CF6">
        <w:t>, оснащенные такими устройствами;</w:t>
      </w:r>
    </w:p>
    <w:p w14:paraId="3C273F64" w14:textId="7AF7C123" w:rsidR="00C9626D" w:rsidRPr="00F04CF6" w:rsidRDefault="00F04CF6" w:rsidP="00F04CF6">
      <w:pPr>
        <w:pStyle w:val="SingleTxtG"/>
      </w:pPr>
      <w:r>
        <w:tab/>
      </w:r>
      <w:r w:rsidRPr="00F04CF6">
        <w:t>c)</w:t>
      </w:r>
      <w:r w:rsidRPr="00F04CF6">
        <w:tab/>
      </w:r>
      <w:r w:rsidR="00C9626D" w:rsidRPr="00F04CF6">
        <w:t>другие транспортные средства — по просьбе изготовителя;</w:t>
      </w:r>
    </w:p>
    <w:p w14:paraId="48B7C1B5" w14:textId="0DB94824" w:rsidR="00C9626D" w:rsidRPr="00F04CF6" w:rsidRDefault="00F04CF6" w:rsidP="00F04CF6">
      <w:pPr>
        <w:pStyle w:val="SingleTxtG"/>
      </w:pPr>
      <w:r>
        <w:lastRenderedPageBreak/>
        <w:tab/>
      </w:r>
      <w:r w:rsidRPr="00F04CF6">
        <w:t>d)</w:t>
      </w:r>
      <w:r w:rsidRPr="00F04CF6">
        <w:tab/>
      </w:r>
      <w:r w:rsidR="00C9626D" w:rsidRPr="00F04CF6">
        <w:t>исключение частот передачи радиосигналов.</w:t>
      </w:r>
    </w:p>
    <w:p w14:paraId="4C8F298D" w14:textId="77777777" w:rsidR="00C9626D" w:rsidRPr="003D09F6" w:rsidRDefault="00C9626D" w:rsidP="006640AE">
      <w:pPr>
        <w:pStyle w:val="SingleTxtG"/>
        <w:ind w:firstLine="567"/>
      </w:pPr>
      <w:r>
        <w:t>Такая структура хорошо показывает, какие категории транспортных средств входят или не входят в область применения, а также какие разделы Правил ООН применяются к каким транспортным средствам/устройствам. Предложение отражает формулировку, предложенную в неофициальном документе GRSG-122-21, принятом (в принципе) на сто двадцать второй сессии GRSG (октябрь 2021 года).</w:t>
      </w:r>
    </w:p>
    <w:p w14:paraId="64DA288E" w14:textId="25CEB499" w:rsidR="00C9626D" w:rsidRPr="003D09F6" w:rsidRDefault="00F04CF6" w:rsidP="008D6E84">
      <w:pPr>
        <w:pStyle w:val="SingleTxtG"/>
      </w:pPr>
      <w:r>
        <w:t>2.</w:t>
      </w:r>
      <w:r>
        <w:tab/>
      </w:r>
      <w:r w:rsidR="00C9626D">
        <w:rPr>
          <w:b/>
          <w:bCs/>
        </w:rPr>
        <w:t>Пункт 5.3</w:t>
      </w:r>
      <w:r w:rsidR="00893944" w:rsidRPr="00893944">
        <w:t>.</w:t>
      </w:r>
      <w:r w:rsidR="00893944">
        <w:rPr>
          <w:b/>
          <w:bCs/>
        </w:rPr>
        <w:t xml:space="preserve"> </w:t>
      </w:r>
      <w:r w:rsidR="00C9626D" w:rsidRPr="008D6E84">
        <w:t>Первоначальный</w:t>
      </w:r>
      <w:r w:rsidR="00C9626D">
        <w:t xml:space="preserve"> пункт 5.4 Правил № 116 ООН гласил:</w:t>
      </w:r>
    </w:p>
    <w:p w14:paraId="2052AFDF" w14:textId="7059CC00" w:rsidR="00C9626D" w:rsidRPr="003D09F6" w:rsidRDefault="00F04CF6" w:rsidP="00C9626D">
      <w:pPr>
        <w:tabs>
          <w:tab w:val="left" w:pos="2268"/>
        </w:tabs>
        <w:spacing w:before="120" w:after="120" w:line="240" w:lineRule="auto"/>
        <w:ind w:left="2268" w:right="1134" w:hanging="1134"/>
        <w:jc w:val="both"/>
      </w:pPr>
      <w:r>
        <w:t>«</w:t>
      </w:r>
      <w:r w:rsidR="00C9626D">
        <w:t>5.4</w:t>
      </w:r>
      <w:r w:rsidR="00C9626D">
        <w:tab/>
        <w:t>Электромеханические и электронные устройства для предотвращения несанкционированного использования</w:t>
      </w:r>
    </w:p>
    <w:p w14:paraId="1F31C126" w14:textId="77777777" w:rsidR="00C9626D" w:rsidRPr="00F1333A" w:rsidRDefault="00C9626D" w:rsidP="00C9626D">
      <w:pPr>
        <w:tabs>
          <w:tab w:val="left" w:pos="2268"/>
        </w:tabs>
        <w:spacing w:before="120" w:after="120" w:line="240" w:lineRule="auto"/>
        <w:ind w:left="2268" w:right="1134" w:hanging="1134"/>
        <w:jc w:val="both"/>
        <w:rPr>
          <w:bCs/>
        </w:rPr>
      </w:pPr>
      <w:r>
        <w:tab/>
        <w:t>Электромеханические и электронные устройства для предотвращения несанкционированного использования, если таковые установлены, должны mutatis mutandi</w:t>
      </w:r>
      <w:r>
        <w:rPr>
          <w:rFonts w:eastAsiaTheme="minorEastAsia" w:hint="eastAsia"/>
          <w:lang w:eastAsia="zh-CN"/>
        </w:rPr>
        <w:t>s</w:t>
      </w:r>
      <w:r>
        <w:t xml:space="preserve"> отвечать требованиям, предусмотренным в пунктах 5.2 и 5.3 выше и в пункте 8.4 ниже. </w:t>
      </w:r>
      <w:r>
        <w:rPr>
          <w:b/>
          <w:bCs/>
        </w:rPr>
        <w:t>Компоненты, которые не встроены в транспортное средство (например ключи, которые не используются для активации/дезактивации), могут не отвечать требованиям пункта 8.4.</w:t>
      </w:r>
    </w:p>
    <w:p w14:paraId="52CB9F0D" w14:textId="138041EA" w:rsidR="00C9626D" w:rsidRPr="003D09F6" w:rsidRDefault="00C9626D" w:rsidP="00C9626D">
      <w:pPr>
        <w:tabs>
          <w:tab w:val="left" w:pos="2268"/>
        </w:tabs>
        <w:spacing w:before="120" w:after="120" w:line="240" w:lineRule="auto"/>
        <w:ind w:left="2268" w:right="1134" w:hanging="1134"/>
        <w:jc w:val="both"/>
      </w:pPr>
      <w:r>
        <w:tab/>
        <w:t>Если технология использования данного устройства такова, что пункты 5, 6 и 8.4 не применяются, то необходимо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что могло бы создать проблемы с точки зрения безопасности транспортного средства</w:t>
      </w:r>
      <w:r w:rsidR="00F04CF6">
        <w:t>»</w:t>
      </w:r>
      <w:r>
        <w:t>.</w:t>
      </w:r>
    </w:p>
    <w:p w14:paraId="68A1A42A" w14:textId="35D26F33" w:rsidR="00C9626D" w:rsidRPr="003D09F6" w:rsidRDefault="00C9626D" w:rsidP="008D6E84">
      <w:pPr>
        <w:pStyle w:val="SingleTxtG"/>
        <w:ind w:firstLine="567"/>
      </w:pPr>
      <w:r>
        <w:t>Текст, выделенный жирным шрифтом, отражает дополнение 7 к первоначальному варианту Правил № 116 ООН</w:t>
      </w:r>
      <w:r w:rsidRPr="00C85CB2">
        <w:t>.</w:t>
      </w:r>
      <w:r>
        <w:t xml:space="preserve"> Предложение приводит текст Правил</w:t>
      </w:r>
      <w:r w:rsidR="008D6E84">
        <w:t> </w:t>
      </w:r>
      <w:r>
        <w:t>№ 161 ООН в соответствие с содержанием Правил № 116 ООН, включая дополнение</w:t>
      </w:r>
      <w:r w:rsidR="008D6E84">
        <w:t> </w:t>
      </w:r>
      <w:r>
        <w:t>7, путем:</w:t>
      </w:r>
    </w:p>
    <w:p w14:paraId="1C23D56C" w14:textId="24A347F9" w:rsidR="00C9626D" w:rsidRPr="00E6424A" w:rsidRDefault="00E6424A" w:rsidP="00E6424A">
      <w:pPr>
        <w:pStyle w:val="SingleTxtG"/>
      </w:pPr>
      <w:r>
        <w:tab/>
      </w:r>
      <w:r w:rsidR="00F04CF6" w:rsidRPr="00E6424A">
        <w:t>a)</w:t>
      </w:r>
      <w:r w:rsidR="00F04CF6" w:rsidRPr="00E6424A">
        <w:tab/>
      </w:r>
      <w:r w:rsidR="00C9626D" w:rsidRPr="00E6424A">
        <w:t xml:space="preserve">добавления ссылки на общие (пункты 5.2 -&gt; 5.1) и специфические (пункты 5.3 -&gt; 5.2) требования; </w:t>
      </w:r>
    </w:p>
    <w:p w14:paraId="25BF54DF" w14:textId="270CD90D" w:rsidR="00C9626D" w:rsidRPr="00E6424A" w:rsidRDefault="00E6424A" w:rsidP="00E6424A">
      <w:pPr>
        <w:pStyle w:val="SingleTxtG"/>
      </w:pPr>
      <w:r>
        <w:tab/>
      </w:r>
      <w:r w:rsidR="00F04CF6" w:rsidRPr="00E6424A">
        <w:t>b)</w:t>
      </w:r>
      <w:r w:rsidR="00F04CF6" w:rsidRPr="00E6424A">
        <w:tab/>
      </w:r>
      <w:r w:rsidR="00C9626D" w:rsidRPr="00E6424A">
        <w:t xml:space="preserve">добавления формулировки </w:t>
      </w:r>
      <w:r w:rsidR="00F04CF6" w:rsidRPr="00E6424A">
        <w:t>«</w:t>
      </w:r>
      <w:r w:rsidR="00C9626D" w:rsidRPr="00E6424A">
        <w:t>mutatis mutandis</w:t>
      </w:r>
      <w:r w:rsidR="00F04CF6" w:rsidRPr="00E6424A">
        <w:t>»</w:t>
      </w:r>
      <w:r w:rsidR="00C9626D" w:rsidRPr="00E6424A">
        <w:t>, с тем чтобы избежать условий испытания, которые не являются применимыми;</w:t>
      </w:r>
    </w:p>
    <w:p w14:paraId="3827B12D" w14:textId="32EF870A" w:rsidR="00C9626D" w:rsidRPr="00E6424A" w:rsidRDefault="00E6424A" w:rsidP="00E6424A">
      <w:pPr>
        <w:pStyle w:val="SingleTxtG"/>
      </w:pPr>
      <w:r>
        <w:tab/>
      </w:r>
      <w:r w:rsidR="00F04CF6" w:rsidRPr="00E6424A">
        <w:t>c)</w:t>
      </w:r>
      <w:r w:rsidR="00F04CF6" w:rsidRPr="00E6424A">
        <w:tab/>
      </w:r>
      <w:r w:rsidR="00C9626D" w:rsidRPr="00E6424A">
        <w:t>добавления последнего подпункта, касающегося случаев, когда требования не применимы к данной конкретной технологии; однако ссылка на систему сигнализации транспортного средства (прежний пункт 6) исключена.</w:t>
      </w:r>
    </w:p>
    <w:p w14:paraId="65C4CDBB" w14:textId="5E454609" w:rsidR="00C9626D" w:rsidRPr="00E6424A" w:rsidRDefault="00E6424A" w:rsidP="00E6424A">
      <w:pPr>
        <w:pStyle w:val="SingleTxtG"/>
      </w:pPr>
      <w:r>
        <w:tab/>
      </w:r>
      <w:r w:rsidR="00C9626D" w:rsidRPr="00E6424A">
        <w:t xml:space="preserve">В соответствии с замечаниями, полученными в ходе сто двадцать второй сессии GRSG (октябрь 2021 года), формулировка </w:t>
      </w:r>
      <w:r w:rsidR="00F04CF6" w:rsidRPr="00E6424A">
        <w:t>«</w:t>
      </w:r>
      <w:r w:rsidR="00C9626D" w:rsidRPr="00E6424A">
        <w:t>выхода из строя</w:t>
      </w:r>
      <w:r w:rsidR="00F04CF6" w:rsidRPr="00E6424A">
        <w:t>»</w:t>
      </w:r>
      <w:r w:rsidR="00C9626D" w:rsidRPr="00E6424A">
        <w:t xml:space="preserve"> заменена формулировкой </w:t>
      </w:r>
      <w:r w:rsidR="00F04CF6" w:rsidRPr="00E6424A">
        <w:t>«</w:t>
      </w:r>
      <w:r w:rsidR="00C9626D" w:rsidRPr="00E6424A">
        <w:t>сбоя в работе</w:t>
      </w:r>
      <w:r w:rsidR="00F04CF6" w:rsidRPr="00E6424A">
        <w:t>»</w:t>
      </w:r>
      <w:r w:rsidR="00C9626D" w:rsidRPr="00E6424A">
        <w:t>.</w:t>
      </w:r>
    </w:p>
    <w:p w14:paraId="355977C9" w14:textId="21F09604" w:rsidR="00C9626D" w:rsidRPr="00C72E2E" w:rsidRDefault="00F04CF6" w:rsidP="00E6424A">
      <w:pPr>
        <w:pStyle w:val="SingleTxtG"/>
        <w:tabs>
          <w:tab w:val="clear" w:pos="1701"/>
          <w:tab w:val="clear" w:pos="2268"/>
          <w:tab w:val="clear" w:pos="2835"/>
        </w:tabs>
        <w:ind w:left="1170" w:hanging="36"/>
      </w:pPr>
      <w:r w:rsidRPr="00A52324">
        <w:t>3.</w:t>
      </w:r>
      <w:r w:rsidRPr="00A52324">
        <w:tab/>
      </w:r>
      <w:r w:rsidR="00C9626D">
        <w:rPr>
          <w:b/>
          <w:bCs/>
        </w:rPr>
        <w:t>Пункты 6.1–6.3</w:t>
      </w:r>
      <w:r w:rsidR="00E6424A" w:rsidRPr="00E6424A">
        <w:t>.</w:t>
      </w:r>
      <w:r w:rsidR="00E6424A">
        <w:rPr>
          <w:b/>
          <w:bCs/>
        </w:rPr>
        <w:t xml:space="preserve"> </w:t>
      </w:r>
      <w:r w:rsidR="00C9626D">
        <w:t>В ходе разделения Правил № 116 ООН компоновка пункта 9 была нарушена, и был создан новый текст. Новая формулировка скопирована с формулировки, принятой для пункта 7 Правил № 160 ООН (СИТМ — см. документ ECE/TRANS/WP.29/2020/122), и приведена в соответствие с приложением 3 к Соглашению 1958 года.</w:t>
      </w:r>
    </w:p>
    <w:p w14:paraId="11A26865" w14:textId="53AA8B02" w:rsidR="00C9626D" w:rsidRPr="003D09F6" w:rsidRDefault="00F04CF6" w:rsidP="008D6E84">
      <w:pPr>
        <w:pStyle w:val="SingleTxtG"/>
      </w:pPr>
      <w:r w:rsidRPr="008D6E84">
        <w:t>4.</w:t>
      </w:r>
      <w:r>
        <w:rPr>
          <w:b/>
          <w:bCs/>
        </w:rPr>
        <w:tab/>
      </w:r>
      <w:r w:rsidR="00C9626D">
        <w:rPr>
          <w:b/>
          <w:bCs/>
        </w:rPr>
        <w:t>Приложение 6, пункт 1</w:t>
      </w:r>
      <w:r w:rsidR="00C9626D" w:rsidRPr="00E6424A">
        <w:t>.</w:t>
      </w:r>
      <w:r w:rsidR="00E6424A">
        <w:rPr>
          <w:b/>
          <w:bCs/>
        </w:rPr>
        <w:t xml:space="preserve"> </w:t>
      </w:r>
      <w:r w:rsidR="00C9626D" w:rsidRPr="008D6E84">
        <w:t>Дополнение</w:t>
      </w:r>
      <w:r w:rsidR="00C9626D">
        <w:t xml:space="preserve"> 7 к Правилам № 116 ООН вносит также изменения в первоначальный пункт 8.4.1, который аналогичен положениям приложения 6 новых Правил ООН, касающихся устройств для предотвращения несанкционированного использования. Текст дополнения 7 к Правилам № 116 ООН гласил:</w:t>
      </w:r>
    </w:p>
    <w:p w14:paraId="1E8B94BB" w14:textId="2A44312C" w:rsidR="00C9626D" w:rsidRPr="003D09F6" w:rsidRDefault="00F04CF6" w:rsidP="00C9626D">
      <w:pPr>
        <w:tabs>
          <w:tab w:val="left" w:pos="2268"/>
        </w:tabs>
        <w:spacing w:before="120" w:after="120" w:line="240" w:lineRule="auto"/>
        <w:ind w:left="2268" w:right="1134" w:hanging="1134"/>
        <w:jc w:val="both"/>
      </w:pPr>
      <w:r>
        <w:t>«</w:t>
      </w:r>
      <w:r w:rsidR="00C9626D">
        <w:t>8.4.1</w:t>
      </w:r>
      <w:r w:rsidR="00C9626D">
        <w:tab/>
        <w:t>Эксплуатационные параметры</w:t>
      </w:r>
    </w:p>
    <w:p w14:paraId="6BD57996" w14:textId="77777777" w:rsidR="00C9626D" w:rsidRPr="003D09F6" w:rsidRDefault="00C9626D" w:rsidP="00C9626D">
      <w:pPr>
        <w:tabs>
          <w:tab w:val="left" w:pos="2268"/>
        </w:tabs>
        <w:spacing w:before="120" w:after="120" w:line="240" w:lineRule="auto"/>
        <w:ind w:left="2268" w:right="1134" w:hanging="1134"/>
        <w:jc w:val="both"/>
      </w:pPr>
      <w:r>
        <w:tab/>
        <w:t>Все компоненты иммобилизатора должны отвечать предписаниям, изложенным в пункте 6.4 настоящих Правил.</w:t>
      </w:r>
    </w:p>
    <w:p w14:paraId="77A65D69" w14:textId="77777777" w:rsidR="00C9626D" w:rsidRPr="003D09F6" w:rsidRDefault="00C9626D" w:rsidP="00E6424A">
      <w:pPr>
        <w:pageBreakBefore/>
        <w:tabs>
          <w:tab w:val="left" w:pos="2268"/>
        </w:tabs>
        <w:spacing w:before="120" w:after="120" w:line="240" w:lineRule="auto"/>
        <w:ind w:left="2268" w:right="1134" w:hanging="1134"/>
        <w:jc w:val="both"/>
      </w:pPr>
      <w:r>
        <w:lastRenderedPageBreak/>
        <w:tab/>
        <w:t>Это требование не применяется к:</w:t>
      </w:r>
    </w:p>
    <w:p w14:paraId="445A70F7" w14:textId="6E607E35" w:rsidR="00C9626D" w:rsidRPr="00F1333A" w:rsidRDefault="00C9626D" w:rsidP="00E6424A">
      <w:pPr>
        <w:tabs>
          <w:tab w:val="left" w:pos="2250"/>
        </w:tabs>
        <w:spacing w:before="120" w:after="120" w:line="240" w:lineRule="auto"/>
        <w:ind w:left="2835" w:right="1134" w:hanging="567"/>
        <w:jc w:val="both"/>
      </w:pPr>
      <w:r>
        <w:t>i)</w:t>
      </w:r>
      <w:r>
        <w:tab/>
        <w:t>тем компонентам, которые устанавливаются и испытываются в качестве части транспортного средства, независимо от того, установлен ли иммобилизатор (например, огни);</w:t>
      </w:r>
      <w:r w:rsidR="00E6424A">
        <w:t xml:space="preserve"> </w:t>
      </w:r>
    </w:p>
    <w:p w14:paraId="5CAC9C41" w14:textId="77777777" w:rsidR="00C9626D" w:rsidRPr="003D09F6" w:rsidRDefault="00C9626D" w:rsidP="00E6424A">
      <w:pPr>
        <w:tabs>
          <w:tab w:val="left" w:pos="1800"/>
        </w:tabs>
        <w:spacing w:before="120" w:after="120" w:line="240" w:lineRule="auto"/>
        <w:ind w:left="2835" w:right="1134" w:hanging="567"/>
        <w:jc w:val="both"/>
      </w:pPr>
      <w:r>
        <w:t>ii)</w:t>
      </w:r>
      <w:r>
        <w:tab/>
        <w:t>тем компонентам, которые ранее были подвергнуты испытанию в качестве части транспортного средства, и было представлено документальное подтверждение; или</w:t>
      </w:r>
    </w:p>
    <w:p w14:paraId="64F3525C" w14:textId="676CDC58" w:rsidR="00C9626D" w:rsidRPr="00F1333A" w:rsidRDefault="00C9626D" w:rsidP="00E6424A">
      <w:pPr>
        <w:tabs>
          <w:tab w:val="left" w:pos="2268"/>
        </w:tabs>
        <w:spacing w:before="120" w:after="120" w:line="240" w:lineRule="auto"/>
        <w:ind w:left="2835" w:right="1134" w:hanging="567"/>
        <w:jc w:val="both"/>
      </w:pPr>
      <w:r>
        <w:t>iii)</w:t>
      </w:r>
      <w:r>
        <w:tab/>
        <w:t>компонентам, которые не встроены в транспортное средство, например к ключам</w:t>
      </w:r>
      <w:r w:rsidR="00F04CF6">
        <w:t>»</w:t>
      </w:r>
      <w:r>
        <w:t>.</w:t>
      </w:r>
    </w:p>
    <w:p w14:paraId="706F6D15" w14:textId="111B8D2B" w:rsidR="00E12C5F" w:rsidRPr="008D53B6" w:rsidRDefault="00C9626D" w:rsidP="000E425C">
      <w:pPr>
        <w:spacing w:before="240"/>
        <w:jc w:val="center"/>
      </w:pPr>
      <w:r w:rsidRPr="00F1333A">
        <w:rPr>
          <w:u w:val="single"/>
        </w:rPr>
        <w:tab/>
      </w:r>
      <w:r w:rsidRPr="00F1333A">
        <w:rPr>
          <w:u w:val="single"/>
        </w:rPr>
        <w:tab/>
      </w:r>
      <w:r w:rsidRPr="00F1333A">
        <w:rPr>
          <w:u w:val="single"/>
        </w:rPr>
        <w:tab/>
      </w:r>
    </w:p>
    <w:sectPr w:rsidR="00E12C5F" w:rsidRPr="008D53B6" w:rsidSect="00C9626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7059" w14:textId="77777777" w:rsidR="00A86808" w:rsidRPr="00A312BC" w:rsidRDefault="00A86808" w:rsidP="00A312BC"/>
  </w:endnote>
  <w:endnote w:type="continuationSeparator" w:id="0">
    <w:p w14:paraId="61D9AFD9" w14:textId="77777777" w:rsidR="00A86808" w:rsidRPr="00A312BC" w:rsidRDefault="00A8680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AA73" w14:textId="7F9B6393" w:rsidR="00C9626D" w:rsidRPr="00C9626D" w:rsidRDefault="00C9626D">
    <w:pPr>
      <w:pStyle w:val="a8"/>
    </w:pPr>
    <w:r w:rsidRPr="00C9626D">
      <w:rPr>
        <w:b/>
        <w:sz w:val="18"/>
      </w:rPr>
      <w:fldChar w:fldCharType="begin"/>
    </w:r>
    <w:r w:rsidRPr="00C9626D">
      <w:rPr>
        <w:b/>
        <w:sz w:val="18"/>
      </w:rPr>
      <w:instrText xml:space="preserve"> PAGE  \* MERGEFORMAT </w:instrText>
    </w:r>
    <w:r w:rsidRPr="00C9626D">
      <w:rPr>
        <w:b/>
        <w:sz w:val="18"/>
      </w:rPr>
      <w:fldChar w:fldCharType="separate"/>
    </w:r>
    <w:r w:rsidRPr="00C9626D">
      <w:rPr>
        <w:b/>
        <w:noProof/>
        <w:sz w:val="18"/>
      </w:rPr>
      <w:t>2</w:t>
    </w:r>
    <w:r w:rsidRPr="00C9626D">
      <w:rPr>
        <w:b/>
        <w:sz w:val="18"/>
      </w:rPr>
      <w:fldChar w:fldCharType="end"/>
    </w:r>
    <w:r>
      <w:rPr>
        <w:b/>
        <w:sz w:val="18"/>
      </w:rPr>
      <w:tab/>
    </w:r>
    <w:r>
      <w:t>GE.22-00383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EEAB" w14:textId="79A2318A" w:rsidR="00C9626D" w:rsidRPr="00C9626D" w:rsidRDefault="00C9626D" w:rsidP="00C9626D">
    <w:pPr>
      <w:pStyle w:val="a8"/>
      <w:tabs>
        <w:tab w:val="clear" w:pos="9639"/>
        <w:tab w:val="right" w:pos="9638"/>
      </w:tabs>
      <w:rPr>
        <w:b/>
        <w:sz w:val="18"/>
      </w:rPr>
    </w:pPr>
    <w:r>
      <w:t>GE.22-00383</w:t>
    </w:r>
    <w:r>
      <w:tab/>
    </w:r>
    <w:r w:rsidRPr="00C9626D">
      <w:rPr>
        <w:b/>
        <w:sz w:val="18"/>
      </w:rPr>
      <w:fldChar w:fldCharType="begin"/>
    </w:r>
    <w:r w:rsidRPr="00C9626D">
      <w:rPr>
        <w:b/>
        <w:sz w:val="18"/>
      </w:rPr>
      <w:instrText xml:space="preserve"> PAGE  \* MERGEFORMAT </w:instrText>
    </w:r>
    <w:r w:rsidRPr="00C9626D">
      <w:rPr>
        <w:b/>
        <w:sz w:val="18"/>
      </w:rPr>
      <w:fldChar w:fldCharType="separate"/>
    </w:r>
    <w:r w:rsidRPr="00C9626D">
      <w:rPr>
        <w:b/>
        <w:noProof/>
        <w:sz w:val="18"/>
      </w:rPr>
      <w:t>3</w:t>
    </w:r>
    <w:r w:rsidRPr="00C96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0718" w14:textId="76A3C555" w:rsidR="00042B72" w:rsidRPr="00C9626D" w:rsidRDefault="00C9626D" w:rsidP="00C9626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DA9B7A" wp14:editId="4951AC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22-00383  (R)</w:t>
    </w:r>
    <w:r>
      <w:rPr>
        <w:noProof/>
      </w:rPr>
      <w:drawing>
        <wp:anchor distT="0" distB="0" distL="114300" distR="114300" simplePos="0" relativeHeight="251659264" behindDoc="0" locked="0" layoutInCell="1" allowOverlap="1" wp14:anchorId="38793822" wp14:editId="1B18C48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030222  030222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EE1C" w14:textId="77777777" w:rsidR="00A86808" w:rsidRPr="001075E9" w:rsidRDefault="00A86808" w:rsidP="001075E9">
      <w:pPr>
        <w:tabs>
          <w:tab w:val="right" w:pos="2155"/>
        </w:tabs>
        <w:spacing w:after="80" w:line="240" w:lineRule="auto"/>
        <w:ind w:left="680"/>
        <w:rPr>
          <w:u w:val="single"/>
        </w:rPr>
      </w:pPr>
      <w:r>
        <w:rPr>
          <w:u w:val="single"/>
        </w:rPr>
        <w:tab/>
      </w:r>
    </w:p>
  </w:footnote>
  <w:footnote w:type="continuationSeparator" w:id="0">
    <w:p w14:paraId="71E2C74B" w14:textId="77777777" w:rsidR="00A86808" w:rsidRDefault="00A86808" w:rsidP="00407B78">
      <w:pPr>
        <w:tabs>
          <w:tab w:val="right" w:pos="2155"/>
        </w:tabs>
        <w:spacing w:after="80"/>
        <w:ind w:left="680"/>
        <w:rPr>
          <w:u w:val="single"/>
        </w:rPr>
      </w:pPr>
      <w:r>
        <w:rPr>
          <w:u w:val="single"/>
        </w:rPr>
        <w:tab/>
      </w:r>
    </w:p>
  </w:footnote>
  <w:footnote w:id="1">
    <w:p w14:paraId="748E8537" w14:textId="094F4369" w:rsidR="00C9626D" w:rsidRPr="00C9626D" w:rsidRDefault="00C9626D" w:rsidP="00C9626D">
      <w:pPr>
        <w:pStyle w:val="ad"/>
        <w:rPr>
          <w:rStyle w:val="aa"/>
          <w:vertAlign w:val="baseline"/>
        </w:rPr>
      </w:pPr>
      <w:r>
        <w:tab/>
      </w:r>
      <w:r w:rsidRPr="00C9626D">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1A9976D6" w14:textId="78B8BE6B" w:rsidR="00C9626D" w:rsidRPr="003D09F6" w:rsidRDefault="00C9626D" w:rsidP="000E425C">
      <w:pPr>
        <w:pStyle w:val="ad"/>
      </w:pPr>
      <w:r>
        <w:tab/>
      </w:r>
      <w:r w:rsidRPr="00DE5525">
        <w:rPr>
          <w:rStyle w:val="aa"/>
        </w:rPr>
        <w:footnoteRef/>
      </w:r>
      <w:r>
        <w:tab/>
        <w:t>В соответствии с определениями, содержащимися в Сводной резолюции о конструкции транспортных средств (СР.3) (документ ECE/TRANS/WP.29/78/Rev.6) (</w:t>
      </w:r>
      <w:hyperlink r:id="rId1" w:history="1">
        <w:r w:rsidRPr="00C95BFF">
          <w:rPr>
            <w:rStyle w:val="af1"/>
          </w:rPr>
          <w:t>https://unece.org/transport/standards/transport/vehicle-regulations-wp29/resolutions</w:t>
        </w:r>
      </w:hyperlink>
      <w:r>
        <w:t xml:space="preserve">). </w:t>
      </w:r>
    </w:p>
  </w:footnote>
  <w:footnote w:id="3">
    <w:p w14:paraId="0C70B0DC" w14:textId="57C3E5FC" w:rsidR="00C9626D" w:rsidRPr="003D09F6" w:rsidRDefault="00C9626D" w:rsidP="000E425C">
      <w:pPr>
        <w:pStyle w:val="ad"/>
        <w:rPr>
          <w:rStyle w:val="aa"/>
          <w:szCs w:val="18"/>
        </w:rPr>
      </w:pPr>
      <w:r>
        <w:tab/>
      </w:r>
      <w:r w:rsidRPr="000E425C">
        <w:rPr>
          <w:rStyle w:val="aa"/>
          <w:b/>
          <w:bCs/>
        </w:rPr>
        <w:footnoteRef/>
      </w:r>
      <w:r w:rsidRPr="000E425C">
        <w:rPr>
          <w:b/>
          <w:bCs/>
        </w:rPr>
        <w:tab/>
        <w:t>Рассматриваются транспортные средства только с 12-вольтными электрическими системами</w:t>
      </w:r>
      <w:r w:rsidRPr="00C962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098A" w14:textId="598A1640" w:rsidR="00C9626D" w:rsidRPr="00C9626D" w:rsidRDefault="00185FD3">
    <w:pPr>
      <w:pStyle w:val="a5"/>
    </w:pPr>
    <w:fldSimple w:instr=" TITLE  \* MERGEFORMAT ">
      <w:r w:rsidR="00CC1314">
        <w:t>ECE/TRANS/WP.29/GRSG/2022/14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5878" w14:textId="7241A488" w:rsidR="00C9626D" w:rsidRPr="00C9626D" w:rsidRDefault="00185FD3" w:rsidP="00C9626D">
    <w:pPr>
      <w:pStyle w:val="a5"/>
      <w:jc w:val="right"/>
    </w:pPr>
    <w:fldSimple w:instr=" TITLE  \* MERGEFORMAT ">
      <w:r w:rsidR="00CC1314">
        <w:t>ECE/TRANS/WP.29/GRSG/2022/14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A7BBF"/>
    <w:multiLevelType w:val="hybridMultilevel"/>
    <w:tmpl w:val="37CE4B9A"/>
    <w:lvl w:ilvl="0" w:tplc="19DA3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99F30F9"/>
    <w:multiLevelType w:val="hybridMultilevel"/>
    <w:tmpl w:val="3E24542C"/>
    <w:lvl w:ilvl="0" w:tplc="B6A0CB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82342A"/>
    <w:multiLevelType w:val="hybridMultilevel"/>
    <w:tmpl w:val="61101B76"/>
    <w:lvl w:ilvl="0" w:tplc="002A94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1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7"/>
  </w:num>
  <w:num w:numId="19">
    <w:abstractNumId w:val="18"/>
  </w:num>
  <w:num w:numId="20">
    <w:abstractNumId w:val="15"/>
  </w:num>
  <w:num w:numId="21">
    <w:abstractNumId w:val="17"/>
  </w:num>
  <w:num w:numId="22">
    <w:abstractNumId w:val="10"/>
  </w:num>
  <w:num w:numId="23">
    <w:abstractNumId w:val="13"/>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08"/>
    <w:rsid w:val="00033EE1"/>
    <w:rsid w:val="00042B72"/>
    <w:rsid w:val="000558BD"/>
    <w:rsid w:val="000606BB"/>
    <w:rsid w:val="000B57E7"/>
    <w:rsid w:val="000B6373"/>
    <w:rsid w:val="000E425C"/>
    <w:rsid w:val="000E4E5B"/>
    <w:rsid w:val="000F09DF"/>
    <w:rsid w:val="000F61B2"/>
    <w:rsid w:val="001075E9"/>
    <w:rsid w:val="0014152F"/>
    <w:rsid w:val="00180183"/>
    <w:rsid w:val="0018024D"/>
    <w:rsid w:val="00185FD3"/>
    <w:rsid w:val="0018649F"/>
    <w:rsid w:val="00196389"/>
    <w:rsid w:val="001B3EF6"/>
    <w:rsid w:val="001C7A89"/>
    <w:rsid w:val="001D216B"/>
    <w:rsid w:val="00255343"/>
    <w:rsid w:val="0027151D"/>
    <w:rsid w:val="00285B7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53A0"/>
    <w:rsid w:val="00617A43"/>
    <w:rsid w:val="006345DB"/>
    <w:rsid w:val="00640F49"/>
    <w:rsid w:val="006640AE"/>
    <w:rsid w:val="00680D03"/>
    <w:rsid w:val="00681A10"/>
    <w:rsid w:val="006A1ED8"/>
    <w:rsid w:val="006C2031"/>
    <w:rsid w:val="006D461A"/>
    <w:rsid w:val="006F35EE"/>
    <w:rsid w:val="007021FF"/>
    <w:rsid w:val="00712895"/>
    <w:rsid w:val="00734ACB"/>
    <w:rsid w:val="00757357"/>
    <w:rsid w:val="00792497"/>
    <w:rsid w:val="007D67D4"/>
    <w:rsid w:val="00806737"/>
    <w:rsid w:val="00825F8D"/>
    <w:rsid w:val="00834B71"/>
    <w:rsid w:val="0086445C"/>
    <w:rsid w:val="00893944"/>
    <w:rsid w:val="00894693"/>
    <w:rsid w:val="008A08D7"/>
    <w:rsid w:val="008A37C8"/>
    <w:rsid w:val="008B6909"/>
    <w:rsid w:val="008D53B6"/>
    <w:rsid w:val="008D6E84"/>
    <w:rsid w:val="008F7609"/>
    <w:rsid w:val="0090253A"/>
    <w:rsid w:val="00906890"/>
    <w:rsid w:val="00911BE4"/>
    <w:rsid w:val="00951972"/>
    <w:rsid w:val="009608F3"/>
    <w:rsid w:val="009A24AC"/>
    <w:rsid w:val="009C59D7"/>
    <w:rsid w:val="009C6FE6"/>
    <w:rsid w:val="009D7E7D"/>
    <w:rsid w:val="00A14DA8"/>
    <w:rsid w:val="00A312BC"/>
    <w:rsid w:val="00A61D53"/>
    <w:rsid w:val="00A80AC9"/>
    <w:rsid w:val="00A84021"/>
    <w:rsid w:val="00A84D35"/>
    <w:rsid w:val="00A86808"/>
    <w:rsid w:val="00A917B3"/>
    <w:rsid w:val="00AB4B51"/>
    <w:rsid w:val="00B10CC7"/>
    <w:rsid w:val="00B36DF7"/>
    <w:rsid w:val="00B539E7"/>
    <w:rsid w:val="00B62458"/>
    <w:rsid w:val="00B97535"/>
    <w:rsid w:val="00BC18B2"/>
    <w:rsid w:val="00BD33EE"/>
    <w:rsid w:val="00BE1CC7"/>
    <w:rsid w:val="00C106D6"/>
    <w:rsid w:val="00C119AE"/>
    <w:rsid w:val="00C60F0C"/>
    <w:rsid w:val="00C71E84"/>
    <w:rsid w:val="00C805C9"/>
    <w:rsid w:val="00C92939"/>
    <w:rsid w:val="00C9626D"/>
    <w:rsid w:val="00C97ECD"/>
    <w:rsid w:val="00CA1679"/>
    <w:rsid w:val="00CB151C"/>
    <w:rsid w:val="00CC1314"/>
    <w:rsid w:val="00CE5A1A"/>
    <w:rsid w:val="00CF55F6"/>
    <w:rsid w:val="00D33D63"/>
    <w:rsid w:val="00D5253A"/>
    <w:rsid w:val="00D569DA"/>
    <w:rsid w:val="00D873A8"/>
    <w:rsid w:val="00D90028"/>
    <w:rsid w:val="00D90138"/>
    <w:rsid w:val="00D9145B"/>
    <w:rsid w:val="00DD78D1"/>
    <w:rsid w:val="00DE32CD"/>
    <w:rsid w:val="00DF10F1"/>
    <w:rsid w:val="00DF5767"/>
    <w:rsid w:val="00DF71B9"/>
    <w:rsid w:val="00E12C5F"/>
    <w:rsid w:val="00E6424A"/>
    <w:rsid w:val="00E73F76"/>
    <w:rsid w:val="00E76C13"/>
    <w:rsid w:val="00EA2C9F"/>
    <w:rsid w:val="00EA420E"/>
    <w:rsid w:val="00EB2CC8"/>
    <w:rsid w:val="00ED0BDA"/>
    <w:rsid w:val="00EE142A"/>
    <w:rsid w:val="00EF1360"/>
    <w:rsid w:val="00EF3220"/>
    <w:rsid w:val="00F04CF6"/>
    <w:rsid w:val="00F248ED"/>
    <w:rsid w:val="00F2523A"/>
    <w:rsid w:val="00F43903"/>
    <w:rsid w:val="00F8278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A35A6"/>
  <w15:docId w15:val="{658BA5F3-F7E1-4B66-AD54-08E85208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C9626D"/>
    <w:rPr>
      <w:lang w:val="ru-RU" w:eastAsia="en-US"/>
    </w:rPr>
  </w:style>
  <w:style w:type="character" w:customStyle="1" w:styleId="HChGChar">
    <w:name w:val="_ H _Ch_G Char"/>
    <w:link w:val="HChG"/>
    <w:locked/>
    <w:rsid w:val="00C9626D"/>
    <w:rPr>
      <w:b/>
      <w:sz w:val="28"/>
      <w:lang w:val="ru-RU" w:eastAsia="ru-RU"/>
    </w:rPr>
  </w:style>
  <w:style w:type="paragraph" w:styleId="af3">
    <w:name w:val="List Paragraph"/>
    <w:basedOn w:val="a"/>
    <w:uiPriority w:val="34"/>
    <w:qFormat/>
    <w:rsid w:val="00C9626D"/>
    <w:pPr>
      <w:suppressAutoHyphens w:val="0"/>
      <w:spacing w:line="240" w:lineRule="auto"/>
      <w:ind w:left="720"/>
    </w:pPr>
    <w:rPr>
      <w:rFonts w:ascii="Calibri" w:eastAsia="SimSun" w:hAnsi="Calibri" w:cs="Times New Roman"/>
      <w:sz w:val="22"/>
      <w:lang w:val="nl-BE" w:eastAsia="nl-BE"/>
    </w:rPr>
  </w:style>
  <w:style w:type="paragraph" w:customStyle="1" w:styleId="para">
    <w:name w:val="para"/>
    <w:basedOn w:val="a"/>
    <w:rsid w:val="00C9626D"/>
    <w:pPr>
      <w:spacing w:after="120"/>
      <w:ind w:left="2268" w:right="1134" w:hanging="1134"/>
      <w:jc w:val="both"/>
    </w:pPr>
    <w:rPr>
      <w:rFonts w:eastAsia="SimSun" w:cs="Times New Roman"/>
      <w:szCs w:val="20"/>
      <w:lang w:val="en-GB"/>
    </w:rPr>
  </w:style>
  <w:style w:type="character" w:styleId="af4">
    <w:name w:val="Unresolved Mention"/>
    <w:basedOn w:val="a0"/>
    <w:uiPriority w:val="99"/>
    <w:semiHidden/>
    <w:unhideWhenUsed/>
    <w:rsid w:val="00C9626D"/>
    <w:rPr>
      <w:color w:val="605E5C"/>
      <w:shd w:val="clear" w:color="auto" w:fill="E1DFDD"/>
    </w:rPr>
  </w:style>
  <w:style w:type="character" w:styleId="af5">
    <w:name w:val="annotation reference"/>
    <w:basedOn w:val="a0"/>
    <w:semiHidden/>
    <w:unhideWhenUsed/>
    <w:rsid w:val="0090253A"/>
    <w:rPr>
      <w:sz w:val="16"/>
      <w:szCs w:val="16"/>
    </w:rPr>
  </w:style>
  <w:style w:type="paragraph" w:styleId="af6">
    <w:name w:val="annotation text"/>
    <w:basedOn w:val="a"/>
    <w:link w:val="af7"/>
    <w:semiHidden/>
    <w:unhideWhenUsed/>
    <w:rsid w:val="0090253A"/>
    <w:pPr>
      <w:spacing w:line="240" w:lineRule="auto"/>
    </w:pPr>
    <w:rPr>
      <w:szCs w:val="20"/>
    </w:rPr>
  </w:style>
  <w:style w:type="character" w:customStyle="1" w:styleId="af7">
    <w:name w:val="Текст примечания Знак"/>
    <w:basedOn w:val="a0"/>
    <w:link w:val="af6"/>
    <w:semiHidden/>
    <w:rsid w:val="0090253A"/>
    <w:rPr>
      <w:rFonts w:eastAsiaTheme="minorHAnsi" w:cstheme="minorBidi"/>
      <w:lang w:val="ru-RU" w:eastAsia="en-US"/>
    </w:rPr>
  </w:style>
  <w:style w:type="paragraph" w:styleId="af8">
    <w:name w:val="annotation subject"/>
    <w:basedOn w:val="af6"/>
    <w:next w:val="af6"/>
    <w:link w:val="af9"/>
    <w:semiHidden/>
    <w:unhideWhenUsed/>
    <w:rsid w:val="0090253A"/>
    <w:rPr>
      <w:b/>
      <w:bCs/>
    </w:rPr>
  </w:style>
  <w:style w:type="character" w:customStyle="1" w:styleId="af9">
    <w:name w:val="Тема примечания Знак"/>
    <w:basedOn w:val="af7"/>
    <w:link w:val="af8"/>
    <w:semiHidden/>
    <w:rsid w:val="0090253A"/>
    <w:rPr>
      <w:rFonts w:eastAsiaTheme="minorHAnsi" w:cstheme="minorBidi"/>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1237</Words>
  <Characters>8896</Characters>
  <Application>Microsoft Office Word</Application>
  <DocSecurity>0</DocSecurity>
  <Lines>74</Lines>
  <Paragraphs>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ECE/TRANS/WP.29/GRSG/2022/14</dc:title>
  <dc:subject/>
  <dc:creator>Olga OVTCHINNIKOVA</dc:creator>
  <cp:keywords/>
  <cp:lastModifiedBy>Ekaterina Salynskaya</cp:lastModifiedBy>
  <cp:revision>3</cp:revision>
  <cp:lastPrinted>2022-02-03T09:26:00Z</cp:lastPrinted>
  <dcterms:created xsi:type="dcterms:W3CDTF">2022-02-03T09:26:00Z</dcterms:created>
  <dcterms:modified xsi:type="dcterms:W3CDTF">2022-02-03T09:27:00Z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