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EF7F0E" w14:paraId="42A5C8D1" w14:textId="77777777" w:rsidTr="00151208">
        <w:trPr>
          <w:cantSplit/>
          <w:trHeight w:hRule="exact" w:val="846"/>
        </w:trPr>
        <w:tc>
          <w:tcPr>
            <w:tcW w:w="1276" w:type="dxa"/>
            <w:tcBorders>
              <w:bottom w:val="single" w:sz="4" w:space="0" w:color="auto"/>
            </w:tcBorders>
            <w:vAlign w:val="bottom"/>
          </w:tcPr>
          <w:p w14:paraId="046631D7" w14:textId="77777777" w:rsidR="00785AC2" w:rsidRPr="00EF7F0E" w:rsidRDefault="00785AC2" w:rsidP="002E2BA8">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EF7F0E" w:rsidRDefault="00785AC2" w:rsidP="002E2BA8">
            <w:pPr>
              <w:spacing w:after="80" w:line="300" w:lineRule="exact"/>
              <w:rPr>
                <w:rFonts w:asciiTheme="majorBidi" w:hAnsiTheme="majorBidi" w:cstheme="majorBidi"/>
                <w:b/>
                <w:sz w:val="24"/>
                <w:szCs w:val="24"/>
              </w:rPr>
            </w:pPr>
            <w:r w:rsidRPr="00EF7F0E">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403952D3" w:rsidR="00785AC2" w:rsidRPr="00EF7F0E" w:rsidRDefault="00785AC2" w:rsidP="002E2BA8">
            <w:pPr>
              <w:jc w:val="right"/>
              <w:rPr>
                <w:rFonts w:asciiTheme="majorBidi" w:hAnsiTheme="majorBidi" w:cstheme="majorBidi"/>
              </w:rPr>
            </w:pPr>
            <w:r w:rsidRPr="00EF7F0E">
              <w:rPr>
                <w:rFonts w:asciiTheme="majorBidi" w:hAnsiTheme="majorBidi" w:cstheme="majorBidi"/>
                <w:sz w:val="40"/>
              </w:rPr>
              <w:t>ECE</w:t>
            </w:r>
            <w:r w:rsidRPr="00EF7F0E">
              <w:rPr>
                <w:rFonts w:asciiTheme="majorBidi" w:hAnsiTheme="majorBidi" w:cstheme="majorBidi"/>
              </w:rPr>
              <w:t>/TRANS/WP.29/GRSG/20</w:t>
            </w:r>
            <w:r w:rsidR="002B4811" w:rsidRPr="00EF7F0E">
              <w:rPr>
                <w:rFonts w:asciiTheme="majorBidi" w:hAnsiTheme="majorBidi" w:cstheme="majorBidi"/>
              </w:rPr>
              <w:t>2</w:t>
            </w:r>
            <w:r w:rsidR="00961963" w:rsidRPr="00EF7F0E">
              <w:rPr>
                <w:rFonts w:asciiTheme="majorBidi" w:hAnsiTheme="majorBidi" w:cstheme="majorBidi"/>
              </w:rPr>
              <w:t>2</w:t>
            </w:r>
            <w:r w:rsidRPr="00EF7F0E">
              <w:rPr>
                <w:rFonts w:asciiTheme="majorBidi" w:hAnsiTheme="majorBidi" w:cstheme="majorBidi"/>
              </w:rPr>
              <w:t>/</w:t>
            </w:r>
            <w:r w:rsidR="00BD705F" w:rsidRPr="00EF7F0E">
              <w:rPr>
                <w:rFonts w:asciiTheme="majorBidi" w:hAnsiTheme="majorBidi" w:cstheme="majorBidi"/>
              </w:rPr>
              <w:t>1</w:t>
            </w:r>
            <w:r w:rsidR="0050568A" w:rsidRPr="00EF7F0E">
              <w:rPr>
                <w:rFonts w:asciiTheme="majorBidi" w:hAnsiTheme="majorBidi" w:cstheme="majorBidi"/>
              </w:rPr>
              <w:t>4</w:t>
            </w:r>
          </w:p>
        </w:tc>
      </w:tr>
      <w:tr w:rsidR="00785AC2" w:rsidRPr="00EF7F0E"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Pr="00EF7F0E" w:rsidRDefault="00785AC2" w:rsidP="002E2BA8">
            <w:pPr>
              <w:spacing w:before="120"/>
              <w:rPr>
                <w:rFonts w:asciiTheme="majorBidi" w:hAnsiTheme="majorBidi" w:cstheme="majorBidi"/>
              </w:rPr>
            </w:pPr>
            <w:r w:rsidRPr="004A1C8D">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EF7F0E" w:rsidRDefault="00785AC2" w:rsidP="002C25DD">
            <w:pPr>
              <w:spacing w:before="120" w:line="420" w:lineRule="exact"/>
              <w:rPr>
                <w:rFonts w:asciiTheme="majorBidi" w:hAnsiTheme="majorBidi" w:cstheme="majorBidi"/>
                <w:b/>
                <w:sz w:val="40"/>
                <w:szCs w:val="40"/>
              </w:rPr>
            </w:pPr>
            <w:r w:rsidRPr="00EF7F0E">
              <w:rPr>
                <w:rFonts w:asciiTheme="majorBidi" w:hAnsiTheme="majorBidi" w:cstheme="majorBidi"/>
                <w:b/>
                <w:sz w:val="40"/>
                <w:szCs w:val="40"/>
              </w:rPr>
              <w:t>Economic and Social Council</w:t>
            </w:r>
          </w:p>
          <w:p w14:paraId="79C013FE" w14:textId="7A57D644" w:rsidR="00151208" w:rsidRPr="00EF7F0E"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EF7F0E" w:rsidRDefault="00785AC2" w:rsidP="002E2BA8">
            <w:pPr>
              <w:spacing w:before="240" w:line="240" w:lineRule="exact"/>
              <w:rPr>
                <w:rFonts w:asciiTheme="majorBidi" w:hAnsiTheme="majorBidi" w:cstheme="majorBidi"/>
              </w:rPr>
            </w:pPr>
            <w:r w:rsidRPr="00EF7F0E">
              <w:rPr>
                <w:rFonts w:asciiTheme="majorBidi" w:hAnsiTheme="majorBidi" w:cstheme="majorBidi"/>
              </w:rPr>
              <w:t>Distr.: General</w:t>
            </w:r>
          </w:p>
          <w:p w14:paraId="2288E497" w14:textId="504D4402" w:rsidR="00785AC2" w:rsidRPr="00EF7F0E" w:rsidRDefault="008872B6" w:rsidP="002E2BA8">
            <w:pPr>
              <w:spacing w:line="240" w:lineRule="exact"/>
              <w:rPr>
                <w:rFonts w:asciiTheme="majorBidi" w:hAnsiTheme="majorBidi" w:cstheme="majorBidi"/>
              </w:rPr>
            </w:pPr>
            <w:r>
              <w:rPr>
                <w:rFonts w:asciiTheme="majorBidi" w:hAnsiTheme="majorBidi" w:cstheme="majorBidi"/>
              </w:rPr>
              <w:t>13</w:t>
            </w:r>
            <w:r w:rsidR="001C6D04" w:rsidRPr="00EF7F0E">
              <w:rPr>
                <w:rFonts w:asciiTheme="majorBidi" w:hAnsiTheme="majorBidi" w:cstheme="majorBidi"/>
              </w:rPr>
              <w:t xml:space="preserve"> January 2022</w:t>
            </w:r>
          </w:p>
          <w:p w14:paraId="78B62AA7" w14:textId="77777777" w:rsidR="00785AC2" w:rsidRPr="00EF7F0E" w:rsidRDefault="00785AC2" w:rsidP="002E2BA8">
            <w:pPr>
              <w:spacing w:line="240" w:lineRule="exact"/>
              <w:rPr>
                <w:rFonts w:asciiTheme="majorBidi" w:hAnsiTheme="majorBidi" w:cstheme="majorBidi"/>
              </w:rPr>
            </w:pPr>
          </w:p>
          <w:p w14:paraId="7F8F328A" w14:textId="77777777" w:rsidR="00785AC2" w:rsidRPr="00EF7F0E" w:rsidRDefault="00785AC2" w:rsidP="002E2BA8">
            <w:pPr>
              <w:spacing w:line="240" w:lineRule="exact"/>
              <w:rPr>
                <w:rFonts w:asciiTheme="majorBidi" w:hAnsiTheme="majorBidi" w:cstheme="majorBidi"/>
              </w:rPr>
            </w:pPr>
            <w:r w:rsidRPr="00EF7F0E">
              <w:rPr>
                <w:rFonts w:asciiTheme="majorBidi" w:hAnsiTheme="majorBidi" w:cstheme="majorBidi"/>
              </w:rPr>
              <w:t>Original: English</w:t>
            </w:r>
          </w:p>
        </w:tc>
      </w:tr>
    </w:tbl>
    <w:p w14:paraId="218E037E" w14:textId="77777777" w:rsidR="00785AC2" w:rsidRPr="00EF7F0E" w:rsidRDefault="00785AC2" w:rsidP="00785AC2">
      <w:pPr>
        <w:spacing w:before="120"/>
        <w:rPr>
          <w:rFonts w:asciiTheme="majorBidi" w:hAnsiTheme="majorBidi" w:cstheme="majorBidi"/>
          <w:b/>
          <w:sz w:val="28"/>
          <w:szCs w:val="28"/>
        </w:rPr>
      </w:pPr>
      <w:r w:rsidRPr="00EF7F0E">
        <w:rPr>
          <w:rFonts w:asciiTheme="majorBidi" w:hAnsiTheme="majorBidi" w:cstheme="majorBidi"/>
          <w:b/>
          <w:sz w:val="28"/>
          <w:szCs w:val="28"/>
        </w:rPr>
        <w:t>Economic Commission for Europe</w:t>
      </w:r>
    </w:p>
    <w:p w14:paraId="1FF657A2" w14:textId="77777777" w:rsidR="00F607C0" w:rsidRPr="00EF7F0E" w:rsidRDefault="00F607C0">
      <w:pPr>
        <w:spacing w:before="120"/>
        <w:rPr>
          <w:rFonts w:asciiTheme="majorBidi" w:hAnsiTheme="majorBidi" w:cstheme="majorBidi"/>
          <w:sz w:val="28"/>
          <w:szCs w:val="28"/>
        </w:rPr>
      </w:pPr>
      <w:r w:rsidRPr="00EF7F0E">
        <w:rPr>
          <w:rFonts w:asciiTheme="majorBidi" w:hAnsiTheme="majorBidi" w:cstheme="majorBidi"/>
          <w:sz w:val="28"/>
          <w:szCs w:val="28"/>
        </w:rPr>
        <w:t>Inland Transport Committee</w:t>
      </w:r>
    </w:p>
    <w:p w14:paraId="488CB120" w14:textId="77777777" w:rsidR="00F607C0" w:rsidRPr="00EF7F0E" w:rsidRDefault="00F607C0">
      <w:pPr>
        <w:spacing w:before="120"/>
        <w:rPr>
          <w:rFonts w:asciiTheme="majorBidi" w:hAnsiTheme="majorBidi" w:cstheme="majorBidi"/>
          <w:b/>
          <w:sz w:val="24"/>
          <w:szCs w:val="24"/>
        </w:rPr>
      </w:pPr>
      <w:r w:rsidRPr="00EF7F0E">
        <w:rPr>
          <w:rFonts w:asciiTheme="majorBidi" w:hAnsiTheme="majorBidi" w:cstheme="majorBidi"/>
          <w:b/>
          <w:sz w:val="24"/>
          <w:szCs w:val="24"/>
        </w:rPr>
        <w:t>World Forum for Harmonization of Vehicle Regulations</w:t>
      </w:r>
    </w:p>
    <w:p w14:paraId="5873F935" w14:textId="77777777" w:rsidR="00F607C0" w:rsidRPr="00EF7F0E" w:rsidRDefault="00F607C0">
      <w:pPr>
        <w:spacing w:before="120"/>
        <w:rPr>
          <w:rFonts w:asciiTheme="majorBidi" w:hAnsiTheme="majorBidi" w:cstheme="majorBidi"/>
          <w:b/>
        </w:rPr>
      </w:pPr>
      <w:r w:rsidRPr="00EF7F0E">
        <w:rPr>
          <w:rFonts w:asciiTheme="majorBidi" w:hAnsiTheme="majorBidi" w:cstheme="majorBidi"/>
          <w:b/>
        </w:rPr>
        <w:t>Working Party on General Safety Provisions</w:t>
      </w:r>
    </w:p>
    <w:p w14:paraId="742C4543" w14:textId="0EF76B3D" w:rsidR="0082103C" w:rsidRPr="00EF7F0E" w:rsidRDefault="0082103C" w:rsidP="0082103C">
      <w:pPr>
        <w:spacing w:before="120"/>
        <w:rPr>
          <w:rFonts w:asciiTheme="majorBidi" w:hAnsiTheme="majorBidi" w:cstheme="majorBidi"/>
          <w:b/>
        </w:rPr>
      </w:pPr>
      <w:r w:rsidRPr="00EF7F0E">
        <w:rPr>
          <w:rFonts w:asciiTheme="majorBidi" w:hAnsiTheme="majorBidi" w:cstheme="majorBidi"/>
          <w:b/>
        </w:rPr>
        <w:t>1</w:t>
      </w:r>
      <w:r w:rsidR="00810A73" w:rsidRPr="00EF7F0E">
        <w:rPr>
          <w:rFonts w:asciiTheme="majorBidi" w:hAnsiTheme="majorBidi" w:cstheme="majorBidi"/>
          <w:b/>
        </w:rPr>
        <w:t>2</w:t>
      </w:r>
      <w:r w:rsidR="001C6D04" w:rsidRPr="00EF7F0E">
        <w:rPr>
          <w:rFonts w:asciiTheme="majorBidi" w:hAnsiTheme="majorBidi" w:cstheme="majorBidi"/>
          <w:b/>
        </w:rPr>
        <w:t>3</w:t>
      </w:r>
      <w:r w:rsidR="001C6D04" w:rsidRPr="008872B6">
        <w:rPr>
          <w:rFonts w:asciiTheme="majorBidi" w:hAnsiTheme="majorBidi" w:cstheme="majorBidi"/>
          <w:b/>
        </w:rPr>
        <w:t>rd</w:t>
      </w:r>
      <w:r w:rsidR="001C6D04" w:rsidRPr="00EF7F0E">
        <w:rPr>
          <w:rFonts w:asciiTheme="majorBidi" w:hAnsiTheme="majorBidi" w:cstheme="majorBidi"/>
          <w:b/>
        </w:rPr>
        <w:t xml:space="preserve"> </w:t>
      </w:r>
      <w:r w:rsidRPr="00EF7F0E">
        <w:rPr>
          <w:rFonts w:asciiTheme="majorBidi" w:hAnsiTheme="majorBidi" w:cstheme="majorBidi"/>
          <w:b/>
        </w:rPr>
        <w:t>session</w:t>
      </w:r>
    </w:p>
    <w:p w14:paraId="616A0177" w14:textId="36631EBD" w:rsidR="0082103C" w:rsidRPr="00EF7F0E" w:rsidRDefault="0082103C" w:rsidP="0082103C">
      <w:pPr>
        <w:rPr>
          <w:rFonts w:asciiTheme="majorBidi" w:hAnsiTheme="majorBidi" w:cstheme="majorBidi"/>
        </w:rPr>
      </w:pPr>
      <w:r w:rsidRPr="00EF7F0E">
        <w:rPr>
          <w:rFonts w:asciiTheme="majorBidi" w:hAnsiTheme="majorBidi" w:cstheme="majorBidi"/>
        </w:rPr>
        <w:t xml:space="preserve">Geneva, </w:t>
      </w:r>
      <w:r w:rsidR="001C6D04" w:rsidRPr="00EF7F0E">
        <w:rPr>
          <w:rFonts w:asciiTheme="majorBidi" w:hAnsiTheme="majorBidi" w:cstheme="majorBidi"/>
        </w:rPr>
        <w:t>28 March–1 April 2022</w:t>
      </w:r>
    </w:p>
    <w:p w14:paraId="3AC72240" w14:textId="4E5EC01D" w:rsidR="0082103C" w:rsidRPr="00EF7F0E" w:rsidRDefault="0082103C" w:rsidP="0082103C">
      <w:pPr>
        <w:rPr>
          <w:rFonts w:asciiTheme="majorBidi" w:hAnsiTheme="majorBidi" w:cstheme="majorBidi"/>
        </w:rPr>
      </w:pPr>
      <w:r w:rsidRPr="00EF7F0E">
        <w:rPr>
          <w:rFonts w:asciiTheme="majorBidi" w:hAnsiTheme="majorBidi" w:cstheme="majorBidi"/>
        </w:rPr>
        <w:t xml:space="preserve">Item </w:t>
      </w:r>
      <w:r w:rsidR="00EC78B8" w:rsidRPr="00EF7F0E">
        <w:rPr>
          <w:rFonts w:asciiTheme="majorBidi" w:hAnsiTheme="majorBidi" w:cstheme="majorBidi"/>
        </w:rPr>
        <w:t>9</w:t>
      </w:r>
      <w:r w:rsidR="00D24258" w:rsidRPr="00EF7F0E">
        <w:rPr>
          <w:rFonts w:asciiTheme="majorBidi" w:hAnsiTheme="majorBidi" w:cstheme="majorBidi"/>
        </w:rPr>
        <w:t xml:space="preserve"> </w:t>
      </w:r>
      <w:r w:rsidR="00EC78B8" w:rsidRPr="00EF7F0E">
        <w:rPr>
          <w:rFonts w:asciiTheme="majorBidi" w:hAnsiTheme="majorBidi" w:cstheme="majorBidi"/>
        </w:rPr>
        <w:t>(b)</w:t>
      </w:r>
      <w:r w:rsidR="00170E8B" w:rsidRPr="00EF7F0E">
        <w:rPr>
          <w:rFonts w:asciiTheme="majorBidi" w:hAnsiTheme="majorBidi" w:cstheme="majorBidi"/>
        </w:rPr>
        <w:t xml:space="preserve"> </w:t>
      </w:r>
      <w:r w:rsidRPr="00EF7F0E">
        <w:rPr>
          <w:rFonts w:asciiTheme="majorBidi" w:hAnsiTheme="majorBidi" w:cstheme="majorBidi"/>
        </w:rPr>
        <w:t>of the provisional agenda</w:t>
      </w:r>
    </w:p>
    <w:p w14:paraId="4FB72D1D" w14:textId="77777777" w:rsidR="008872B6" w:rsidRDefault="000147BA" w:rsidP="00F94AA2">
      <w:pPr>
        <w:rPr>
          <w:b/>
        </w:rPr>
      </w:pPr>
      <w:r w:rsidRPr="00EF7F0E">
        <w:rPr>
          <w:b/>
        </w:rPr>
        <w:t xml:space="preserve">Amendments to </w:t>
      </w:r>
      <w:r w:rsidR="008872B6">
        <w:rPr>
          <w:b/>
        </w:rPr>
        <w:t xml:space="preserve">the Regulations on </w:t>
      </w:r>
      <w:r w:rsidRPr="00EF7F0E">
        <w:rPr>
          <w:b/>
        </w:rPr>
        <w:t xml:space="preserve">Devices against Unauthorized Use, </w:t>
      </w:r>
    </w:p>
    <w:p w14:paraId="47780840" w14:textId="4ADB7359" w:rsidR="000147BA" w:rsidRPr="00EF7F0E" w:rsidRDefault="000147BA" w:rsidP="00F94AA2">
      <w:pPr>
        <w:rPr>
          <w:b/>
        </w:rPr>
      </w:pPr>
      <w:r w:rsidRPr="00EF7F0E">
        <w:rPr>
          <w:b/>
        </w:rPr>
        <w:t>Immobilizers and Vehicle Alarm systems</w:t>
      </w:r>
      <w:r w:rsidR="00C410A2" w:rsidRPr="00EF7F0E">
        <w:rPr>
          <w:b/>
        </w:rPr>
        <w:t>:</w:t>
      </w:r>
    </w:p>
    <w:p w14:paraId="2FB9AB39" w14:textId="4EF95BB9" w:rsidR="00AA3F13" w:rsidRPr="00DE5525" w:rsidRDefault="00AA3F13" w:rsidP="00AA3F13">
      <w:r w:rsidRPr="00EF7F0E">
        <w:rPr>
          <w:b/>
        </w:rPr>
        <w:t xml:space="preserve">UN Regulation No. </w:t>
      </w:r>
      <w:r w:rsidR="00BC534B" w:rsidRPr="00EF7F0E">
        <w:rPr>
          <w:b/>
        </w:rPr>
        <w:t>1</w:t>
      </w:r>
      <w:r w:rsidR="00D21706" w:rsidRPr="00EF7F0E">
        <w:rPr>
          <w:b/>
        </w:rPr>
        <w:t>6</w:t>
      </w:r>
      <w:r w:rsidR="00BC534B" w:rsidRPr="00EF7F0E">
        <w:rPr>
          <w:b/>
        </w:rPr>
        <w:t>1</w:t>
      </w:r>
      <w:r w:rsidR="00D21706" w:rsidRPr="00EF7F0E">
        <w:rPr>
          <w:b/>
        </w:rPr>
        <w:t xml:space="preserve"> (</w:t>
      </w:r>
      <w:r w:rsidR="00EE1A70" w:rsidRPr="00EF7F0E">
        <w:rPr>
          <w:b/>
        </w:rPr>
        <w:t>D</w:t>
      </w:r>
      <w:r w:rsidR="00992DA5" w:rsidRPr="00EF7F0E">
        <w:rPr>
          <w:b/>
        </w:rPr>
        <w:t>evice</w:t>
      </w:r>
      <w:r w:rsidR="004A408F" w:rsidRPr="00EF7F0E">
        <w:rPr>
          <w:b/>
        </w:rPr>
        <w:t>s</w:t>
      </w:r>
      <w:r w:rsidR="00992DA5" w:rsidRPr="00EF7F0E">
        <w:rPr>
          <w:b/>
        </w:rPr>
        <w:t xml:space="preserve"> against </w:t>
      </w:r>
      <w:r w:rsidR="00EE1A70" w:rsidRPr="00EF7F0E">
        <w:rPr>
          <w:b/>
        </w:rPr>
        <w:t>U</w:t>
      </w:r>
      <w:r w:rsidR="00992DA5" w:rsidRPr="00EF7F0E">
        <w:rPr>
          <w:b/>
        </w:rPr>
        <w:t xml:space="preserve">nauthorized </w:t>
      </w:r>
      <w:r w:rsidR="00EE1A70" w:rsidRPr="00EF7F0E">
        <w:rPr>
          <w:b/>
        </w:rPr>
        <w:t>U</w:t>
      </w:r>
      <w:r w:rsidR="00992DA5" w:rsidRPr="00EF7F0E">
        <w:rPr>
          <w:b/>
        </w:rPr>
        <w:t>se</w:t>
      </w:r>
      <w:r w:rsidR="00D21706" w:rsidRPr="00EF7F0E">
        <w:rPr>
          <w:b/>
        </w:rPr>
        <w:t>)</w:t>
      </w:r>
    </w:p>
    <w:p w14:paraId="2074CE97" w14:textId="52909FC6" w:rsidR="00DF5B41" w:rsidRPr="00DE5525" w:rsidRDefault="00065893" w:rsidP="00D73791">
      <w:pPr>
        <w:pStyle w:val="HChG"/>
      </w:pPr>
      <w:r w:rsidRPr="00DE5525">
        <w:tab/>
      </w:r>
      <w:r w:rsidR="00D73791" w:rsidRPr="00DE5525">
        <w:tab/>
      </w:r>
      <w:r w:rsidR="00D73791" w:rsidRPr="00DE5525">
        <w:tab/>
      </w:r>
      <w:r w:rsidR="00B356D9" w:rsidRPr="00EF7F0E">
        <w:t xml:space="preserve">Proposal for Supplement </w:t>
      </w:r>
      <w:r w:rsidR="00F12438" w:rsidRPr="00EF7F0E">
        <w:t>3</w:t>
      </w:r>
      <w:r w:rsidR="00B356D9" w:rsidRPr="00EF7F0E">
        <w:t xml:space="preserve"> to </w:t>
      </w:r>
      <w:r w:rsidR="006E7A14" w:rsidRPr="00EF7F0E">
        <w:t xml:space="preserve">the </w:t>
      </w:r>
      <w:r w:rsidR="00633842" w:rsidRPr="00EF7F0E">
        <w:t xml:space="preserve">Original Version </w:t>
      </w:r>
      <w:r w:rsidR="006E7A14" w:rsidRPr="00EF7F0E">
        <w:t xml:space="preserve">of </w:t>
      </w:r>
      <w:r w:rsidR="00B356D9" w:rsidRPr="00EF7F0E">
        <w:t xml:space="preserve">UN Regulation No. 161 </w:t>
      </w:r>
      <w:r w:rsidR="008E40FF" w:rsidRPr="00EF7F0E">
        <w:t>(Devices against Unauthorized Use)</w:t>
      </w:r>
    </w:p>
    <w:p w14:paraId="2B381787" w14:textId="18991D9D" w:rsidR="002E5C78" w:rsidRPr="00EF7F0E" w:rsidRDefault="00D73791" w:rsidP="00D73791">
      <w:pPr>
        <w:pStyle w:val="H1G"/>
      </w:pPr>
      <w:r w:rsidRPr="00DE5525">
        <w:tab/>
      </w:r>
      <w:r w:rsidRPr="00DE5525">
        <w:tab/>
      </w:r>
      <w:r w:rsidR="00055423" w:rsidRPr="00DE5525">
        <w:t xml:space="preserve">Submitted </w:t>
      </w:r>
      <w:r w:rsidR="00EA523B" w:rsidRPr="00EF7F0E">
        <w:t xml:space="preserve">by the expert </w:t>
      </w:r>
      <w:r w:rsidR="00E24AB9" w:rsidRPr="00EF7F0E">
        <w:t>from the</w:t>
      </w:r>
      <w:r w:rsidR="00E24AB9" w:rsidRPr="00EF7F0E">
        <w:rPr>
          <w:szCs w:val="24"/>
        </w:rPr>
        <w:t xml:space="preserve"> </w:t>
      </w:r>
      <w:r w:rsidR="00E24AB9" w:rsidRPr="00EF7F0E">
        <w:t>International Organization of Motor Vehicle Manufacturers</w:t>
      </w:r>
      <w:r w:rsidR="00E24AB9" w:rsidRPr="00EF7F0E">
        <w:rPr>
          <w:bCs/>
        </w:rPr>
        <w:t xml:space="preserve"> </w:t>
      </w:r>
      <w:r w:rsidR="00010649" w:rsidRPr="00EF7F0E">
        <w:rPr>
          <w:bCs/>
        </w:rPr>
        <w:footnoteReference w:customMarkFollows="1" w:id="2"/>
        <w:t>*</w:t>
      </w:r>
    </w:p>
    <w:p w14:paraId="106A03BA" w14:textId="4587D960" w:rsidR="00F607C0" w:rsidRPr="00EF7F0E" w:rsidRDefault="000C5542" w:rsidP="00371368">
      <w:pPr>
        <w:pStyle w:val="SingleTxtG"/>
        <w:ind w:firstLine="425"/>
        <w:rPr>
          <w:rFonts w:asciiTheme="majorBidi" w:hAnsiTheme="majorBidi" w:cstheme="majorBidi"/>
        </w:rPr>
      </w:pPr>
      <w:r w:rsidRPr="00EF7F0E">
        <w:t xml:space="preserve">The text reproduced below was prepared by the expert </w:t>
      </w:r>
      <w:r w:rsidR="00E24AB9" w:rsidRPr="00EF7F0E">
        <w:t>from the</w:t>
      </w:r>
      <w:r w:rsidR="00E24AB9" w:rsidRPr="00EF7F0E">
        <w:rPr>
          <w:szCs w:val="24"/>
        </w:rPr>
        <w:t xml:space="preserve"> </w:t>
      </w:r>
      <w:r w:rsidR="00E24AB9" w:rsidRPr="00EF7F0E">
        <w:t>International Organization of Motor Vehicle Manufacturers</w:t>
      </w:r>
      <w:r w:rsidR="00AE634D" w:rsidRPr="00EF7F0E">
        <w:t xml:space="preserve"> (OICA) </w:t>
      </w:r>
      <w:r w:rsidRPr="00EF7F0E">
        <w:t xml:space="preserve">to amend UN Regulation No. </w:t>
      </w:r>
      <w:r w:rsidR="00E24AB9" w:rsidRPr="00EF7F0E">
        <w:t>1</w:t>
      </w:r>
      <w:r w:rsidRPr="00EF7F0E">
        <w:t>6</w:t>
      </w:r>
      <w:r w:rsidR="00E24AB9" w:rsidRPr="00EF7F0E">
        <w:t>1</w:t>
      </w:r>
      <w:r w:rsidRPr="00EF7F0E">
        <w:t xml:space="preserve"> to </w:t>
      </w:r>
      <w:r w:rsidR="006132CB" w:rsidRPr="00EF7F0E">
        <w:t xml:space="preserve">clarify the scope of the </w:t>
      </w:r>
      <w:r w:rsidR="00670E84" w:rsidRPr="00EF7F0E">
        <w:t>UN R</w:t>
      </w:r>
      <w:r w:rsidR="006132CB" w:rsidRPr="00EF7F0E">
        <w:t xml:space="preserve">egulation and to </w:t>
      </w:r>
      <w:r w:rsidR="001C6D04" w:rsidRPr="00EF7F0E">
        <w:rPr>
          <w:color w:val="000000"/>
        </w:rPr>
        <w:t xml:space="preserve">complement the text with the missing </w:t>
      </w:r>
      <w:r w:rsidR="001C6D04" w:rsidRPr="00EF7F0E">
        <w:t>Supplement</w:t>
      </w:r>
      <w:r w:rsidR="006132CB" w:rsidRPr="00EF7F0E">
        <w:t> </w:t>
      </w:r>
      <w:r w:rsidR="001C6D04" w:rsidRPr="00EF7F0E">
        <w:t>7 to the original version of UN R</w:t>
      </w:r>
      <w:r w:rsidR="00670E84" w:rsidRPr="00EF7F0E">
        <w:t xml:space="preserve">egulation no. </w:t>
      </w:r>
      <w:r w:rsidR="001C6D04" w:rsidRPr="00EF7F0E">
        <w:t>116</w:t>
      </w:r>
      <w:r w:rsidRPr="00EF7F0E">
        <w:t>.</w:t>
      </w:r>
      <w:r w:rsidR="006D61D7" w:rsidRPr="00EF7F0E">
        <w:t xml:space="preserve"> </w:t>
      </w:r>
      <w:r w:rsidR="0006705C" w:rsidRPr="00EF7F0E">
        <w:t>It is based on informal document GRSG-</w:t>
      </w:r>
      <w:r w:rsidR="001C6D04" w:rsidRPr="00EF7F0E">
        <w:t>122-14</w:t>
      </w:r>
      <w:r w:rsidR="00961963" w:rsidRPr="00EF7F0E">
        <w:t xml:space="preserve"> </w:t>
      </w:r>
      <w:r w:rsidR="00A00470" w:rsidRPr="00EF7F0E">
        <w:t>distributed at the 122</w:t>
      </w:r>
      <w:r w:rsidR="00A00470" w:rsidRPr="008872B6">
        <w:t xml:space="preserve">nd </w:t>
      </w:r>
      <w:r w:rsidR="00A00470" w:rsidRPr="00EF7F0E">
        <w:t>session of the Working Party on General Safety Provisions (GRSG)</w:t>
      </w:r>
      <w:r w:rsidR="00BE4683" w:rsidRPr="00EF7F0E">
        <w:t xml:space="preserve">. </w:t>
      </w:r>
      <w:r w:rsidR="006D61D7" w:rsidRPr="00EF7F0E">
        <w:rPr>
          <w:szCs w:val="23"/>
        </w:rPr>
        <w:t xml:space="preserve">The modifications to the current text of the UN Regulation are marked </w:t>
      </w:r>
      <w:r w:rsidR="00371368" w:rsidRPr="00EF7F0E">
        <w:rPr>
          <w:bCs/>
          <w:szCs w:val="23"/>
        </w:rPr>
        <w:t>in bold for new and strikethrough for deleted characters</w:t>
      </w:r>
      <w:r w:rsidR="00FB6628" w:rsidRPr="00EF7F0E">
        <w:rPr>
          <w:rFonts w:asciiTheme="majorBidi" w:hAnsiTheme="majorBidi" w:cstheme="majorBidi"/>
        </w:rPr>
        <w:t>.</w:t>
      </w:r>
      <w:r w:rsidR="00F607C0" w:rsidRPr="00EF7F0E">
        <w:rPr>
          <w:rFonts w:asciiTheme="majorBidi" w:hAnsiTheme="majorBidi" w:cstheme="majorBidi"/>
        </w:rPr>
        <w:br w:type="page"/>
      </w:r>
    </w:p>
    <w:p w14:paraId="5387A716" w14:textId="77777777" w:rsidR="00131CD7" w:rsidRPr="00EF7F0E" w:rsidRDefault="00131CD7" w:rsidP="00131CD7">
      <w:pPr>
        <w:pStyle w:val="HChG"/>
        <w:rPr>
          <w:rFonts w:asciiTheme="majorBidi" w:hAnsiTheme="majorBidi" w:cstheme="majorBidi"/>
          <w:b w:val="0"/>
          <w:szCs w:val="28"/>
        </w:rPr>
      </w:pPr>
      <w:r w:rsidRPr="00EF7F0E">
        <w:rPr>
          <w:rFonts w:asciiTheme="majorBidi" w:hAnsiTheme="majorBidi" w:cstheme="majorBidi"/>
          <w:szCs w:val="28"/>
        </w:rPr>
        <w:lastRenderedPageBreak/>
        <w:tab/>
        <w:t>I.</w:t>
      </w:r>
      <w:r w:rsidRPr="00EF7F0E">
        <w:rPr>
          <w:rFonts w:asciiTheme="majorBidi" w:hAnsiTheme="majorBidi" w:cstheme="majorBidi"/>
          <w:szCs w:val="28"/>
        </w:rPr>
        <w:tab/>
      </w:r>
      <w:r w:rsidRPr="00EF7F0E">
        <w:t>Proposal</w:t>
      </w:r>
    </w:p>
    <w:p w14:paraId="49AECA1E" w14:textId="6739093F" w:rsidR="006357AC" w:rsidRPr="00EF7F0E" w:rsidRDefault="006357AC" w:rsidP="00F07A15">
      <w:pPr>
        <w:pStyle w:val="SingleTxtG"/>
        <w:rPr>
          <w:rFonts w:eastAsia="DengXian"/>
          <w:lang w:eastAsia="zh-CN"/>
        </w:rPr>
      </w:pPr>
      <w:r w:rsidRPr="00EF7F0E">
        <w:rPr>
          <w:rFonts w:eastAsia="DengXian"/>
          <w:i/>
          <w:lang w:eastAsia="zh-CN"/>
        </w:rPr>
        <w:t>Paragraph.1</w:t>
      </w:r>
      <w:r w:rsidRPr="00EF7F0E">
        <w:rPr>
          <w:rFonts w:eastAsia="DengXian"/>
          <w:lang w:eastAsia="zh-CN"/>
        </w:rPr>
        <w:t xml:space="preserve">., </w:t>
      </w:r>
      <w:r w:rsidR="00AD7FAA" w:rsidRPr="00EF7F0E">
        <w:rPr>
          <w:rFonts w:eastAsia="DengXian"/>
          <w:lang w:eastAsia="zh-CN"/>
        </w:rPr>
        <w:t>add</w:t>
      </w:r>
      <w:r w:rsidR="00503381" w:rsidRPr="00EF7F0E">
        <w:rPr>
          <w:rFonts w:eastAsia="DengXian"/>
          <w:lang w:eastAsia="zh-CN"/>
        </w:rPr>
        <w:t xml:space="preserve"> new footnote </w:t>
      </w:r>
      <w:r w:rsidR="00503381" w:rsidRPr="00EF7F0E">
        <w:rPr>
          <w:rFonts w:eastAsia="DengXian"/>
          <w:vertAlign w:val="superscript"/>
          <w:lang w:eastAsia="zh-CN"/>
        </w:rPr>
        <w:t>2</w:t>
      </w:r>
      <w:r w:rsidR="00AD7FAA" w:rsidRPr="00EF7F0E">
        <w:rPr>
          <w:rFonts w:eastAsia="DengXian"/>
          <w:lang w:eastAsia="zh-CN"/>
        </w:rPr>
        <w:t xml:space="preserve"> and amend to read:</w:t>
      </w:r>
    </w:p>
    <w:p w14:paraId="230A7347" w14:textId="073657F7" w:rsidR="006357AC" w:rsidRPr="00EF7F0E" w:rsidRDefault="00085168" w:rsidP="006357AC">
      <w:pPr>
        <w:pStyle w:val="HChG"/>
        <w:ind w:left="2268"/>
      </w:pPr>
      <w:r w:rsidRPr="00EF7F0E">
        <w:rPr>
          <w:b w:val="0"/>
          <w:bCs/>
        </w:rPr>
        <w:t>"</w:t>
      </w:r>
      <w:r w:rsidR="006357AC" w:rsidRPr="00EF7F0E">
        <w:t>1.</w:t>
      </w:r>
      <w:r w:rsidR="006357AC" w:rsidRPr="00EF7F0E">
        <w:tab/>
        <w:t>Scope</w:t>
      </w:r>
    </w:p>
    <w:p w14:paraId="62F5363E" w14:textId="77777777" w:rsidR="006357AC" w:rsidRPr="00EF7F0E" w:rsidRDefault="006357AC" w:rsidP="006357AC">
      <w:pPr>
        <w:keepNext/>
        <w:keepLines/>
        <w:tabs>
          <w:tab w:val="left" w:pos="2268"/>
          <w:tab w:val="left" w:pos="2493"/>
        </w:tabs>
        <w:suppressAutoHyphens w:val="0"/>
        <w:spacing w:after="120"/>
        <w:ind w:left="2268" w:right="991" w:hanging="1134"/>
        <w:jc w:val="both"/>
      </w:pPr>
      <w:r w:rsidRPr="00EF7F0E">
        <w:tab/>
        <w:t>This Regulation applies to:</w:t>
      </w:r>
    </w:p>
    <w:p w14:paraId="742EE55A" w14:textId="224C2577" w:rsidR="006357AC" w:rsidRPr="00EF7F0E" w:rsidRDefault="006357AC" w:rsidP="006357AC">
      <w:pPr>
        <w:keepNext/>
        <w:keepLines/>
        <w:tabs>
          <w:tab w:val="left" w:pos="2268"/>
        </w:tabs>
        <w:suppressAutoHyphens w:val="0"/>
        <w:spacing w:after="120"/>
        <w:ind w:left="2268" w:right="991" w:hanging="1134"/>
        <w:jc w:val="both"/>
        <w:rPr>
          <w:b/>
          <w:bCs/>
        </w:rPr>
      </w:pPr>
      <w:r w:rsidRPr="00EF7F0E">
        <w:t>1.1.</w:t>
      </w:r>
      <w:r w:rsidRPr="00EF7F0E">
        <w:tab/>
      </w:r>
      <w:r w:rsidRPr="00EF7F0E">
        <w:rPr>
          <w:strike/>
        </w:rPr>
        <w:t>Approval of a vehicle of category M</w:t>
      </w:r>
      <w:r w:rsidRPr="00EF7F0E">
        <w:rPr>
          <w:strike/>
          <w:vertAlign w:val="subscript"/>
        </w:rPr>
        <w:t>1</w:t>
      </w:r>
      <w:r w:rsidRPr="00EF7F0E">
        <w:rPr>
          <w:strike/>
        </w:rPr>
        <w:t xml:space="preserve"> and N</w:t>
      </w:r>
      <w:r w:rsidRPr="00EF7F0E">
        <w:rPr>
          <w:strike/>
          <w:vertAlign w:val="subscript"/>
        </w:rPr>
        <w:t>1</w:t>
      </w:r>
      <w:r w:rsidR="00800060" w:rsidRPr="00EF7F0E">
        <w:rPr>
          <w:strike/>
          <w:vertAlign w:val="superscript"/>
        </w:rPr>
        <w:t xml:space="preserve">1/  </w:t>
      </w:r>
      <w:r w:rsidRPr="00EF7F0E">
        <w:rPr>
          <w:strike/>
        </w:rPr>
        <w:t>with regard to its devices to prevent unauthorized use.</w:t>
      </w:r>
      <w:r w:rsidRPr="00EF7F0E">
        <w:t xml:space="preserve">  </w:t>
      </w:r>
      <w:r w:rsidRPr="00EF7F0E">
        <w:rPr>
          <w:b/>
          <w:bCs/>
          <w:iCs/>
        </w:rPr>
        <w:t>Approval of devices to prevent unauthorized use which are intended to be permanently fitted to vehicles of any category</w:t>
      </w:r>
      <w:r w:rsidR="00297101" w:rsidRPr="001C415A">
        <w:rPr>
          <w:b/>
          <w:bCs/>
          <w:iCs/>
        </w:rPr>
        <w:t>.</w:t>
      </w:r>
      <w:r w:rsidRPr="00EF7F0E">
        <w:rPr>
          <w:b/>
          <w:bCs/>
          <w:iCs/>
        </w:rPr>
        <w:t xml:space="preserve"> </w:t>
      </w:r>
      <w:r w:rsidR="00CC2495" w:rsidRPr="00EF7F0E">
        <w:rPr>
          <w:rStyle w:val="FootnoteReference"/>
          <w:b/>
          <w:bCs/>
          <w:iCs/>
        </w:rPr>
        <w:footnoteReference w:id="3"/>
      </w:r>
      <w:r w:rsidR="0051226D" w:rsidRPr="00EF7F0E">
        <w:rPr>
          <w:b/>
          <w:bCs/>
          <w:iCs/>
          <w:vertAlign w:val="superscript"/>
        </w:rPr>
        <w:t>,</w:t>
      </w:r>
      <w:r w:rsidRPr="00EF7F0E">
        <w:rPr>
          <w:b/>
          <w:bCs/>
          <w:iCs/>
          <w:vertAlign w:val="superscript"/>
        </w:rPr>
        <w:t xml:space="preserve"> </w:t>
      </w:r>
      <w:r w:rsidR="007F7238" w:rsidRPr="00EF7F0E">
        <w:rPr>
          <w:rStyle w:val="FootnoteReference"/>
          <w:b/>
          <w:bCs/>
          <w:iCs/>
        </w:rPr>
        <w:footnoteReference w:id="4"/>
      </w:r>
    </w:p>
    <w:p w14:paraId="46219F10" w14:textId="5A6B6DC1" w:rsidR="006357AC" w:rsidRPr="00EF7F0E" w:rsidRDefault="006357AC" w:rsidP="006357AC">
      <w:pPr>
        <w:tabs>
          <w:tab w:val="left" w:pos="2268"/>
        </w:tabs>
        <w:suppressAutoHyphens w:val="0"/>
        <w:spacing w:after="120"/>
        <w:ind w:left="2268" w:right="991" w:hanging="1134"/>
        <w:jc w:val="both"/>
      </w:pPr>
      <w:r w:rsidRPr="00EF7F0E">
        <w:t>1.2.</w:t>
      </w:r>
      <w:r w:rsidRPr="00EF7F0E">
        <w:tab/>
      </w:r>
      <w:r w:rsidRPr="00EF7F0E">
        <w:rPr>
          <w:strike/>
        </w:rPr>
        <w:t>The fitting of devices to vehicles of other categories is optional but any such device fitted is required to comply with all relevant provisions of this Regulation.</w:t>
      </w:r>
      <w:r w:rsidR="00503381" w:rsidRPr="00EF7F0E">
        <w:t xml:space="preserve">  </w:t>
      </w:r>
      <w:r w:rsidR="00503381" w:rsidRPr="00EF7F0E">
        <w:rPr>
          <w:b/>
          <w:bCs/>
        </w:rPr>
        <w:t>Approval of vehicles of category M</w:t>
      </w:r>
      <w:r w:rsidR="00503381" w:rsidRPr="00EF7F0E">
        <w:rPr>
          <w:b/>
          <w:bCs/>
          <w:vertAlign w:val="subscript"/>
        </w:rPr>
        <w:t>1</w:t>
      </w:r>
      <w:r w:rsidR="00503381" w:rsidRPr="00EF7F0E">
        <w:rPr>
          <w:b/>
          <w:bCs/>
        </w:rPr>
        <w:t xml:space="preserve"> and those of category N</w:t>
      </w:r>
      <w:r w:rsidR="00503381" w:rsidRPr="00EF7F0E">
        <w:rPr>
          <w:b/>
          <w:bCs/>
          <w:vertAlign w:val="subscript"/>
        </w:rPr>
        <w:t>1</w:t>
      </w:r>
      <w:r w:rsidR="00503381" w:rsidRPr="00EF7F0E">
        <w:rPr>
          <w:b/>
          <w:bCs/>
        </w:rPr>
        <w:t xml:space="preserve"> with a maximum mass of not more than 2 tonnes, with regard to their devices to prevent unauthorized use</w:t>
      </w:r>
      <w:r w:rsidR="000E0E86" w:rsidRPr="001C415A">
        <w:rPr>
          <w:b/>
          <w:bCs/>
        </w:rPr>
        <w:t>.</w:t>
      </w:r>
      <w:r w:rsidR="00503381" w:rsidRPr="00EF7F0E">
        <w:rPr>
          <w:b/>
          <w:bCs/>
        </w:rPr>
        <w:t> </w:t>
      </w:r>
      <w:r w:rsidR="00503381" w:rsidRPr="00EF7F0E">
        <w:rPr>
          <w:b/>
          <w:bCs/>
          <w:vertAlign w:val="superscript"/>
        </w:rPr>
        <w:t>2</w:t>
      </w:r>
    </w:p>
    <w:p w14:paraId="6AEBC408" w14:textId="708B4FDA" w:rsidR="00503381" w:rsidRPr="00EF7F0E" w:rsidRDefault="006357AC" w:rsidP="00503381">
      <w:pPr>
        <w:tabs>
          <w:tab w:val="left" w:pos="2268"/>
        </w:tabs>
        <w:suppressAutoHyphens w:val="0"/>
        <w:spacing w:after="120"/>
        <w:ind w:left="2268" w:right="991" w:hanging="1134"/>
        <w:jc w:val="both"/>
      </w:pPr>
      <w:r w:rsidRPr="00EF7F0E">
        <w:t>1.3.</w:t>
      </w:r>
      <w:r w:rsidRPr="00EF7F0E">
        <w:tab/>
      </w:r>
      <w:r w:rsidR="00503381" w:rsidRPr="00EF7F0E">
        <w:rPr>
          <w:strike/>
        </w:rPr>
        <w:t>At the request of the manufacturer, Contracting Parties may grant approvals according to this Regulation to vehicles of other categories and devices for fitment to such vehicles</w:t>
      </w:r>
      <w:r w:rsidR="00503381" w:rsidRPr="00EF7F0E">
        <w:t xml:space="preserve">.  </w:t>
      </w:r>
      <w:r w:rsidR="00503381" w:rsidRPr="00EF7F0E">
        <w:rPr>
          <w:b/>
          <w:bCs/>
        </w:rPr>
        <w:t>At the request of the manufacturer, Contracting Parties may grant approvals to vehicles of other categories with regard to their device(s) to prevent unauthorized use</w:t>
      </w:r>
      <w:r w:rsidR="00503381" w:rsidRPr="00EF7F0E">
        <w:t>.</w:t>
      </w:r>
    </w:p>
    <w:p w14:paraId="41E4C263" w14:textId="0DE030AE" w:rsidR="006357AC" w:rsidRPr="00EF7F0E" w:rsidRDefault="00503381" w:rsidP="00503381">
      <w:pPr>
        <w:tabs>
          <w:tab w:val="left" w:pos="2268"/>
        </w:tabs>
        <w:suppressAutoHyphens w:val="0"/>
        <w:spacing w:after="120"/>
        <w:ind w:left="2268" w:right="991" w:hanging="1134"/>
        <w:jc w:val="both"/>
        <w:rPr>
          <w:rFonts w:eastAsia="DengXian"/>
          <w:iCs/>
          <w:lang w:eastAsia="zh-CN"/>
        </w:rPr>
      </w:pPr>
      <w:r w:rsidRPr="00EF7F0E">
        <w:t xml:space="preserve">1.4. </w:t>
      </w:r>
      <w:r w:rsidRPr="00EF7F0E">
        <w:tab/>
      </w:r>
      <w:r w:rsidRPr="00EF7F0E">
        <w:rPr>
          <w:strike/>
        </w:rPr>
        <w:t>This Regulation does not apply to radio transmission frequencies, whether or not related to the protection of vehicles against unauthorized use</w:t>
      </w:r>
      <w:r w:rsidRPr="00EF7F0E">
        <w:t xml:space="preserve">.  </w:t>
      </w:r>
      <w:r w:rsidRPr="00EF7F0E">
        <w:rPr>
          <w:b/>
          <w:bCs/>
        </w:rPr>
        <w:t>This Regulation does not apply to radio transmission frequencies, whether or not related to the protection of vehicles against unauthorized use.</w:t>
      </w:r>
      <w:r w:rsidR="00085168" w:rsidRPr="00EF7F0E">
        <w:t>"</w:t>
      </w:r>
    </w:p>
    <w:p w14:paraId="66B48A28" w14:textId="518CCC32" w:rsidR="00961963" w:rsidRPr="00EF7F0E" w:rsidRDefault="00131CD7" w:rsidP="00085168">
      <w:pPr>
        <w:pStyle w:val="SingleTxtG"/>
        <w:rPr>
          <w:i/>
        </w:rPr>
      </w:pPr>
      <w:bookmarkStart w:id="0" w:name="_Hlk92106570"/>
      <w:r w:rsidRPr="00EF7F0E">
        <w:rPr>
          <w:rFonts w:eastAsia="DengXian"/>
          <w:i/>
          <w:lang w:eastAsia="zh-CN"/>
        </w:rPr>
        <w:t xml:space="preserve">Paragraph </w:t>
      </w:r>
      <w:r w:rsidR="00961963" w:rsidRPr="00EF7F0E">
        <w:rPr>
          <w:i/>
        </w:rPr>
        <w:t>5.3</w:t>
      </w:r>
      <w:r w:rsidR="00961963" w:rsidRPr="00EF7F0E">
        <w:t>., amend to read</w:t>
      </w:r>
      <w:bookmarkEnd w:id="0"/>
      <w:r w:rsidR="00961963" w:rsidRPr="00EF7F0E">
        <w:t>:</w:t>
      </w:r>
    </w:p>
    <w:p w14:paraId="224F4D0C" w14:textId="2ADE9C72" w:rsidR="00961963" w:rsidRPr="00EF7F0E" w:rsidRDefault="00085168" w:rsidP="00961963">
      <w:pPr>
        <w:pStyle w:val="para"/>
      </w:pPr>
      <w:r w:rsidRPr="00EF7F0E">
        <w:t>"</w:t>
      </w:r>
      <w:r w:rsidR="00961963" w:rsidRPr="00EF7F0E">
        <w:t>5.3.</w:t>
      </w:r>
      <w:r w:rsidR="00961963" w:rsidRPr="00EF7F0E">
        <w:tab/>
        <w:t xml:space="preserve">Electromechanical and electronic devices to prevent unauthorized use shall </w:t>
      </w:r>
      <w:r w:rsidR="00961963" w:rsidRPr="00EF7F0E">
        <w:rPr>
          <w:b/>
        </w:rPr>
        <w:t>comply with the requirements of paragraphs 5.1. and 5.2. and shall</w:t>
      </w:r>
      <w:r w:rsidR="00961963" w:rsidRPr="00EF7F0E">
        <w:t xml:space="preserve"> be submitted to</w:t>
      </w:r>
      <w:r w:rsidR="00961963" w:rsidRPr="00EF7F0E">
        <w:rPr>
          <w:bCs/>
        </w:rPr>
        <w:t xml:space="preserve"> the tests described in Annex 6</w:t>
      </w:r>
      <w:r w:rsidR="00961963" w:rsidRPr="00EF7F0E">
        <w:rPr>
          <w:b/>
          <w:bCs/>
        </w:rPr>
        <w:t>, mutatis mutandi.</w:t>
      </w:r>
    </w:p>
    <w:p w14:paraId="574B7C48" w14:textId="77777777" w:rsidR="00961963" w:rsidRPr="00EF7F0E" w:rsidRDefault="00961963" w:rsidP="00961963">
      <w:pPr>
        <w:pStyle w:val="para"/>
        <w:ind w:firstLine="0"/>
        <w:rPr>
          <w:b/>
        </w:rPr>
      </w:pPr>
      <w:r w:rsidRPr="00EF7F0E">
        <w:rPr>
          <w:b/>
        </w:rPr>
        <w:t>Components that are not embedded in the vehicle (e.g. keys, which are used for activation/deactivation) need not to comply with the requirements described in Annex 6.</w:t>
      </w:r>
    </w:p>
    <w:p w14:paraId="05EBB578" w14:textId="5FE50448" w:rsidR="00961963" w:rsidRPr="00EF7F0E" w:rsidRDefault="00961963" w:rsidP="00961963">
      <w:pPr>
        <w:pStyle w:val="para"/>
        <w:ind w:firstLine="0"/>
      </w:pPr>
      <w:r w:rsidRPr="00EF7F0E">
        <w:rPr>
          <w:b/>
          <w:bCs/>
        </w:rPr>
        <w:t>If the technology of the device is such that Paragraph 5</w:t>
      </w:r>
      <w:r w:rsidR="008872B6">
        <w:rPr>
          <w:b/>
          <w:bCs/>
        </w:rPr>
        <w:t>.</w:t>
      </w:r>
      <w:r w:rsidRPr="00EF7F0E">
        <w:rPr>
          <w:b/>
          <w:bCs/>
        </w:rPr>
        <w:t xml:space="preserve"> and Annex 6 are not applicable it shall be verified that care has been taken to preserve safety of the vehicle. The functioning process of these devices shall incorporate secure means to prevent any risk of blocking or accidental malfunctioning which could compromise the safety of the vehicle.</w:t>
      </w:r>
      <w:r w:rsidR="00085168" w:rsidRPr="00EF7F0E">
        <w:t>"</w:t>
      </w:r>
    </w:p>
    <w:p w14:paraId="22FF67AC" w14:textId="1A4AEE96" w:rsidR="00961963" w:rsidRPr="00EF7F0E" w:rsidRDefault="00961963" w:rsidP="004F6547">
      <w:pPr>
        <w:pStyle w:val="para"/>
        <w:ind w:left="1170" w:firstLine="0"/>
      </w:pPr>
      <w:r w:rsidRPr="00EF7F0E">
        <w:rPr>
          <w:i/>
        </w:rPr>
        <w:t xml:space="preserve">Paragraphs 6.1. to 6.3., </w:t>
      </w:r>
      <w:r w:rsidR="00815D0C" w:rsidRPr="00EF7F0E">
        <w:rPr>
          <w:iCs/>
        </w:rPr>
        <w:t>shall be</w:t>
      </w:r>
      <w:r w:rsidR="00815D0C" w:rsidRPr="00EF7F0E">
        <w:rPr>
          <w:i/>
        </w:rPr>
        <w:t xml:space="preserve"> </w:t>
      </w:r>
      <w:r w:rsidRPr="00EF7F0E">
        <w:t>delete</w:t>
      </w:r>
      <w:r w:rsidR="00815D0C" w:rsidRPr="00EF7F0E">
        <w:t>d</w:t>
      </w:r>
    </w:p>
    <w:p w14:paraId="3B38ED81" w14:textId="1995089F" w:rsidR="00961963" w:rsidRPr="00EF7F0E" w:rsidRDefault="00961963" w:rsidP="004F6547">
      <w:pPr>
        <w:pStyle w:val="para"/>
        <w:ind w:left="1170" w:firstLine="0"/>
      </w:pPr>
      <w:r w:rsidRPr="00EF7F0E">
        <w:rPr>
          <w:bCs/>
          <w:i/>
          <w:iCs/>
        </w:rPr>
        <w:t>Insert new</w:t>
      </w:r>
      <w:r w:rsidRPr="00EF7F0E">
        <w:rPr>
          <w:b/>
          <w:bCs/>
          <w:i/>
          <w:iCs/>
        </w:rPr>
        <w:t xml:space="preserve"> </w:t>
      </w:r>
      <w:r w:rsidR="00535E49" w:rsidRPr="00EF7F0E">
        <w:rPr>
          <w:i/>
        </w:rPr>
        <w:t>p</w:t>
      </w:r>
      <w:r w:rsidRPr="00EF7F0E">
        <w:rPr>
          <w:i/>
        </w:rPr>
        <w:t xml:space="preserve">aragraphs 6.1. to 6.3., </w:t>
      </w:r>
      <w:r w:rsidRPr="00EF7F0E">
        <w:t>to read:</w:t>
      </w:r>
    </w:p>
    <w:p w14:paraId="11FC344D" w14:textId="49C6E317" w:rsidR="00961963" w:rsidRPr="00EF7F0E" w:rsidRDefault="00085168" w:rsidP="004F6547">
      <w:pPr>
        <w:pStyle w:val="ListParagraph"/>
        <w:tabs>
          <w:tab w:val="left" w:pos="2268"/>
        </w:tabs>
        <w:spacing w:before="120" w:after="120"/>
        <w:ind w:left="2262" w:right="992" w:hanging="1092"/>
        <w:jc w:val="both"/>
        <w:rPr>
          <w:rFonts w:ascii="Times New Roman" w:hAnsi="Times New Roman"/>
          <w:b/>
          <w:bCs/>
          <w:sz w:val="20"/>
          <w:szCs w:val="20"/>
          <w:lang w:val="en-GB"/>
        </w:rPr>
      </w:pPr>
      <w:r w:rsidRPr="00EF7F0E">
        <w:rPr>
          <w:rFonts w:ascii="Times New Roman" w:hAnsi="Times New Roman"/>
          <w:sz w:val="20"/>
          <w:szCs w:val="20"/>
          <w:lang w:val="en-GB"/>
        </w:rPr>
        <w:t>"</w:t>
      </w:r>
      <w:r w:rsidR="00961963" w:rsidRPr="00EF7F0E">
        <w:rPr>
          <w:rFonts w:ascii="Times New Roman" w:hAnsi="Times New Roman"/>
          <w:b/>
          <w:bCs/>
          <w:sz w:val="20"/>
          <w:szCs w:val="20"/>
          <w:lang w:val="en-GB"/>
        </w:rPr>
        <w:t>6.1.</w:t>
      </w:r>
      <w:r w:rsidR="00961963" w:rsidRPr="00EF7F0E">
        <w:rPr>
          <w:rFonts w:ascii="Times New Roman" w:hAnsi="Times New Roman"/>
          <w:b/>
          <w:bCs/>
          <w:sz w:val="20"/>
          <w:szCs w:val="20"/>
          <w:lang w:val="en-GB"/>
        </w:rPr>
        <w:tab/>
        <w:t>Every modification of a vehicle or component type with regard to this Regulation shall be notified to the administrative department which approved the vehicle or component type. The department may then either:</w:t>
      </w:r>
    </w:p>
    <w:p w14:paraId="136F1790" w14:textId="77777777" w:rsidR="00961963" w:rsidRPr="00EF7F0E" w:rsidRDefault="00961963" w:rsidP="004F6547">
      <w:pPr>
        <w:pStyle w:val="ListParagraph"/>
        <w:tabs>
          <w:tab w:val="left" w:pos="2268"/>
        </w:tabs>
        <w:spacing w:before="120" w:after="120"/>
        <w:ind w:left="2262" w:right="992" w:hanging="1092"/>
        <w:jc w:val="both"/>
        <w:rPr>
          <w:rFonts w:ascii="Times New Roman" w:hAnsi="Times New Roman"/>
          <w:b/>
          <w:bCs/>
          <w:sz w:val="20"/>
          <w:szCs w:val="20"/>
          <w:lang w:val="en-GB"/>
        </w:rPr>
      </w:pPr>
      <w:r w:rsidRPr="00EF7F0E">
        <w:rPr>
          <w:rFonts w:ascii="Times New Roman" w:hAnsi="Times New Roman"/>
          <w:b/>
          <w:bCs/>
          <w:sz w:val="20"/>
          <w:szCs w:val="20"/>
          <w:lang w:val="en-GB"/>
        </w:rPr>
        <w:t>6.1.1.</w:t>
      </w:r>
      <w:r w:rsidRPr="00EF7F0E">
        <w:rPr>
          <w:rFonts w:ascii="Times New Roman" w:hAnsi="Times New Roman"/>
          <w:b/>
          <w:bCs/>
          <w:sz w:val="20"/>
          <w:szCs w:val="20"/>
          <w:lang w:val="en-GB"/>
        </w:rPr>
        <w:tab/>
        <w:t>consider that the modifications made are unlikely to have an appreciable adverse effect and that in any case the component or the vehicle still complies with the requirements, or</w:t>
      </w:r>
    </w:p>
    <w:p w14:paraId="27E79B86" w14:textId="77777777" w:rsidR="00961963" w:rsidRPr="00EF7F0E" w:rsidRDefault="00961963" w:rsidP="004F6547">
      <w:pPr>
        <w:pStyle w:val="ListParagraph"/>
        <w:tabs>
          <w:tab w:val="left" w:pos="2268"/>
        </w:tabs>
        <w:spacing w:before="120" w:after="120"/>
        <w:ind w:left="2262" w:right="992" w:hanging="1092"/>
        <w:jc w:val="both"/>
        <w:rPr>
          <w:rFonts w:ascii="Times New Roman" w:hAnsi="Times New Roman"/>
          <w:b/>
          <w:bCs/>
          <w:sz w:val="20"/>
          <w:szCs w:val="20"/>
          <w:lang w:val="en-GB"/>
        </w:rPr>
      </w:pPr>
      <w:r w:rsidRPr="00EF7F0E">
        <w:rPr>
          <w:rFonts w:ascii="Times New Roman" w:hAnsi="Times New Roman"/>
          <w:b/>
          <w:bCs/>
          <w:sz w:val="20"/>
          <w:szCs w:val="20"/>
          <w:lang w:val="en-GB"/>
        </w:rPr>
        <w:t>6.1.2.</w:t>
      </w:r>
      <w:r w:rsidRPr="00EF7F0E">
        <w:rPr>
          <w:rFonts w:ascii="Times New Roman" w:hAnsi="Times New Roman"/>
          <w:b/>
          <w:bCs/>
          <w:sz w:val="20"/>
          <w:szCs w:val="20"/>
          <w:lang w:val="en-GB"/>
        </w:rPr>
        <w:tab/>
        <w:t>require a further report from the technical service responsible for conducting the tests.</w:t>
      </w:r>
    </w:p>
    <w:p w14:paraId="7B461D99" w14:textId="77777777" w:rsidR="00961963" w:rsidRPr="00EF7F0E" w:rsidRDefault="00961963" w:rsidP="004F6547">
      <w:pPr>
        <w:pStyle w:val="ListParagraph"/>
        <w:tabs>
          <w:tab w:val="left" w:pos="2268"/>
        </w:tabs>
        <w:spacing w:before="120" w:after="120"/>
        <w:ind w:left="2262" w:right="992" w:hanging="1092"/>
        <w:jc w:val="both"/>
        <w:rPr>
          <w:rFonts w:ascii="Times New Roman" w:hAnsi="Times New Roman"/>
          <w:b/>
          <w:bCs/>
          <w:sz w:val="20"/>
          <w:szCs w:val="20"/>
          <w:lang w:val="en-GB"/>
        </w:rPr>
      </w:pPr>
      <w:r w:rsidRPr="00EF7F0E">
        <w:rPr>
          <w:rFonts w:ascii="Times New Roman" w:hAnsi="Times New Roman"/>
          <w:b/>
          <w:bCs/>
          <w:sz w:val="20"/>
          <w:szCs w:val="20"/>
          <w:lang w:val="en-GB"/>
        </w:rPr>
        <w:lastRenderedPageBreak/>
        <w:t>6.2.</w:t>
      </w:r>
      <w:r w:rsidRPr="00EF7F0E">
        <w:rPr>
          <w:rFonts w:ascii="Times New Roman" w:hAnsi="Times New Roman"/>
          <w:b/>
          <w:bCs/>
          <w:sz w:val="20"/>
          <w:szCs w:val="20"/>
          <w:lang w:val="en-GB"/>
        </w:rPr>
        <w:tab/>
        <w:t>Confirmation or refusal of approval, specifying the alteration, shall be communicated by the procedure specified in paragraph 4.3. above to the Contracting Parties to the Agreement applying this Regulation.</w:t>
      </w:r>
    </w:p>
    <w:p w14:paraId="4BEA6015" w14:textId="7946BB02" w:rsidR="00961963" w:rsidRPr="00EF7F0E" w:rsidRDefault="00961963" w:rsidP="004F6547">
      <w:pPr>
        <w:pStyle w:val="ListParagraph"/>
        <w:tabs>
          <w:tab w:val="left" w:pos="2268"/>
        </w:tabs>
        <w:spacing w:before="120" w:after="120"/>
        <w:ind w:left="2262" w:right="992" w:hanging="1092"/>
        <w:jc w:val="both"/>
        <w:rPr>
          <w:rFonts w:ascii="Times New Roman" w:hAnsi="Times New Roman"/>
          <w:b/>
          <w:bCs/>
          <w:sz w:val="20"/>
          <w:szCs w:val="20"/>
          <w:lang w:val="en-GB"/>
        </w:rPr>
      </w:pPr>
      <w:r w:rsidRPr="00EF7F0E">
        <w:rPr>
          <w:rFonts w:ascii="Times New Roman" w:hAnsi="Times New Roman"/>
          <w:b/>
          <w:bCs/>
          <w:sz w:val="20"/>
          <w:szCs w:val="20"/>
          <w:lang w:val="en-GB"/>
        </w:rPr>
        <w:t>6.3.</w:t>
      </w:r>
      <w:r w:rsidRPr="00EF7F0E">
        <w:rPr>
          <w:rFonts w:ascii="Times New Roman" w:hAnsi="Times New Roman"/>
          <w:b/>
          <w:bCs/>
          <w:sz w:val="20"/>
          <w:szCs w:val="20"/>
          <w:lang w:val="en-GB"/>
        </w:rPr>
        <w:tab/>
      </w:r>
      <w:r w:rsidR="00603C4F" w:rsidRPr="00EF7F0E">
        <w:rPr>
          <w:rFonts w:ascii="Times New Roman" w:hAnsi="Times New Roman"/>
          <w:b/>
          <w:bCs/>
          <w:sz w:val="20"/>
          <w:szCs w:val="20"/>
          <w:lang w:val="en-GB"/>
        </w:rPr>
        <w:t xml:space="preserve">The Type Approval Authority shall </w:t>
      </w:r>
      <w:bookmarkStart w:id="1" w:name="_Hlk92098654"/>
      <w:r w:rsidR="00603C4F" w:rsidRPr="00EF7F0E">
        <w:rPr>
          <w:rFonts w:ascii="Times New Roman" w:hAnsi="Times New Roman"/>
          <w:b/>
          <w:bCs/>
          <w:sz w:val="20"/>
          <w:szCs w:val="20"/>
          <w:lang w:val="en-GB"/>
        </w:rPr>
        <w:t>inform the other Contracting Parties of the extension by means of the communication form which appears in Annex</w:t>
      </w:r>
      <w:r w:rsidR="000D3B90" w:rsidRPr="00EF7F0E">
        <w:rPr>
          <w:rFonts w:ascii="Times New Roman" w:hAnsi="Times New Roman"/>
          <w:b/>
          <w:bCs/>
          <w:sz w:val="20"/>
          <w:szCs w:val="20"/>
          <w:lang w:val="en-GB"/>
        </w:rPr>
        <w:t> </w:t>
      </w:r>
      <w:r w:rsidR="00603C4F" w:rsidRPr="00EF7F0E">
        <w:rPr>
          <w:rFonts w:ascii="Times New Roman" w:hAnsi="Times New Roman"/>
          <w:b/>
          <w:bCs/>
          <w:sz w:val="20"/>
          <w:szCs w:val="20"/>
          <w:lang w:val="en-GB"/>
        </w:rPr>
        <w:t xml:space="preserve">1 to this Regulation. It </w:t>
      </w:r>
      <w:bookmarkEnd w:id="1"/>
      <w:r w:rsidR="00603C4F" w:rsidRPr="00EF7F0E">
        <w:rPr>
          <w:rFonts w:ascii="Times New Roman" w:hAnsi="Times New Roman"/>
          <w:b/>
          <w:bCs/>
          <w:sz w:val="20"/>
          <w:szCs w:val="20"/>
          <w:lang w:val="en-GB"/>
        </w:rPr>
        <w:t>shall assign a serial number to each extension, to be known as the extension number</w:t>
      </w:r>
      <w:r w:rsidRPr="00EF7F0E">
        <w:rPr>
          <w:rFonts w:ascii="Times New Roman" w:hAnsi="Times New Roman"/>
          <w:b/>
          <w:bCs/>
          <w:sz w:val="20"/>
          <w:szCs w:val="20"/>
          <w:lang w:val="en-GB"/>
        </w:rPr>
        <w:t>.</w:t>
      </w:r>
      <w:r w:rsidR="00085168" w:rsidRPr="00EF7F0E">
        <w:rPr>
          <w:rFonts w:ascii="Times New Roman" w:hAnsi="Times New Roman"/>
          <w:sz w:val="20"/>
          <w:szCs w:val="20"/>
          <w:lang w:val="en-GB"/>
        </w:rPr>
        <w:t>"</w:t>
      </w:r>
    </w:p>
    <w:p w14:paraId="6AE6A83C" w14:textId="76BF9895" w:rsidR="00961963" w:rsidRPr="00EF7F0E" w:rsidRDefault="00961963" w:rsidP="00535E49">
      <w:pPr>
        <w:spacing w:after="120"/>
        <w:ind w:left="1166"/>
        <w:rPr>
          <w:i/>
        </w:rPr>
      </w:pPr>
      <w:r w:rsidRPr="00EF7F0E">
        <w:rPr>
          <w:i/>
        </w:rPr>
        <w:t>Annex 6, paragraph 1</w:t>
      </w:r>
      <w:r w:rsidRPr="00EF7F0E">
        <w:t>., amend to read:</w:t>
      </w:r>
    </w:p>
    <w:p w14:paraId="2DD0FEBC" w14:textId="5C74FBC3" w:rsidR="00961963" w:rsidRPr="00EF7F0E" w:rsidRDefault="00085168" w:rsidP="00961963">
      <w:pPr>
        <w:spacing w:after="120"/>
        <w:ind w:left="2268" w:right="1133" w:hanging="1133"/>
        <w:jc w:val="both"/>
        <w:rPr>
          <w:bCs/>
        </w:rPr>
      </w:pPr>
      <w:r w:rsidRPr="00EF7F0E">
        <w:t>"</w:t>
      </w:r>
      <w:r w:rsidR="00961963" w:rsidRPr="00EF7F0E">
        <w:rPr>
          <w:bCs/>
        </w:rPr>
        <w:t>1.</w:t>
      </w:r>
      <w:r w:rsidR="00961963" w:rsidRPr="00EF7F0E">
        <w:rPr>
          <w:bCs/>
        </w:rPr>
        <w:tab/>
        <w:t>Operation parameters</w:t>
      </w:r>
    </w:p>
    <w:p w14:paraId="45C92C5E" w14:textId="77777777" w:rsidR="00961963" w:rsidRPr="00EF7F0E" w:rsidRDefault="00961963" w:rsidP="00961963">
      <w:pPr>
        <w:spacing w:after="120"/>
        <w:ind w:left="2268" w:right="1133"/>
        <w:jc w:val="both"/>
        <w:rPr>
          <w:bCs/>
        </w:rPr>
      </w:pPr>
      <w:r w:rsidRPr="00EF7F0E">
        <w:rPr>
          <w:bCs/>
        </w:rPr>
        <w:t>The requirements below do not apply to:</w:t>
      </w:r>
    </w:p>
    <w:p w14:paraId="51B7E338" w14:textId="77777777" w:rsidR="00961963" w:rsidRPr="00EF7F0E" w:rsidRDefault="00961963" w:rsidP="00961963">
      <w:pPr>
        <w:spacing w:after="120"/>
        <w:ind w:left="2835" w:right="1133" w:hanging="566"/>
        <w:jc w:val="both"/>
        <w:rPr>
          <w:bCs/>
        </w:rPr>
      </w:pPr>
      <w:r w:rsidRPr="00EF7F0E">
        <w:rPr>
          <w:bCs/>
        </w:rPr>
        <w:t>(a)</w:t>
      </w:r>
      <w:r w:rsidRPr="00EF7F0E">
        <w:rPr>
          <w:bCs/>
        </w:rPr>
        <w:tab/>
        <w:t>Those components that are fitted and tested as part of the vehicle, whether or not a locking system is fitted (e.g. lamps, alarm system, immobilizer); or</w:t>
      </w:r>
    </w:p>
    <w:p w14:paraId="1694C9B7" w14:textId="665E5C07" w:rsidR="00961963" w:rsidRPr="00EF7F0E" w:rsidRDefault="00961963" w:rsidP="00961963">
      <w:pPr>
        <w:spacing w:after="120"/>
        <w:ind w:left="2835" w:right="1133" w:hanging="566"/>
        <w:jc w:val="both"/>
        <w:rPr>
          <w:b/>
        </w:rPr>
      </w:pPr>
      <w:r w:rsidRPr="00EF7F0E">
        <w:rPr>
          <w:bCs/>
        </w:rPr>
        <w:t>(b)</w:t>
      </w:r>
      <w:r w:rsidRPr="00EF7F0E">
        <w:rPr>
          <w:bCs/>
        </w:rPr>
        <w:tab/>
        <w:t>Those components that have previously been tested as part of the vehicle and documentary evidence has been provided</w:t>
      </w:r>
      <w:r w:rsidRPr="00EF7F0E">
        <w:rPr>
          <w:bCs/>
          <w:strike/>
        </w:rPr>
        <w:t>.</w:t>
      </w:r>
      <w:r w:rsidRPr="00EF7F0E">
        <w:rPr>
          <w:b/>
        </w:rPr>
        <w:t>, or</w:t>
      </w:r>
    </w:p>
    <w:p w14:paraId="650B3A4F" w14:textId="77777777" w:rsidR="00961963" w:rsidRPr="00EF7F0E" w:rsidRDefault="00961963" w:rsidP="00961963">
      <w:pPr>
        <w:spacing w:after="120"/>
        <w:ind w:left="2835" w:right="1133" w:hanging="566"/>
        <w:jc w:val="both"/>
        <w:rPr>
          <w:b/>
        </w:rPr>
      </w:pPr>
      <w:r w:rsidRPr="00EF7F0E">
        <w:rPr>
          <w:b/>
        </w:rPr>
        <w:t>(c)</w:t>
      </w:r>
      <w:r w:rsidRPr="00EF7F0E">
        <w:rPr>
          <w:b/>
        </w:rPr>
        <w:tab/>
      </w:r>
      <w:r w:rsidRPr="00EF7F0E">
        <w:rPr>
          <w:b/>
          <w:bCs/>
        </w:rPr>
        <w:t>Components that are not embedded in the vehicle, e.g. keys</w:t>
      </w:r>
      <w:r w:rsidRPr="00EF7F0E">
        <w:rPr>
          <w:b/>
        </w:rPr>
        <w:t>.</w:t>
      </w:r>
    </w:p>
    <w:p w14:paraId="4D3EA61C" w14:textId="552928B1" w:rsidR="00131CD7" w:rsidRPr="00EF7F0E" w:rsidRDefault="00961963" w:rsidP="00BB5D35">
      <w:pPr>
        <w:spacing w:before="120" w:line="240" w:lineRule="auto"/>
        <w:ind w:left="2250" w:right="1140"/>
        <w:jc w:val="both"/>
        <w:rPr>
          <w:rFonts w:eastAsia="DengXian"/>
          <w:b/>
          <w:bCs/>
          <w:lang w:eastAsia="zh-CN"/>
        </w:rPr>
      </w:pPr>
      <w:r w:rsidRPr="00EF7F0E">
        <w:rPr>
          <w:bCs/>
        </w:rPr>
        <w:t>All components of the locking system shall operate without any failure under the following conditions</w:t>
      </w:r>
      <w:r w:rsidR="00085168" w:rsidRPr="00EF7F0E">
        <w:rPr>
          <w:rFonts w:eastAsia="DengXian"/>
          <w:lang w:eastAsia="zh-CN"/>
        </w:rPr>
        <w:t>"</w:t>
      </w:r>
    </w:p>
    <w:p w14:paraId="3840BCB6" w14:textId="77777777" w:rsidR="00131CD7" w:rsidRPr="00EF7F0E" w:rsidRDefault="00131CD7" w:rsidP="00131CD7">
      <w:pPr>
        <w:pStyle w:val="HChG"/>
        <w:rPr>
          <w:b w:val="0"/>
        </w:rPr>
      </w:pPr>
      <w:r w:rsidRPr="00EF7F0E">
        <w:tab/>
        <w:t>II.</w:t>
      </w:r>
      <w:r w:rsidRPr="00EF7F0E">
        <w:tab/>
        <w:t>Justification</w:t>
      </w:r>
    </w:p>
    <w:p w14:paraId="2839D578" w14:textId="05FDD343" w:rsidR="008518EE" w:rsidRPr="00EF7F0E" w:rsidRDefault="00F20C62" w:rsidP="00F20C62">
      <w:pPr>
        <w:pStyle w:val="SingleTxtG"/>
      </w:pPr>
      <w:r w:rsidRPr="00EF7F0E">
        <w:t>1.</w:t>
      </w:r>
      <w:r w:rsidRPr="00EF7F0E">
        <w:tab/>
      </w:r>
      <w:r w:rsidR="008518EE" w:rsidRPr="00EF7F0E">
        <w:rPr>
          <w:b/>
          <w:bCs/>
        </w:rPr>
        <w:t>Paragraph 1</w:t>
      </w:r>
      <w:r w:rsidR="008518EE" w:rsidRPr="00EF7F0E">
        <w:t>.</w:t>
      </w:r>
      <w:r w:rsidR="0052565E" w:rsidRPr="00EF7F0E">
        <w:t xml:space="preserve"> </w:t>
      </w:r>
      <w:r w:rsidR="008518EE" w:rsidRPr="00EF7F0E">
        <w:t>The split of UN R</w:t>
      </w:r>
      <w:r w:rsidR="0052565E" w:rsidRPr="00EF7F0E">
        <w:t xml:space="preserve">egulation No. </w:t>
      </w:r>
      <w:r w:rsidR="008518EE" w:rsidRPr="00EF7F0E">
        <w:t xml:space="preserve">116 is </w:t>
      </w:r>
      <w:r w:rsidR="00472678" w:rsidRPr="00EF7F0E">
        <w:t>among others</w:t>
      </w:r>
      <w:r w:rsidR="008518EE" w:rsidRPr="00EF7F0E">
        <w:t xml:space="preserve"> the opportunity to clarify the scope of the regulation</w:t>
      </w:r>
      <w:r w:rsidR="004F3E1A" w:rsidRPr="00EF7F0E">
        <w:t>s</w:t>
      </w:r>
      <w:r w:rsidR="008518EE" w:rsidRPr="00EF7F0E">
        <w:t>. The scope</w:t>
      </w:r>
      <w:r w:rsidR="00472678" w:rsidRPr="00EF7F0E">
        <w:t xml:space="preserve"> of </w:t>
      </w:r>
      <w:r w:rsidR="00362B62" w:rsidRPr="00EF7F0E">
        <w:t>UN R</w:t>
      </w:r>
      <w:r w:rsidR="00382A3D" w:rsidRPr="00EF7F0E">
        <w:t xml:space="preserve">egulation No. </w:t>
      </w:r>
      <w:r w:rsidR="00362B62" w:rsidRPr="00EF7F0E">
        <w:t>161</w:t>
      </w:r>
      <w:r w:rsidR="00472678" w:rsidRPr="00EF7F0E">
        <w:t xml:space="preserve"> on devices to prevent unauthorized use</w:t>
      </w:r>
      <w:r w:rsidR="008518EE" w:rsidRPr="00EF7F0E">
        <w:t xml:space="preserve"> is now distributed in four subsections</w:t>
      </w:r>
      <w:r w:rsidR="00472678" w:rsidRPr="00EF7F0E">
        <w:t>:</w:t>
      </w:r>
    </w:p>
    <w:p w14:paraId="2C13621A" w14:textId="69E15EC6" w:rsidR="00472678" w:rsidRPr="00EF7F0E" w:rsidRDefault="00F20C62" w:rsidP="00F20C62">
      <w:pPr>
        <w:pStyle w:val="SingleTxtG"/>
        <w:ind w:left="1494" w:hanging="360"/>
      </w:pPr>
      <w:r w:rsidRPr="00EF7F0E">
        <w:t>(a)</w:t>
      </w:r>
      <w:r w:rsidRPr="00EF7F0E">
        <w:tab/>
      </w:r>
      <w:r w:rsidR="00472678" w:rsidRPr="00EF7F0E">
        <w:t>The devices to prevent unauthorized use;</w:t>
      </w:r>
    </w:p>
    <w:p w14:paraId="222F4585" w14:textId="17671D72" w:rsidR="00472678" w:rsidRPr="00EF7F0E" w:rsidRDefault="00F20C62" w:rsidP="00F20C62">
      <w:pPr>
        <w:pStyle w:val="SingleTxtG"/>
        <w:ind w:left="1494" w:hanging="360"/>
      </w:pPr>
      <w:r w:rsidRPr="00EF7F0E">
        <w:t>(b)</w:t>
      </w:r>
      <w:r w:rsidRPr="00EF7F0E">
        <w:tab/>
      </w:r>
      <w:r w:rsidR="00472678" w:rsidRPr="00EF7F0E">
        <w:t>The vehicles of category M</w:t>
      </w:r>
      <w:r w:rsidR="00472678" w:rsidRPr="00DE5525">
        <w:rPr>
          <w:vertAlign w:val="subscript"/>
        </w:rPr>
        <w:t>1</w:t>
      </w:r>
      <w:r w:rsidR="00472678" w:rsidRPr="00EF7F0E">
        <w:t>/N</w:t>
      </w:r>
      <w:r w:rsidR="00472678" w:rsidRPr="00DE5525">
        <w:rPr>
          <w:vertAlign w:val="subscript"/>
        </w:rPr>
        <w:t>1</w:t>
      </w:r>
      <w:r w:rsidR="00472678" w:rsidRPr="00EF7F0E">
        <w:t xml:space="preserve"> fitted with those devices;</w:t>
      </w:r>
    </w:p>
    <w:p w14:paraId="1CFB1991" w14:textId="60221AB3" w:rsidR="00472678" w:rsidRPr="00EF7F0E" w:rsidRDefault="00F20C62" w:rsidP="00F20C62">
      <w:pPr>
        <w:pStyle w:val="SingleTxtG"/>
        <w:ind w:left="1494" w:hanging="360"/>
      </w:pPr>
      <w:r w:rsidRPr="00EF7F0E">
        <w:t>(c)</w:t>
      </w:r>
      <w:r w:rsidRPr="00EF7F0E">
        <w:tab/>
      </w:r>
      <w:r w:rsidR="00472678" w:rsidRPr="00EF7F0E">
        <w:t>Other vehicle categories, at the request of the manufacturer;</w:t>
      </w:r>
    </w:p>
    <w:p w14:paraId="27E20CA4" w14:textId="286FB291" w:rsidR="00472678" w:rsidRPr="00EF7F0E" w:rsidRDefault="00F20C62" w:rsidP="00F20C62">
      <w:pPr>
        <w:pStyle w:val="SingleTxtG"/>
        <w:ind w:left="1494" w:hanging="360"/>
      </w:pPr>
      <w:r w:rsidRPr="00EF7F0E">
        <w:t>(d)</w:t>
      </w:r>
      <w:r w:rsidRPr="00EF7F0E">
        <w:tab/>
      </w:r>
      <w:r w:rsidR="00472678" w:rsidRPr="00EF7F0E">
        <w:t>The exclusion of radio frequencies.</w:t>
      </w:r>
    </w:p>
    <w:p w14:paraId="0CA34A61" w14:textId="31591CB8" w:rsidR="00472678" w:rsidRPr="00EF7F0E" w:rsidRDefault="004F3E1A" w:rsidP="0015405B">
      <w:pPr>
        <w:pStyle w:val="SingleTxtG"/>
      </w:pPr>
      <w:r w:rsidRPr="00EF7F0E">
        <w:t xml:space="preserve">This structure </w:t>
      </w:r>
      <w:r w:rsidR="006132CB" w:rsidRPr="00EF7F0E">
        <w:t xml:space="preserve">well clarifies which vehicle categories are in or out of the scope, and which sections of the </w:t>
      </w:r>
      <w:r w:rsidR="00C67D28" w:rsidRPr="00EF7F0E">
        <w:t>UN R</w:t>
      </w:r>
      <w:r w:rsidR="006132CB" w:rsidRPr="00EF7F0E">
        <w:t xml:space="preserve">egulation apply to which vehicle/devices. </w:t>
      </w:r>
      <w:r w:rsidR="00472678" w:rsidRPr="00EF7F0E">
        <w:t>The proposal reflect</w:t>
      </w:r>
      <w:r w:rsidR="000E0E86">
        <w:t>s</w:t>
      </w:r>
      <w:r w:rsidR="00472678" w:rsidRPr="00EF7F0E">
        <w:t xml:space="preserve"> the wording proposed </w:t>
      </w:r>
      <w:r w:rsidR="006132CB" w:rsidRPr="00EF7F0E">
        <w:t>in</w:t>
      </w:r>
      <w:r w:rsidRPr="00EF7F0E">
        <w:t xml:space="preserve"> the</w:t>
      </w:r>
      <w:r w:rsidR="00472678" w:rsidRPr="00EF7F0E">
        <w:t xml:space="preserve"> </w:t>
      </w:r>
      <w:r w:rsidRPr="00EF7F0E">
        <w:t xml:space="preserve">informal document GRSG-122-21 adopted in principle at </w:t>
      </w:r>
      <w:r w:rsidR="00C67D28" w:rsidRPr="00EF7F0E">
        <w:t>the 122</w:t>
      </w:r>
      <w:r w:rsidR="00C67D28" w:rsidRPr="00EF7F0E">
        <w:rPr>
          <w:vertAlign w:val="superscript"/>
        </w:rPr>
        <w:t>nd</w:t>
      </w:r>
      <w:r w:rsidR="00C67D28" w:rsidRPr="00EF7F0E">
        <w:t xml:space="preserve"> </w:t>
      </w:r>
      <w:r w:rsidR="00F86550" w:rsidRPr="00EF7F0E">
        <w:t xml:space="preserve">session of </w:t>
      </w:r>
      <w:r w:rsidRPr="00EF7F0E">
        <w:t>GRSG</w:t>
      </w:r>
      <w:r w:rsidR="00F86550" w:rsidRPr="00EF7F0E">
        <w:t xml:space="preserve"> </w:t>
      </w:r>
      <w:r w:rsidRPr="00EF7F0E">
        <w:t>(October 2021).</w:t>
      </w:r>
    </w:p>
    <w:p w14:paraId="3CB611D7" w14:textId="3EB7B38B" w:rsidR="00603C4F" w:rsidRPr="00EF7F0E" w:rsidRDefault="00F20C62" w:rsidP="00F20C62">
      <w:pPr>
        <w:pStyle w:val="SingleTxtG"/>
        <w:ind w:left="1494" w:hanging="360"/>
      </w:pPr>
      <w:r w:rsidRPr="00EF7F0E">
        <w:t>2.</w:t>
      </w:r>
      <w:r w:rsidRPr="00EF7F0E">
        <w:tab/>
      </w:r>
      <w:r w:rsidR="00603C4F" w:rsidRPr="00EF7F0E">
        <w:rPr>
          <w:b/>
          <w:bCs/>
        </w:rPr>
        <w:t>Paragraph 5.3.</w:t>
      </w:r>
      <w:r w:rsidR="00F86550" w:rsidRPr="00EF7F0E">
        <w:t xml:space="preserve"> </w:t>
      </w:r>
      <w:r w:rsidR="00603C4F" w:rsidRPr="00EF7F0E">
        <w:t>The original paragraph 5.4</w:t>
      </w:r>
      <w:r w:rsidR="008872B6">
        <w:t>.</w:t>
      </w:r>
      <w:r w:rsidR="00603C4F" w:rsidRPr="00EF7F0E">
        <w:t xml:space="preserve"> of UN R</w:t>
      </w:r>
      <w:r w:rsidR="00F86550" w:rsidRPr="00EF7F0E">
        <w:t xml:space="preserve">egulation No. </w:t>
      </w:r>
      <w:r w:rsidR="00603C4F" w:rsidRPr="00EF7F0E">
        <w:t>116 was:</w:t>
      </w:r>
    </w:p>
    <w:p w14:paraId="2FD73727" w14:textId="2F469BB0" w:rsidR="00603C4F" w:rsidRPr="00EF7F0E" w:rsidRDefault="00085168" w:rsidP="00603C4F">
      <w:pPr>
        <w:tabs>
          <w:tab w:val="left" w:pos="2268"/>
        </w:tabs>
        <w:spacing w:before="120" w:after="120" w:line="240" w:lineRule="auto"/>
        <w:ind w:left="2268" w:right="1134" w:hanging="1134"/>
        <w:jc w:val="both"/>
      </w:pPr>
      <w:r w:rsidRPr="00EF7F0E">
        <w:t>"</w:t>
      </w:r>
      <w:r w:rsidR="00603C4F" w:rsidRPr="00EF7F0E">
        <w:t>5.4.</w:t>
      </w:r>
      <w:r w:rsidR="00603C4F" w:rsidRPr="00EF7F0E">
        <w:tab/>
        <w:t>Electromechanical and electronic devices to prevent unauthorized use</w:t>
      </w:r>
    </w:p>
    <w:p w14:paraId="6E6BA909" w14:textId="77777777" w:rsidR="00603C4F" w:rsidRPr="00EF7F0E" w:rsidRDefault="00603C4F" w:rsidP="00603C4F">
      <w:pPr>
        <w:tabs>
          <w:tab w:val="left" w:pos="2268"/>
        </w:tabs>
        <w:spacing w:before="120" w:after="120" w:line="240" w:lineRule="auto"/>
        <w:ind w:left="2268" w:right="1134" w:hanging="1134"/>
        <w:jc w:val="both"/>
        <w:rPr>
          <w:bCs/>
        </w:rPr>
      </w:pPr>
      <w:r w:rsidRPr="00EF7F0E">
        <w:tab/>
        <w:t xml:space="preserve">Electromechanical and electronic devices to prevent unauthorized use, where fitted, shall comply with the requirements of paragraphs 5.2. and 5.3. above and paragraph 8.4. below, mutatis mutandi. </w:t>
      </w:r>
      <w:r w:rsidRPr="00EF7F0E">
        <w:rPr>
          <w:b/>
        </w:rPr>
        <w:t>Components that are not embedded in the vehicle (e.g. keys which are used for activation/deactivation) need not to comply with the requirements of paragraph 8.4.</w:t>
      </w:r>
    </w:p>
    <w:p w14:paraId="33409E41" w14:textId="2B49B3CC" w:rsidR="00603C4F" w:rsidRPr="00EF7F0E" w:rsidRDefault="00603C4F" w:rsidP="00603C4F">
      <w:pPr>
        <w:tabs>
          <w:tab w:val="left" w:pos="2268"/>
        </w:tabs>
        <w:spacing w:before="120" w:after="120" w:line="240" w:lineRule="auto"/>
        <w:ind w:left="2268" w:right="1134" w:hanging="1134"/>
        <w:jc w:val="both"/>
      </w:pPr>
      <w:r w:rsidRPr="00EF7F0E">
        <w:tab/>
        <w:t>If the technology of the device is such that Paragraphs 5., 6., and 8.4. are not applicable it shall be verified that care has been taken to preserve safety of the vehicle. The functioning process of these devices shall incorporate secure means to prevent any risk of blocking or accidental dysfunctioning which could compromise the safety of the vehicle.</w:t>
      </w:r>
      <w:r w:rsidR="00085168" w:rsidRPr="00EF7F0E">
        <w:t>"</w:t>
      </w:r>
    </w:p>
    <w:p w14:paraId="1F4D71C4" w14:textId="43066E9D" w:rsidR="00603C4F" w:rsidRPr="00EF7F0E" w:rsidRDefault="00603C4F" w:rsidP="00FB6C38">
      <w:pPr>
        <w:pStyle w:val="SingleTxtG"/>
      </w:pPr>
      <w:r w:rsidRPr="00EF7F0E">
        <w:t>The text in bold represents Supplement 7 to the original version of UN R</w:t>
      </w:r>
      <w:r w:rsidR="00F24CAA" w:rsidRPr="00EF7F0E">
        <w:t xml:space="preserve">egulation No. </w:t>
      </w:r>
      <w:r w:rsidRPr="00EF7F0E">
        <w:t>116.</w:t>
      </w:r>
      <w:r w:rsidR="002F41E0" w:rsidRPr="00EF7F0E">
        <w:t xml:space="preserve"> </w:t>
      </w:r>
      <w:r w:rsidRPr="00EF7F0E">
        <w:t>The proposal aligns the text of UN R</w:t>
      </w:r>
      <w:r w:rsidR="002F41E0" w:rsidRPr="00EF7F0E">
        <w:t xml:space="preserve">egulation No. </w:t>
      </w:r>
      <w:r w:rsidRPr="00EF7F0E">
        <w:t>161 to the content of UN R</w:t>
      </w:r>
      <w:r w:rsidR="00CD4E2F" w:rsidRPr="00EF7F0E">
        <w:t xml:space="preserve">egulation </w:t>
      </w:r>
      <w:r w:rsidR="002F41E0" w:rsidRPr="00EF7F0E">
        <w:br/>
      </w:r>
      <w:r w:rsidR="00CD4E2F" w:rsidRPr="00EF7F0E">
        <w:t xml:space="preserve">No. </w:t>
      </w:r>
      <w:r w:rsidRPr="00EF7F0E">
        <w:t>116 incl</w:t>
      </w:r>
      <w:r w:rsidR="00CD4E2F" w:rsidRPr="00EF7F0E">
        <w:t>uding</w:t>
      </w:r>
      <w:r w:rsidRPr="00EF7F0E">
        <w:t xml:space="preserve"> </w:t>
      </w:r>
      <w:r w:rsidR="00CD4E2F" w:rsidRPr="00EF7F0E">
        <w:t>S</w:t>
      </w:r>
      <w:r w:rsidRPr="00EF7F0E">
        <w:t>upplement 7 by</w:t>
      </w:r>
      <w:r w:rsidR="002F41E0" w:rsidRPr="00EF7F0E">
        <w:t>:</w:t>
      </w:r>
    </w:p>
    <w:p w14:paraId="27622FF7" w14:textId="3772807B" w:rsidR="002F41E0" w:rsidRPr="00EF7F0E" w:rsidRDefault="00F20C62" w:rsidP="00F20C62">
      <w:pPr>
        <w:pStyle w:val="SingleTxtG"/>
        <w:ind w:left="1494" w:hanging="360"/>
      </w:pPr>
      <w:r w:rsidRPr="00EF7F0E">
        <w:t>(a)</w:t>
      </w:r>
      <w:r w:rsidRPr="00EF7F0E">
        <w:tab/>
      </w:r>
      <w:r w:rsidR="00603C4F" w:rsidRPr="00EF7F0E">
        <w:t>adding paragraph reference to the general (para</w:t>
      </w:r>
      <w:r w:rsidR="004A1C8D">
        <w:t>graphs</w:t>
      </w:r>
      <w:r w:rsidR="00603C4F" w:rsidRPr="00EF7F0E">
        <w:t xml:space="preserve"> 5.2. -&gt; 5.1.) and specific (para</w:t>
      </w:r>
      <w:r w:rsidR="004A1C8D">
        <w:t>graphs</w:t>
      </w:r>
      <w:r w:rsidR="00603C4F" w:rsidRPr="00EF7F0E">
        <w:t xml:space="preserve"> 5.3. -&gt; 5.2.) requirements</w:t>
      </w:r>
      <w:r w:rsidR="002F41E0" w:rsidRPr="00EF7F0E">
        <w:t>;</w:t>
      </w:r>
    </w:p>
    <w:p w14:paraId="5750042C" w14:textId="13441F53" w:rsidR="004A052D" w:rsidRPr="00EF7F0E" w:rsidRDefault="00F20C62" w:rsidP="00F20C62">
      <w:pPr>
        <w:pStyle w:val="SingleTxtG"/>
        <w:ind w:left="1494" w:hanging="360"/>
      </w:pPr>
      <w:r w:rsidRPr="00EF7F0E">
        <w:lastRenderedPageBreak/>
        <w:t>(b)</w:t>
      </w:r>
      <w:r w:rsidRPr="00EF7F0E">
        <w:tab/>
      </w:r>
      <w:r w:rsidR="00603C4F" w:rsidRPr="00EF7F0E">
        <w:t xml:space="preserve">adding </w:t>
      </w:r>
      <w:r w:rsidR="00085168" w:rsidRPr="00EF7F0E">
        <w:t>"</w:t>
      </w:r>
      <w:r w:rsidR="00603C4F" w:rsidRPr="00EF7F0E">
        <w:t>mutatis mutandi</w:t>
      </w:r>
      <w:r w:rsidR="00085168" w:rsidRPr="00EF7F0E">
        <w:t>"</w:t>
      </w:r>
      <w:r w:rsidR="00603C4F" w:rsidRPr="00EF7F0E">
        <w:t xml:space="preserve"> to avoid non-applicable test conditions</w:t>
      </w:r>
      <w:r w:rsidR="004A052D" w:rsidRPr="00EF7F0E">
        <w:t>;</w:t>
      </w:r>
    </w:p>
    <w:p w14:paraId="76479CC5" w14:textId="125CF588" w:rsidR="00603C4F" w:rsidRPr="00EF7F0E" w:rsidRDefault="00F20C62" w:rsidP="00F20C62">
      <w:pPr>
        <w:pStyle w:val="SingleTxtG"/>
        <w:ind w:left="1494" w:hanging="360"/>
      </w:pPr>
      <w:r w:rsidRPr="00EF7F0E">
        <w:t>(c)</w:t>
      </w:r>
      <w:r w:rsidRPr="00EF7F0E">
        <w:tab/>
      </w:r>
      <w:r w:rsidR="00603C4F" w:rsidRPr="00EF7F0E">
        <w:t>adding the last subparagraph, if requirements are not applicable to this specific technology although the reference to the vehicle alarm system (old para</w:t>
      </w:r>
      <w:r w:rsidR="000E0E86">
        <w:t>graph</w:t>
      </w:r>
      <w:r w:rsidR="00603C4F" w:rsidRPr="00EF7F0E">
        <w:t xml:space="preserve"> 6.) is deleted.</w:t>
      </w:r>
    </w:p>
    <w:p w14:paraId="34E79168" w14:textId="704F17CD" w:rsidR="00603C4F" w:rsidRPr="00EF7F0E" w:rsidRDefault="00603C4F" w:rsidP="004A052D">
      <w:pPr>
        <w:pStyle w:val="SingleTxtG"/>
      </w:pPr>
      <w:r w:rsidRPr="00EF7F0E">
        <w:t>According to the comments collected at the 122</w:t>
      </w:r>
      <w:r w:rsidRPr="008872B6">
        <w:t>nd</w:t>
      </w:r>
      <w:r w:rsidRPr="00EF7F0E">
        <w:t xml:space="preserve"> session of GRSG (October 2021), the word </w:t>
      </w:r>
      <w:r w:rsidR="00085168" w:rsidRPr="00EF7F0E">
        <w:t>"</w:t>
      </w:r>
      <w:r w:rsidRPr="00EF7F0E">
        <w:t>dysfunctioning</w:t>
      </w:r>
      <w:r w:rsidR="00085168" w:rsidRPr="00EF7F0E">
        <w:t>"</w:t>
      </w:r>
      <w:r w:rsidRPr="00EF7F0E">
        <w:t xml:space="preserve"> is replaced by </w:t>
      </w:r>
      <w:r w:rsidR="00085168" w:rsidRPr="00EF7F0E">
        <w:t>"</w:t>
      </w:r>
      <w:r w:rsidRPr="00EF7F0E">
        <w:t>malfunctioning</w:t>
      </w:r>
      <w:r w:rsidR="00085168" w:rsidRPr="00EF7F0E">
        <w:t>"</w:t>
      </w:r>
      <w:r w:rsidRPr="00EF7F0E">
        <w:t>.</w:t>
      </w:r>
    </w:p>
    <w:p w14:paraId="0F2DB687" w14:textId="04C19AD1" w:rsidR="00603C4F" w:rsidRPr="00EF7F0E" w:rsidRDefault="00F20C62" w:rsidP="00F20C62">
      <w:pPr>
        <w:pStyle w:val="SingleTxtG"/>
        <w:ind w:left="1170" w:hanging="36"/>
      </w:pPr>
      <w:r w:rsidRPr="00EF7F0E">
        <w:t>3.</w:t>
      </w:r>
      <w:r w:rsidRPr="00EF7F0E">
        <w:tab/>
      </w:r>
      <w:r w:rsidR="00603C4F" w:rsidRPr="00EF7F0E">
        <w:rPr>
          <w:b/>
          <w:bCs/>
        </w:rPr>
        <w:t>Paragraphs 6.1. to 6.3</w:t>
      </w:r>
      <w:r w:rsidR="00603C4F" w:rsidRPr="00EF7F0E">
        <w:t>.</w:t>
      </w:r>
      <w:r w:rsidR="00B85A7D" w:rsidRPr="00EF7F0E">
        <w:t xml:space="preserve"> </w:t>
      </w:r>
      <w:r w:rsidR="00603C4F" w:rsidRPr="00EF7F0E">
        <w:t>During the split of U</w:t>
      </w:r>
      <w:r w:rsidR="00B85A7D" w:rsidRPr="00EF7F0E">
        <w:t>N</w:t>
      </w:r>
      <w:r w:rsidR="00603C4F" w:rsidRPr="00EF7F0E">
        <w:t xml:space="preserve"> R</w:t>
      </w:r>
      <w:r w:rsidR="00954B7A" w:rsidRPr="00EF7F0E">
        <w:t xml:space="preserve">egulation No. </w:t>
      </w:r>
      <w:r w:rsidR="00603C4F" w:rsidRPr="00EF7F0E">
        <w:t>116</w:t>
      </w:r>
      <w:r w:rsidR="00AB513F" w:rsidRPr="00EF7F0E">
        <w:t>, the</w:t>
      </w:r>
      <w:r w:rsidR="00603C4F" w:rsidRPr="00EF7F0E">
        <w:t xml:space="preserve"> alignment </w:t>
      </w:r>
      <w:r w:rsidR="000B7931" w:rsidRPr="00EF7F0E">
        <w:t>of</w:t>
      </w:r>
      <w:r w:rsidR="00603C4F" w:rsidRPr="00EF7F0E">
        <w:t xml:space="preserve"> paragraph 9 was </w:t>
      </w:r>
      <w:r w:rsidR="000B7931" w:rsidRPr="00EF7F0E">
        <w:t>lost,</w:t>
      </w:r>
      <w:r w:rsidR="00603C4F" w:rsidRPr="00EF7F0E">
        <w:t xml:space="preserve"> and a new text was created. </w:t>
      </w:r>
      <w:r w:rsidR="00942A06" w:rsidRPr="00EF7F0E">
        <w:t>The new wording is copied from the wording adopted for paragraph 7 in UN R</w:t>
      </w:r>
      <w:r w:rsidR="000B7931" w:rsidRPr="00EF7F0E">
        <w:t xml:space="preserve">egulation No. </w:t>
      </w:r>
      <w:r w:rsidR="00942A06" w:rsidRPr="00EF7F0E">
        <w:t>160 (MOIS – document ECE/TRANS/WP.29/2020/122) and is aligned with Schedule 3 of the 58 Agreement.</w:t>
      </w:r>
    </w:p>
    <w:p w14:paraId="1664BB61" w14:textId="5803FA96" w:rsidR="00603C4F" w:rsidRPr="00EF7F0E" w:rsidRDefault="005F01A8" w:rsidP="004009C8">
      <w:pPr>
        <w:pStyle w:val="SingleTxtG"/>
      </w:pPr>
      <w:r w:rsidRPr="00EF7F0E">
        <w:t>4</w:t>
      </w:r>
      <w:r w:rsidRPr="00EF7F0E">
        <w:tab/>
      </w:r>
      <w:r w:rsidR="00603C4F" w:rsidRPr="00EF7F0E">
        <w:rPr>
          <w:b/>
          <w:bCs/>
        </w:rPr>
        <w:t>Annex 6, paragraph 1</w:t>
      </w:r>
      <w:r w:rsidRPr="00EF7F0E">
        <w:rPr>
          <w:b/>
          <w:bCs/>
        </w:rPr>
        <w:t xml:space="preserve">. </w:t>
      </w:r>
      <w:r w:rsidR="00603C4F" w:rsidRPr="00EF7F0E">
        <w:t>Supplement 7 of UN R</w:t>
      </w:r>
      <w:r w:rsidRPr="00EF7F0E">
        <w:t xml:space="preserve">egulation No. </w:t>
      </w:r>
      <w:r w:rsidR="00603C4F" w:rsidRPr="00EF7F0E">
        <w:t xml:space="preserve">116 also amends the original paragraph 8.4.1., which is similar to the provisions laid down in Annex 6 of the new </w:t>
      </w:r>
      <w:r w:rsidR="007D375F" w:rsidRPr="00EF7F0E">
        <w:t>UN R</w:t>
      </w:r>
      <w:r w:rsidR="00603C4F" w:rsidRPr="00EF7F0E">
        <w:t>egulation on devices against unauthorized use.</w:t>
      </w:r>
      <w:r w:rsidR="004009C8" w:rsidRPr="00EF7F0E">
        <w:t xml:space="preserve"> </w:t>
      </w:r>
      <w:r w:rsidR="00603C4F" w:rsidRPr="00EF7F0E">
        <w:t>Text of UN R</w:t>
      </w:r>
      <w:r w:rsidR="004009C8" w:rsidRPr="00EF7F0E">
        <w:t xml:space="preserve">egulation No. </w:t>
      </w:r>
      <w:r w:rsidR="00603C4F" w:rsidRPr="00EF7F0E">
        <w:t>116</w:t>
      </w:r>
      <w:r w:rsidR="004009C8" w:rsidRPr="00EF7F0E">
        <w:t>,</w:t>
      </w:r>
      <w:r w:rsidR="00603C4F" w:rsidRPr="00EF7F0E">
        <w:t xml:space="preserve"> Supplement 7 was:</w:t>
      </w:r>
    </w:p>
    <w:p w14:paraId="3175487D" w14:textId="3349FB90" w:rsidR="00603C4F" w:rsidRPr="00EF7F0E" w:rsidRDefault="00085168" w:rsidP="00603C4F">
      <w:pPr>
        <w:tabs>
          <w:tab w:val="left" w:pos="2268"/>
        </w:tabs>
        <w:spacing w:before="120" w:after="120" w:line="240" w:lineRule="auto"/>
        <w:ind w:left="2268" w:right="1134" w:hanging="1134"/>
        <w:jc w:val="both"/>
      </w:pPr>
      <w:r w:rsidRPr="00EF7F0E">
        <w:t>"</w:t>
      </w:r>
      <w:r w:rsidR="00603C4F" w:rsidRPr="00EF7F0E">
        <w:t>8.4.1.</w:t>
      </w:r>
      <w:r w:rsidR="00603C4F" w:rsidRPr="00EF7F0E">
        <w:tab/>
        <w:t>Operation Parameters</w:t>
      </w:r>
    </w:p>
    <w:p w14:paraId="7B6AAB7D" w14:textId="77777777" w:rsidR="00603C4F" w:rsidRPr="00EF7F0E" w:rsidRDefault="00603C4F" w:rsidP="00603C4F">
      <w:pPr>
        <w:tabs>
          <w:tab w:val="left" w:pos="2268"/>
        </w:tabs>
        <w:spacing w:before="120" w:after="120" w:line="240" w:lineRule="auto"/>
        <w:ind w:left="2268" w:right="1134" w:hanging="1134"/>
        <w:jc w:val="both"/>
      </w:pPr>
      <w:r w:rsidRPr="00EF7F0E">
        <w:tab/>
        <w:t>All components of the immobilizer shall comply with prescriptions given in paragraph 6.4. of this Regulation.</w:t>
      </w:r>
    </w:p>
    <w:p w14:paraId="4641D092" w14:textId="77777777" w:rsidR="00603C4F" w:rsidRPr="00EF7F0E" w:rsidRDefault="00603C4F" w:rsidP="00603C4F">
      <w:pPr>
        <w:tabs>
          <w:tab w:val="left" w:pos="2268"/>
        </w:tabs>
        <w:spacing w:before="120" w:after="120" w:line="240" w:lineRule="auto"/>
        <w:ind w:left="2268" w:right="1134" w:hanging="1134"/>
        <w:jc w:val="both"/>
      </w:pPr>
      <w:r w:rsidRPr="00EF7F0E">
        <w:tab/>
        <w:t>This requirement does not apply to:</w:t>
      </w:r>
    </w:p>
    <w:p w14:paraId="65EB5C1C" w14:textId="77777777" w:rsidR="00603C4F" w:rsidRPr="00EF7F0E" w:rsidRDefault="00603C4F" w:rsidP="00603C4F">
      <w:pPr>
        <w:tabs>
          <w:tab w:val="left" w:pos="2268"/>
          <w:tab w:val="left" w:pos="2835"/>
        </w:tabs>
        <w:spacing w:before="120" w:after="120" w:line="240" w:lineRule="auto"/>
        <w:ind w:left="2835" w:right="1134" w:hanging="1701"/>
        <w:jc w:val="both"/>
      </w:pPr>
      <w:r w:rsidRPr="00EF7F0E">
        <w:tab/>
        <w:t>(i)</w:t>
      </w:r>
      <w:r w:rsidRPr="00EF7F0E">
        <w:tab/>
        <w:t>Those components that are fitted and tested as part of the vehicle, whether or not an immobilizer is fitted (e.g. lamps), or</w:t>
      </w:r>
    </w:p>
    <w:p w14:paraId="11398DAB" w14:textId="77777777" w:rsidR="00603C4F" w:rsidRPr="00EF7F0E" w:rsidRDefault="00603C4F" w:rsidP="00603C4F">
      <w:pPr>
        <w:tabs>
          <w:tab w:val="left" w:pos="2268"/>
          <w:tab w:val="left" w:pos="2835"/>
        </w:tabs>
        <w:spacing w:before="120" w:after="120" w:line="240" w:lineRule="auto"/>
        <w:ind w:left="2835" w:right="1134" w:hanging="1701"/>
        <w:jc w:val="both"/>
      </w:pPr>
      <w:r w:rsidRPr="00EF7F0E">
        <w:tab/>
        <w:t>(ii)</w:t>
      </w:r>
      <w:r w:rsidRPr="00EF7F0E">
        <w:tab/>
        <w:t>Those components that have previously been tested as part of the vehicle and documentary evidence has been provided,</w:t>
      </w:r>
      <w:r w:rsidRPr="00EF7F0E">
        <w:rPr>
          <w:bCs/>
        </w:rPr>
        <w:t xml:space="preserve"> or</w:t>
      </w:r>
    </w:p>
    <w:p w14:paraId="67FC9762" w14:textId="39ACE598" w:rsidR="00603C4F" w:rsidRPr="00EF7F0E" w:rsidRDefault="00603C4F" w:rsidP="00603C4F">
      <w:pPr>
        <w:tabs>
          <w:tab w:val="left" w:pos="2268"/>
          <w:tab w:val="left" w:pos="2835"/>
        </w:tabs>
        <w:spacing w:before="120" w:after="120" w:line="240" w:lineRule="auto"/>
        <w:ind w:left="2835" w:right="1134" w:hanging="1701"/>
        <w:jc w:val="both"/>
      </w:pPr>
      <w:r w:rsidRPr="00EF7F0E">
        <w:tab/>
      </w:r>
      <w:r w:rsidRPr="00EF7F0E">
        <w:rPr>
          <w:bCs/>
        </w:rPr>
        <w:t>(iii)</w:t>
      </w:r>
      <w:r w:rsidRPr="00EF7F0E">
        <w:rPr>
          <w:bCs/>
        </w:rPr>
        <w:tab/>
        <w:t>Components that are not embedded in the vehicle, e.g. keys</w:t>
      </w:r>
      <w:r w:rsidRPr="00EF7F0E">
        <w:t>.</w:t>
      </w:r>
      <w:r w:rsidR="00085168" w:rsidRPr="00EF7F0E">
        <w:t>"</w:t>
      </w:r>
    </w:p>
    <w:p w14:paraId="49991FD7" w14:textId="18A8F678" w:rsidR="008844A4" w:rsidRPr="00EF7F0E" w:rsidRDefault="00FC3254" w:rsidP="00FC3254">
      <w:pPr>
        <w:spacing w:before="240"/>
        <w:jc w:val="center"/>
        <w:rPr>
          <w:u w:val="single"/>
        </w:rPr>
      </w:pPr>
      <w:r w:rsidRPr="00EF7F0E">
        <w:rPr>
          <w:u w:val="single"/>
        </w:rPr>
        <w:tab/>
      </w:r>
      <w:r w:rsidRPr="00EF7F0E">
        <w:rPr>
          <w:u w:val="single"/>
        </w:rPr>
        <w:tab/>
      </w:r>
      <w:r w:rsidRPr="00EF7F0E">
        <w:rPr>
          <w:u w:val="single"/>
        </w:rPr>
        <w:tab/>
      </w:r>
    </w:p>
    <w:sectPr w:rsidR="008844A4" w:rsidRPr="00EF7F0E" w:rsidSect="005D5FCC">
      <w:headerReference w:type="even" r:id="rId12"/>
      <w:headerReference w:type="default" r:id="rId13"/>
      <w:footerReference w:type="even" r:id="rId14"/>
      <w:footerReference w:type="default" r:id="rId15"/>
      <w:footerReference w:type="first" r:id="rId16"/>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565A4" w14:textId="77777777" w:rsidR="000D51B5" w:rsidRDefault="000D51B5" w:rsidP="00203C11">
      <w:pPr>
        <w:spacing w:line="240" w:lineRule="auto"/>
      </w:pPr>
      <w:r>
        <w:separator/>
      </w:r>
    </w:p>
  </w:endnote>
  <w:endnote w:type="continuationSeparator" w:id="0">
    <w:p w14:paraId="68B955C0" w14:textId="77777777" w:rsidR="000D51B5" w:rsidRDefault="000D51B5" w:rsidP="00203C11">
      <w:pPr>
        <w:spacing w:line="240" w:lineRule="auto"/>
      </w:pPr>
      <w:r>
        <w:continuationSeparator/>
      </w:r>
    </w:p>
  </w:endnote>
  <w:endnote w:type="continuationNotice" w:id="1">
    <w:p w14:paraId="229C0A70" w14:textId="77777777" w:rsidR="000D51B5" w:rsidRDefault="000D51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D38F" w14:textId="3A306CAC" w:rsidR="0015307E" w:rsidRPr="005D5FCC" w:rsidRDefault="005D5FCC" w:rsidP="005D5FCC">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54F5" w14:textId="410098CD" w:rsidR="0015307E" w:rsidRPr="005D5FCC" w:rsidRDefault="005D5FCC" w:rsidP="005D5FCC">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A9AD" w14:textId="5A2AAEA1" w:rsidR="00F20C62" w:rsidRDefault="00F20C62" w:rsidP="00F20C62">
    <w:pPr>
      <w:pStyle w:val="Footer"/>
    </w:pPr>
    <w:r w:rsidRPr="0027112F">
      <w:rPr>
        <w:noProof/>
        <w:lang w:val="en-US"/>
      </w:rPr>
      <w:drawing>
        <wp:anchor distT="0" distB="0" distL="114300" distR="114300" simplePos="0" relativeHeight="251659264" behindDoc="0" locked="1" layoutInCell="1" allowOverlap="1" wp14:anchorId="3F5F0CFB" wp14:editId="3C81C9E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27A33ED" w14:textId="554C0768" w:rsidR="00F20C62" w:rsidRPr="00F20C62" w:rsidRDefault="00F20C62" w:rsidP="00F20C62">
    <w:pPr>
      <w:pStyle w:val="Footer"/>
      <w:ind w:right="1134"/>
      <w:rPr>
        <w:sz w:val="20"/>
      </w:rPr>
    </w:pPr>
    <w:r>
      <w:rPr>
        <w:sz w:val="20"/>
      </w:rPr>
      <w:t>GE.22-00383(E)</w:t>
    </w:r>
    <w:r>
      <w:rPr>
        <w:noProof/>
        <w:sz w:val="20"/>
      </w:rPr>
      <w:drawing>
        <wp:anchor distT="0" distB="0" distL="114300" distR="114300" simplePos="0" relativeHeight="251660288" behindDoc="0" locked="0" layoutInCell="1" allowOverlap="1" wp14:anchorId="204C2FFA" wp14:editId="1DFC275D">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46DB7" w14:textId="77777777" w:rsidR="000D51B5" w:rsidRPr="00E378AC" w:rsidRDefault="000D51B5" w:rsidP="00E378AC">
      <w:pPr>
        <w:tabs>
          <w:tab w:val="right" w:pos="2155"/>
        </w:tabs>
        <w:spacing w:after="80"/>
        <w:ind w:left="680"/>
        <w:rPr>
          <w:u w:val="single"/>
        </w:rPr>
      </w:pPr>
      <w:r>
        <w:rPr>
          <w:u w:val="single"/>
        </w:rPr>
        <w:tab/>
      </w:r>
    </w:p>
  </w:footnote>
  <w:footnote w:type="continuationSeparator" w:id="0">
    <w:p w14:paraId="0A6547F6" w14:textId="77777777" w:rsidR="000D51B5" w:rsidRDefault="000D51B5">
      <w:r>
        <w:continuationSeparator/>
      </w:r>
    </w:p>
  </w:footnote>
  <w:footnote w:type="continuationNotice" w:id="1">
    <w:p w14:paraId="41332B7C" w14:textId="77777777" w:rsidR="000D51B5" w:rsidRDefault="000D51B5">
      <w:pPr>
        <w:spacing w:line="240" w:lineRule="auto"/>
      </w:pPr>
    </w:p>
  </w:footnote>
  <w:footnote w:id="2">
    <w:p w14:paraId="4511DD49" w14:textId="01EEAEE4" w:rsidR="00010649" w:rsidRPr="00EF7F0E" w:rsidRDefault="00010649" w:rsidP="00010649">
      <w:pPr>
        <w:pStyle w:val="FootnoteText"/>
        <w:tabs>
          <w:tab w:val="right" w:pos="1021"/>
        </w:tabs>
        <w:spacing w:line="220" w:lineRule="exact"/>
        <w:ind w:left="1134" w:right="1134" w:hanging="1134"/>
        <w:rPr>
          <w:rStyle w:val="FootnoteReference"/>
          <w:szCs w:val="18"/>
          <w:vertAlign w:val="baseline"/>
          <w:lang w:eastAsia="fr-FR"/>
        </w:rPr>
      </w:pPr>
      <w:r w:rsidRPr="00DE5525">
        <w:rPr>
          <w:rStyle w:val="FootnoteReference"/>
        </w:rPr>
        <w:tab/>
        <w:t>*</w:t>
      </w:r>
      <w:r w:rsidRPr="00DE5525">
        <w:rPr>
          <w:rStyle w:val="FootnoteReference"/>
        </w:rPr>
        <w:tab/>
      </w:r>
      <w:r w:rsidRPr="00EF7F0E">
        <w:rPr>
          <w:rStyle w:val="FootnoteReference"/>
          <w:szCs w:val="18"/>
          <w:vertAlign w:val="baseline"/>
          <w:lang w:eastAsia="fr-FR"/>
        </w:rPr>
        <w:t>In accordance with the programme of work of the Inland Transport Committee for 2022 as outlined in proposed programme budget for 2022 (A/76/6 (part V</w:t>
      </w:r>
      <w:r w:rsidR="00633842">
        <w:rPr>
          <w:szCs w:val="18"/>
          <w:lang w:eastAsia="fr-FR"/>
        </w:rPr>
        <w:t>,</w:t>
      </w:r>
      <w:r w:rsidRPr="00EF7F0E">
        <w:rPr>
          <w:rStyle w:val="FootnoteReference"/>
          <w:szCs w:val="18"/>
          <w:vertAlign w:val="baseline"/>
          <w:lang w:eastAsia="fr-FR"/>
        </w:rPr>
        <w:t xml:space="preserve"> sect. 20) para</w:t>
      </w:r>
      <w:r w:rsidR="00633842">
        <w:rPr>
          <w:rStyle w:val="FootnoteReference"/>
          <w:szCs w:val="18"/>
          <w:vertAlign w:val="baseline"/>
          <w:lang w:eastAsia="fr-FR"/>
        </w:rPr>
        <w:t>.</w:t>
      </w:r>
      <w:r w:rsidRPr="00EF7F0E">
        <w:rPr>
          <w:rStyle w:val="FootnoteReference"/>
          <w:szCs w:val="18"/>
          <w:vertAlign w:val="baseline"/>
          <w:lang w:eastAsia="fr-FR"/>
        </w:rPr>
        <w:t xml:space="preserve"> 20.76), the World Forum will develop, harmonize and update UN Regulations in order to enhance the performance of vehicles. The present document is submitted in conformity with that mandate.</w:t>
      </w:r>
    </w:p>
    <w:p w14:paraId="59631DC6" w14:textId="77777777" w:rsidR="00010649" w:rsidRPr="00DE5525" w:rsidRDefault="00010649" w:rsidP="00010649">
      <w:pPr>
        <w:pStyle w:val="FootnoteText"/>
        <w:tabs>
          <w:tab w:val="right" w:pos="1021"/>
        </w:tabs>
        <w:spacing w:line="220" w:lineRule="exact"/>
        <w:ind w:left="1701" w:right="1134" w:hanging="1134"/>
        <w:rPr>
          <w:rStyle w:val="FootnoteReference"/>
        </w:rPr>
      </w:pPr>
      <w:r w:rsidRPr="00DE5525">
        <w:rPr>
          <w:rStyle w:val="FootnoteReference"/>
        </w:rPr>
        <w:t>.</w:t>
      </w:r>
    </w:p>
  </w:footnote>
  <w:footnote w:id="3">
    <w:p w14:paraId="4AC2E1AF" w14:textId="7D97EB6B" w:rsidR="00CC2495" w:rsidRPr="00DE5525" w:rsidRDefault="00CC2495" w:rsidP="00DE5525">
      <w:pPr>
        <w:ind w:left="1440" w:hanging="360"/>
      </w:pPr>
      <w:r w:rsidRPr="00DE5525">
        <w:rPr>
          <w:rStyle w:val="FootnoteReference"/>
        </w:rPr>
        <w:footnoteRef/>
      </w:r>
      <w:r w:rsidRPr="00DE5525">
        <w:rPr>
          <w:rStyle w:val="FootnoteReference"/>
        </w:rPr>
        <w:t xml:space="preserve"> </w:t>
      </w:r>
      <w:r w:rsidRPr="00DE5525">
        <w:rPr>
          <w:rStyle w:val="FootnoteReference"/>
        </w:rPr>
        <w:tab/>
      </w:r>
      <w:r w:rsidRPr="00EF7F0E">
        <w:rPr>
          <w:rFonts w:eastAsia="DengXian"/>
          <w:iCs/>
          <w:sz w:val="18"/>
          <w:szCs w:val="18"/>
          <w:lang w:eastAsia="zh-CN"/>
        </w:rPr>
        <w:t>As defined in the Consolidated Resolution on the Construction of Vehicles (R.E.3), document ECE/TRANS/WP.29/78/Rev.6. (</w:t>
      </w:r>
      <w:r w:rsidR="00DE5525" w:rsidRPr="00DE5525">
        <w:t>https://unece.org/transport/standards/transport/vehicle-regulations-wp29/resolutions</w:t>
      </w:r>
      <w:r w:rsidRPr="00DE5525">
        <w:rPr>
          <w:rFonts w:eastAsia="DengXian"/>
          <w:iCs/>
          <w:sz w:val="18"/>
          <w:szCs w:val="18"/>
          <w:lang w:eastAsia="zh-CN"/>
        </w:rPr>
        <w:t>)</w:t>
      </w:r>
      <w:r w:rsidRPr="00EF7F0E">
        <w:rPr>
          <w:rFonts w:eastAsia="DengXian"/>
          <w:iCs/>
          <w:sz w:val="18"/>
          <w:szCs w:val="18"/>
          <w:lang w:eastAsia="zh-CN"/>
        </w:rPr>
        <w:t>.</w:t>
      </w:r>
    </w:p>
  </w:footnote>
  <w:footnote w:id="4">
    <w:p w14:paraId="6E873D57" w14:textId="529993CF" w:rsidR="007F7238" w:rsidRPr="00DE5525" w:rsidRDefault="007F7238" w:rsidP="007F7238">
      <w:pPr>
        <w:ind w:left="1440" w:hanging="360"/>
        <w:rPr>
          <w:rStyle w:val="FootnoteReference"/>
          <w:szCs w:val="18"/>
          <w:vertAlign w:val="baseline"/>
        </w:rPr>
      </w:pPr>
      <w:r w:rsidRPr="00DE5525">
        <w:rPr>
          <w:rStyle w:val="FootnoteReference"/>
          <w:b/>
          <w:bCs/>
        </w:rPr>
        <w:footnoteRef/>
      </w:r>
      <w:r w:rsidRPr="00DE5525">
        <w:rPr>
          <w:rStyle w:val="FootnoteReference"/>
          <w:b/>
          <w:bCs/>
        </w:rPr>
        <w:t xml:space="preserve"> </w:t>
      </w:r>
      <w:r w:rsidR="00A76F31" w:rsidRPr="00DE5525">
        <w:rPr>
          <w:b/>
          <w:bCs/>
        </w:rPr>
        <w:tab/>
      </w:r>
      <w:r w:rsidR="00A76F31" w:rsidRPr="00DE5525">
        <w:rPr>
          <w:b/>
          <w:bCs/>
          <w:sz w:val="18"/>
          <w:szCs w:val="18"/>
        </w:rPr>
        <w:t>Only vehicles with 12 volt</w:t>
      </w:r>
      <w:r w:rsidR="007D375F" w:rsidRPr="00DE5525">
        <w:rPr>
          <w:b/>
          <w:bCs/>
          <w:sz w:val="18"/>
          <w:szCs w:val="18"/>
        </w:rPr>
        <w:t>s</w:t>
      </w:r>
      <w:r w:rsidR="00A76F31" w:rsidRPr="00DE5525">
        <w:rPr>
          <w:b/>
          <w:bCs/>
          <w:sz w:val="18"/>
          <w:szCs w:val="18"/>
        </w:rPr>
        <w:t xml:space="preserve"> electrical systems are considered.</w:t>
      </w:r>
      <w:r w:rsidR="00085168" w:rsidRPr="00DE5525">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D26F" w14:textId="274DDC86" w:rsidR="00C97203" w:rsidRDefault="00C97203" w:rsidP="0040340A">
    <w:pPr>
      <w:pStyle w:val="Header"/>
    </w:pPr>
    <w:r>
      <w:t>ECE/TRANS/WP.29/GRSG/</w:t>
    </w:r>
    <w:r w:rsidRPr="00DF418A">
      <w:t>20</w:t>
    </w:r>
    <w:r>
      <w:t>2</w:t>
    </w:r>
    <w:r w:rsidR="00961963">
      <w:t>2</w:t>
    </w:r>
    <w:r w:rsidRPr="00340A6E">
      <w:t>/</w:t>
    </w:r>
    <w:r w:rsidR="00EC78B8">
      <w:t>1</w:t>
    </w:r>
    <w:r w:rsidR="0050568A">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AD8D" w14:textId="500B0AC3" w:rsidR="00606343" w:rsidRDefault="00606343" w:rsidP="009523F1">
    <w:pPr>
      <w:pStyle w:val="Header"/>
      <w:jc w:val="right"/>
    </w:pPr>
    <w:r>
      <w:t>ECE/TRANS/WP.29/GRSG/</w:t>
    </w:r>
    <w:r w:rsidRPr="00DF418A">
      <w:t>20</w:t>
    </w:r>
    <w:r>
      <w:t>2</w:t>
    </w:r>
    <w:r w:rsidR="00B67438">
      <w:t>2/</w:t>
    </w:r>
    <w:r w:rsidR="00EC78B8">
      <w:t>1</w:t>
    </w:r>
    <w:r w:rsidR="0050568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A7BBF"/>
    <w:multiLevelType w:val="hybridMultilevel"/>
    <w:tmpl w:val="37CE4B9A"/>
    <w:lvl w:ilvl="0" w:tplc="19DA328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99F30F9"/>
    <w:multiLevelType w:val="hybridMultilevel"/>
    <w:tmpl w:val="3E24542C"/>
    <w:lvl w:ilvl="0" w:tplc="B6A0CBE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2882342A"/>
    <w:multiLevelType w:val="hybridMultilevel"/>
    <w:tmpl w:val="61101B76"/>
    <w:lvl w:ilvl="0" w:tplc="002A943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567"/>
  <w:hyphenationZone w:val="425"/>
  <w:evenAndOddHeaders/>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10649"/>
    <w:rsid w:val="000107D8"/>
    <w:rsid w:val="00013969"/>
    <w:rsid w:val="000147BA"/>
    <w:rsid w:val="00025CF8"/>
    <w:rsid w:val="0004534F"/>
    <w:rsid w:val="00047B49"/>
    <w:rsid w:val="00055423"/>
    <w:rsid w:val="00055BB3"/>
    <w:rsid w:val="00056FD9"/>
    <w:rsid w:val="0005715A"/>
    <w:rsid w:val="00061BB4"/>
    <w:rsid w:val="00065893"/>
    <w:rsid w:val="00066E26"/>
    <w:rsid w:val="0006705C"/>
    <w:rsid w:val="00071B9F"/>
    <w:rsid w:val="00081E82"/>
    <w:rsid w:val="00085168"/>
    <w:rsid w:val="000909E6"/>
    <w:rsid w:val="000A219B"/>
    <w:rsid w:val="000A4AB0"/>
    <w:rsid w:val="000A5A19"/>
    <w:rsid w:val="000B7931"/>
    <w:rsid w:val="000C296F"/>
    <w:rsid w:val="000C356D"/>
    <w:rsid w:val="000C378C"/>
    <w:rsid w:val="000C5542"/>
    <w:rsid w:val="000C75E6"/>
    <w:rsid w:val="000D367D"/>
    <w:rsid w:val="000D3B90"/>
    <w:rsid w:val="000D51B5"/>
    <w:rsid w:val="000D770F"/>
    <w:rsid w:val="000E0E86"/>
    <w:rsid w:val="000E252E"/>
    <w:rsid w:val="000F5B80"/>
    <w:rsid w:val="00101BEF"/>
    <w:rsid w:val="0011327F"/>
    <w:rsid w:val="00113BA0"/>
    <w:rsid w:val="00114035"/>
    <w:rsid w:val="001276F6"/>
    <w:rsid w:val="001309F4"/>
    <w:rsid w:val="00131CD7"/>
    <w:rsid w:val="00136B61"/>
    <w:rsid w:val="00151208"/>
    <w:rsid w:val="0015307E"/>
    <w:rsid w:val="0015405B"/>
    <w:rsid w:val="00156754"/>
    <w:rsid w:val="001641E8"/>
    <w:rsid w:val="0017097E"/>
    <w:rsid w:val="00170E8B"/>
    <w:rsid w:val="00171B7D"/>
    <w:rsid w:val="00174CAC"/>
    <w:rsid w:val="00183F4A"/>
    <w:rsid w:val="00185078"/>
    <w:rsid w:val="001939AF"/>
    <w:rsid w:val="00195EB5"/>
    <w:rsid w:val="00197A14"/>
    <w:rsid w:val="00197AED"/>
    <w:rsid w:val="001A5BC6"/>
    <w:rsid w:val="001B5B00"/>
    <w:rsid w:val="001C03BD"/>
    <w:rsid w:val="001C6D04"/>
    <w:rsid w:val="001C7DCD"/>
    <w:rsid w:val="001D0DAC"/>
    <w:rsid w:val="001D6C5C"/>
    <w:rsid w:val="001E46F5"/>
    <w:rsid w:val="001E50C1"/>
    <w:rsid w:val="001F1DCE"/>
    <w:rsid w:val="001F27DC"/>
    <w:rsid w:val="001F3190"/>
    <w:rsid w:val="001F686C"/>
    <w:rsid w:val="00203BAB"/>
    <w:rsid w:val="00203C11"/>
    <w:rsid w:val="002066CE"/>
    <w:rsid w:val="00207ABC"/>
    <w:rsid w:val="00214421"/>
    <w:rsid w:val="0021468D"/>
    <w:rsid w:val="002162C4"/>
    <w:rsid w:val="00216BF2"/>
    <w:rsid w:val="00222D9F"/>
    <w:rsid w:val="00223E27"/>
    <w:rsid w:val="002275AC"/>
    <w:rsid w:val="00233338"/>
    <w:rsid w:val="00240BF2"/>
    <w:rsid w:val="00242021"/>
    <w:rsid w:val="00244EF5"/>
    <w:rsid w:val="002474FC"/>
    <w:rsid w:val="00254D5C"/>
    <w:rsid w:val="00255851"/>
    <w:rsid w:val="00255A96"/>
    <w:rsid w:val="00257A4D"/>
    <w:rsid w:val="00265779"/>
    <w:rsid w:val="0027182B"/>
    <w:rsid w:val="00272D1C"/>
    <w:rsid w:val="00274F04"/>
    <w:rsid w:val="0027542D"/>
    <w:rsid w:val="00287325"/>
    <w:rsid w:val="002879CA"/>
    <w:rsid w:val="00294BD9"/>
    <w:rsid w:val="00297101"/>
    <w:rsid w:val="002A1F08"/>
    <w:rsid w:val="002A3D81"/>
    <w:rsid w:val="002B3BEA"/>
    <w:rsid w:val="002B4811"/>
    <w:rsid w:val="002C25DD"/>
    <w:rsid w:val="002D24E5"/>
    <w:rsid w:val="002E1A58"/>
    <w:rsid w:val="002E3A07"/>
    <w:rsid w:val="002E5A67"/>
    <w:rsid w:val="002E5C78"/>
    <w:rsid w:val="002E6B62"/>
    <w:rsid w:val="002E7E05"/>
    <w:rsid w:val="002F2746"/>
    <w:rsid w:val="002F41E0"/>
    <w:rsid w:val="00304786"/>
    <w:rsid w:val="00314FE6"/>
    <w:rsid w:val="00326716"/>
    <w:rsid w:val="00326F61"/>
    <w:rsid w:val="003312EA"/>
    <w:rsid w:val="00340A6E"/>
    <w:rsid w:val="00343F08"/>
    <w:rsid w:val="00345DAB"/>
    <w:rsid w:val="00351879"/>
    <w:rsid w:val="00356CD9"/>
    <w:rsid w:val="003608D3"/>
    <w:rsid w:val="00362B62"/>
    <w:rsid w:val="00363633"/>
    <w:rsid w:val="00363C7A"/>
    <w:rsid w:val="00371368"/>
    <w:rsid w:val="00373B86"/>
    <w:rsid w:val="003773EE"/>
    <w:rsid w:val="00382A3D"/>
    <w:rsid w:val="00384A7B"/>
    <w:rsid w:val="00386259"/>
    <w:rsid w:val="00393BA6"/>
    <w:rsid w:val="0039598B"/>
    <w:rsid w:val="00395AF4"/>
    <w:rsid w:val="00397754"/>
    <w:rsid w:val="003A0316"/>
    <w:rsid w:val="003A4A40"/>
    <w:rsid w:val="003A7642"/>
    <w:rsid w:val="003C57CC"/>
    <w:rsid w:val="003C7D56"/>
    <w:rsid w:val="003D6B37"/>
    <w:rsid w:val="003E3C27"/>
    <w:rsid w:val="003E46C0"/>
    <w:rsid w:val="003F1C1D"/>
    <w:rsid w:val="003F73BE"/>
    <w:rsid w:val="004009C8"/>
    <w:rsid w:val="0040340A"/>
    <w:rsid w:val="00406B7F"/>
    <w:rsid w:val="00411DA6"/>
    <w:rsid w:val="004120B4"/>
    <w:rsid w:val="00416C08"/>
    <w:rsid w:val="0043310C"/>
    <w:rsid w:val="0043667A"/>
    <w:rsid w:val="00436A7E"/>
    <w:rsid w:val="00443DCE"/>
    <w:rsid w:val="00444F7B"/>
    <w:rsid w:val="00454729"/>
    <w:rsid w:val="00455C29"/>
    <w:rsid w:val="00461D8F"/>
    <w:rsid w:val="00465AA8"/>
    <w:rsid w:val="00466E57"/>
    <w:rsid w:val="00472678"/>
    <w:rsid w:val="00480734"/>
    <w:rsid w:val="00481CF9"/>
    <w:rsid w:val="00494903"/>
    <w:rsid w:val="0049506D"/>
    <w:rsid w:val="004A052D"/>
    <w:rsid w:val="004A1C8D"/>
    <w:rsid w:val="004A29E9"/>
    <w:rsid w:val="004A408F"/>
    <w:rsid w:val="004B6088"/>
    <w:rsid w:val="004C01D3"/>
    <w:rsid w:val="004C6E03"/>
    <w:rsid w:val="004C7D18"/>
    <w:rsid w:val="004C7EC4"/>
    <w:rsid w:val="004D0240"/>
    <w:rsid w:val="004D4317"/>
    <w:rsid w:val="004D5A4F"/>
    <w:rsid w:val="004E1C7E"/>
    <w:rsid w:val="004E39C6"/>
    <w:rsid w:val="004E652D"/>
    <w:rsid w:val="004E6FBC"/>
    <w:rsid w:val="004F3E1A"/>
    <w:rsid w:val="004F3F2B"/>
    <w:rsid w:val="004F6547"/>
    <w:rsid w:val="00502847"/>
    <w:rsid w:val="00503381"/>
    <w:rsid w:val="0050568A"/>
    <w:rsid w:val="0051226D"/>
    <w:rsid w:val="0052565E"/>
    <w:rsid w:val="00534236"/>
    <w:rsid w:val="00535E49"/>
    <w:rsid w:val="00541748"/>
    <w:rsid w:val="00544A41"/>
    <w:rsid w:val="005454A9"/>
    <w:rsid w:val="00547077"/>
    <w:rsid w:val="00564696"/>
    <w:rsid w:val="00573993"/>
    <w:rsid w:val="005762BC"/>
    <w:rsid w:val="00591BCB"/>
    <w:rsid w:val="00592DED"/>
    <w:rsid w:val="00594739"/>
    <w:rsid w:val="00597290"/>
    <w:rsid w:val="005A393A"/>
    <w:rsid w:val="005A39FD"/>
    <w:rsid w:val="005A6C69"/>
    <w:rsid w:val="005B3E3F"/>
    <w:rsid w:val="005C7785"/>
    <w:rsid w:val="005D37CC"/>
    <w:rsid w:val="005D5BEA"/>
    <w:rsid w:val="005D5FCC"/>
    <w:rsid w:val="005D7424"/>
    <w:rsid w:val="005F01A8"/>
    <w:rsid w:val="005F033E"/>
    <w:rsid w:val="006007D4"/>
    <w:rsid w:val="00602464"/>
    <w:rsid w:val="006031B3"/>
    <w:rsid w:val="00603C4F"/>
    <w:rsid w:val="00605F2E"/>
    <w:rsid w:val="00606343"/>
    <w:rsid w:val="006132CB"/>
    <w:rsid w:val="0062437F"/>
    <w:rsid w:val="00627026"/>
    <w:rsid w:val="006321A9"/>
    <w:rsid w:val="00633842"/>
    <w:rsid w:val="006357AC"/>
    <w:rsid w:val="00636798"/>
    <w:rsid w:val="00640077"/>
    <w:rsid w:val="006515E1"/>
    <w:rsid w:val="00670E84"/>
    <w:rsid w:val="00671520"/>
    <w:rsid w:val="00682D92"/>
    <w:rsid w:val="00686461"/>
    <w:rsid w:val="00692477"/>
    <w:rsid w:val="006A2B1F"/>
    <w:rsid w:val="006A4BE0"/>
    <w:rsid w:val="006B40F3"/>
    <w:rsid w:val="006C2F16"/>
    <w:rsid w:val="006C3F6D"/>
    <w:rsid w:val="006D2F82"/>
    <w:rsid w:val="006D61D7"/>
    <w:rsid w:val="006E2687"/>
    <w:rsid w:val="006E4969"/>
    <w:rsid w:val="006E7A14"/>
    <w:rsid w:val="006F13D9"/>
    <w:rsid w:val="006F2B2E"/>
    <w:rsid w:val="006F4C48"/>
    <w:rsid w:val="006F6664"/>
    <w:rsid w:val="00715B05"/>
    <w:rsid w:val="00717515"/>
    <w:rsid w:val="00717F9C"/>
    <w:rsid w:val="00722DFF"/>
    <w:rsid w:val="00731911"/>
    <w:rsid w:val="00734F7A"/>
    <w:rsid w:val="0073781F"/>
    <w:rsid w:val="00741F61"/>
    <w:rsid w:val="007632CC"/>
    <w:rsid w:val="00766FA3"/>
    <w:rsid w:val="00771D39"/>
    <w:rsid w:val="0078308E"/>
    <w:rsid w:val="00785AC2"/>
    <w:rsid w:val="007A5D89"/>
    <w:rsid w:val="007B4AD8"/>
    <w:rsid w:val="007C5525"/>
    <w:rsid w:val="007C5EE4"/>
    <w:rsid w:val="007D1613"/>
    <w:rsid w:val="007D1EE3"/>
    <w:rsid w:val="007D375F"/>
    <w:rsid w:val="007D3A93"/>
    <w:rsid w:val="007D4306"/>
    <w:rsid w:val="007D4B49"/>
    <w:rsid w:val="007E2782"/>
    <w:rsid w:val="007E39DE"/>
    <w:rsid w:val="007E584A"/>
    <w:rsid w:val="007E6B7A"/>
    <w:rsid w:val="007F658A"/>
    <w:rsid w:val="007F68D2"/>
    <w:rsid w:val="007F7238"/>
    <w:rsid w:val="00800060"/>
    <w:rsid w:val="008058D9"/>
    <w:rsid w:val="0081004C"/>
    <w:rsid w:val="00810A73"/>
    <w:rsid w:val="00811A90"/>
    <w:rsid w:val="00813236"/>
    <w:rsid w:val="00815D0C"/>
    <w:rsid w:val="00816303"/>
    <w:rsid w:val="0082103C"/>
    <w:rsid w:val="00826166"/>
    <w:rsid w:val="00831DAA"/>
    <w:rsid w:val="00840DF3"/>
    <w:rsid w:val="008463D7"/>
    <w:rsid w:val="0084718D"/>
    <w:rsid w:val="00851340"/>
    <w:rsid w:val="00851578"/>
    <w:rsid w:val="00851613"/>
    <w:rsid w:val="008518EE"/>
    <w:rsid w:val="00852CAE"/>
    <w:rsid w:val="00861992"/>
    <w:rsid w:val="00862EF9"/>
    <w:rsid w:val="00864117"/>
    <w:rsid w:val="008647A4"/>
    <w:rsid w:val="00873DD3"/>
    <w:rsid w:val="00875329"/>
    <w:rsid w:val="008844A4"/>
    <w:rsid w:val="008872B6"/>
    <w:rsid w:val="00891C12"/>
    <w:rsid w:val="008A606C"/>
    <w:rsid w:val="008B5987"/>
    <w:rsid w:val="008C7D3C"/>
    <w:rsid w:val="008D28DC"/>
    <w:rsid w:val="008D5A13"/>
    <w:rsid w:val="008D5FC0"/>
    <w:rsid w:val="008D622F"/>
    <w:rsid w:val="008E40FF"/>
    <w:rsid w:val="008F2EB4"/>
    <w:rsid w:val="008F3F56"/>
    <w:rsid w:val="008F7F19"/>
    <w:rsid w:val="009011C6"/>
    <w:rsid w:val="00901228"/>
    <w:rsid w:val="00905BA9"/>
    <w:rsid w:val="00905C0D"/>
    <w:rsid w:val="00905D05"/>
    <w:rsid w:val="009131B9"/>
    <w:rsid w:val="009149CD"/>
    <w:rsid w:val="00917215"/>
    <w:rsid w:val="0092617C"/>
    <w:rsid w:val="00926B71"/>
    <w:rsid w:val="0093001D"/>
    <w:rsid w:val="00933439"/>
    <w:rsid w:val="00941811"/>
    <w:rsid w:val="00942A06"/>
    <w:rsid w:val="009523F1"/>
    <w:rsid w:val="00954B7A"/>
    <w:rsid w:val="009551FA"/>
    <w:rsid w:val="00955848"/>
    <w:rsid w:val="00961963"/>
    <w:rsid w:val="00965565"/>
    <w:rsid w:val="0097132E"/>
    <w:rsid w:val="00972E9A"/>
    <w:rsid w:val="00973A7E"/>
    <w:rsid w:val="009825CD"/>
    <w:rsid w:val="00992DA5"/>
    <w:rsid w:val="009A2543"/>
    <w:rsid w:val="009A7296"/>
    <w:rsid w:val="009B1D25"/>
    <w:rsid w:val="009B279C"/>
    <w:rsid w:val="009B4427"/>
    <w:rsid w:val="009C0A73"/>
    <w:rsid w:val="009C2EAF"/>
    <w:rsid w:val="009C403A"/>
    <w:rsid w:val="009C5365"/>
    <w:rsid w:val="009D0DA6"/>
    <w:rsid w:val="009D1227"/>
    <w:rsid w:val="009D4828"/>
    <w:rsid w:val="009E1190"/>
    <w:rsid w:val="009E646F"/>
    <w:rsid w:val="009E65B3"/>
    <w:rsid w:val="009E6A52"/>
    <w:rsid w:val="009F574B"/>
    <w:rsid w:val="009F64EA"/>
    <w:rsid w:val="00A00470"/>
    <w:rsid w:val="00A032BE"/>
    <w:rsid w:val="00A04921"/>
    <w:rsid w:val="00A05575"/>
    <w:rsid w:val="00A06F32"/>
    <w:rsid w:val="00A21BD6"/>
    <w:rsid w:val="00A30A47"/>
    <w:rsid w:val="00A333A6"/>
    <w:rsid w:val="00A35240"/>
    <w:rsid w:val="00A408FE"/>
    <w:rsid w:val="00A4656F"/>
    <w:rsid w:val="00A514AD"/>
    <w:rsid w:val="00A739DF"/>
    <w:rsid w:val="00A76F31"/>
    <w:rsid w:val="00A8313A"/>
    <w:rsid w:val="00A83E8D"/>
    <w:rsid w:val="00A92A57"/>
    <w:rsid w:val="00A968BD"/>
    <w:rsid w:val="00AA2560"/>
    <w:rsid w:val="00AA3F13"/>
    <w:rsid w:val="00AA7959"/>
    <w:rsid w:val="00AB2D05"/>
    <w:rsid w:val="00AB513F"/>
    <w:rsid w:val="00AC21B6"/>
    <w:rsid w:val="00AC4428"/>
    <w:rsid w:val="00AD2A98"/>
    <w:rsid w:val="00AD58C9"/>
    <w:rsid w:val="00AD7FAA"/>
    <w:rsid w:val="00AE23A3"/>
    <w:rsid w:val="00AE439A"/>
    <w:rsid w:val="00AE6268"/>
    <w:rsid w:val="00AE634D"/>
    <w:rsid w:val="00AE6E78"/>
    <w:rsid w:val="00AF23D2"/>
    <w:rsid w:val="00AF6A41"/>
    <w:rsid w:val="00AF702D"/>
    <w:rsid w:val="00B00785"/>
    <w:rsid w:val="00B0733A"/>
    <w:rsid w:val="00B108BB"/>
    <w:rsid w:val="00B10910"/>
    <w:rsid w:val="00B1170F"/>
    <w:rsid w:val="00B356D9"/>
    <w:rsid w:val="00B40840"/>
    <w:rsid w:val="00B477C3"/>
    <w:rsid w:val="00B47A63"/>
    <w:rsid w:val="00B50238"/>
    <w:rsid w:val="00B641B7"/>
    <w:rsid w:val="00B67438"/>
    <w:rsid w:val="00B7398D"/>
    <w:rsid w:val="00B74B09"/>
    <w:rsid w:val="00B75220"/>
    <w:rsid w:val="00B77D82"/>
    <w:rsid w:val="00B85A7D"/>
    <w:rsid w:val="00B92287"/>
    <w:rsid w:val="00B9350C"/>
    <w:rsid w:val="00B9585F"/>
    <w:rsid w:val="00BA2AF9"/>
    <w:rsid w:val="00BA51DC"/>
    <w:rsid w:val="00BA5A6C"/>
    <w:rsid w:val="00BA7188"/>
    <w:rsid w:val="00BB5D35"/>
    <w:rsid w:val="00BB5FD4"/>
    <w:rsid w:val="00BB6742"/>
    <w:rsid w:val="00BC534B"/>
    <w:rsid w:val="00BD1173"/>
    <w:rsid w:val="00BD705F"/>
    <w:rsid w:val="00BE257A"/>
    <w:rsid w:val="00BE3283"/>
    <w:rsid w:val="00BE4683"/>
    <w:rsid w:val="00BE7A0C"/>
    <w:rsid w:val="00C13870"/>
    <w:rsid w:val="00C1695F"/>
    <w:rsid w:val="00C174CE"/>
    <w:rsid w:val="00C22AC5"/>
    <w:rsid w:val="00C255B2"/>
    <w:rsid w:val="00C341C6"/>
    <w:rsid w:val="00C41001"/>
    <w:rsid w:val="00C410A2"/>
    <w:rsid w:val="00C45436"/>
    <w:rsid w:val="00C50D43"/>
    <w:rsid w:val="00C539CE"/>
    <w:rsid w:val="00C54789"/>
    <w:rsid w:val="00C6127C"/>
    <w:rsid w:val="00C612AC"/>
    <w:rsid w:val="00C67D28"/>
    <w:rsid w:val="00C7398C"/>
    <w:rsid w:val="00C74127"/>
    <w:rsid w:val="00C87589"/>
    <w:rsid w:val="00C97203"/>
    <w:rsid w:val="00CA2168"/>
    <w:rsid w:val="00CA3E19"/>
    <w:rsid w:val="00CB5830"/>
    <w:rsid w:val="00CC10E2"/>
    <w:rsid w:val="00CC2495"/>
    <w:rsid w:val="00CD1564"/>
    <w:rsid w:val="00CD29FA"/>
    <w:rsid w:val="00CD4B25"/>
    <w:rsid w:val="00CD4E2F"/>
    <w:rsid w:val="00CE4042"/>
    <w:rsid w:val="00CE54F8"/>
    <w:rsid w:val="00CE5515"/>
    <w:rsid w:val="00CF4E24"/>
    <w:rsid w:val="00CF5AE2"/>
    <w:rsid w:val="00CF6879"/>
    <w:rsid w:val="00D00137"/>
    <w:rsid w:val="00D013FA"/>
    <w:rsid w:val="00D06F91"/>
    <w:rsid w:val="00D128C0"/>
    <w:rsid w:val="00D21706"/>
    <w:rsid w:val="00D24258"/>
    <w:rsid w:val="00D319AF"/>
    <w:rsid w:val="00D4546F"/>
    <w:rsid w:val="00D55DBE"/>
    <w:rsid w:val="00D66EC9"/>
    <w:rsid w:val="00D7196E"/>
    <w:rsid w:val="00D73791"/>
    <w:rsid w:val="00D7493A"/>
    <w:rsid w:val="00D76D10"/>
    <w:rsid w:val="00D84BF6"/>
    <w:rsid w:val="00D84DB0"/>
    <w:rsid w:val="00D87149"/>
    <w:rsid w:val="00D87F6B"/>
    <w:rsid w:val="00D9262A"/>
    <w:rsid w:val="00D93D8E"/>
    <w:rsid w:val="00DA42EC"/>
    <w:rsid w:val="00DB2FB7"/>
    <w:rsid w:val="00DB5704"/>
    <w:rsid w:val="00DC0D2A"/>
    <w:rsid w:val="00DC7B67"/>
    <w:rsid w:val="00DD2260"/>
    <w:rsid w:val="00DE5079"/>
    <w:rsid w:val="00DE5525"/>
    <w:rsid w:val="00DF0E34"/>
    <w:rsid w:val="00DF1D55"/>
    <w:rsid w:val="00DF3008"/>
    <w:rsid w:val="00DF5B41"/>
    <w:rsid w:val="00E00D92"/>
    <w:rsid w:val="00E01D68"/>
    <w:rsid w:val="00E177AC"/>
    <w:rsid w:val="00E23039"/>
    <w:rsid w:val="00E24AB9"/>
    <w:rsid w:val="00E3089E"/>
    <w:rsid w:val="00E378AC"/>
    <w:rsid w:val="00E41EC7"/>
    <w:rsid w:val="00E43A91"/>
    <w:rsid w:val="00E5311C"/>
    <w:rsid w:val="00E660AB"/>
    <w:rsid w:val="00E73FB1"/>
    <w:rsid w:val="00E75120"/>
    <w:rsid w:val="00E807AB"/>
    <w:rsid w:val="00E8137B"/>
    <w:rsid w:val="00E866A5"/>
    <w:rsid w:val="00E967C3"/>
    <w:rsid w:val="00EA523B"/>
    <w:rsid w:val="00EB1396"/>
    <w:rsid w:val="00EB213A"/>
    <w:rsid w:val="00EB2713"/>
    <w:rsid w:val="00EB5F83"/>
    <w:rsid w:val="00EC1328"/>
    <w:rsid w:val="00EC2BF1"/>
    <w:rsid w:val="00EC4070"/>
    <w:rsid w:val="00EC6C24"/>
    <w:rsid w:val="00EC78B8"/>
    <w:rsid w:val="00ED2A2A"/>
    <w:rsid w:val="00ED2D89"/>
    <w:rsid w:val="00EE1470"/>
    <w:rsid w:val="00EE1A70"/>
    <w:rsid w:val="00EE1CA3"/>
    <w:rsid w:val="00EE415B"/>
    <w:rsid w:val="00EF7F0E"/>
    <w:rsid w:val="00F00C55"/>
    <w:rsid w:val="00F04B4A"/>
    <w:rsid w:val="00F07A15"/>
    <w:rsid w:val="00F102C5"/>
    <w:rsid w:val="00F12438"/>
    <w:rsid w:val="00F15B64"/>
    <w:rsid w:val="00F15C8E"/>
    <w:rsid w:val="00F20C62"/>
    <w:rsid w:val="00F24CAA"/>
    <w:rsid w:val="00F25052"/>
    <w:rsid w:val="00F2515E"/>
    <w:rsid w:val="00F362A0"/>
    <w:rsid w:val="00F377AC"/>
    <w:rsid w:val="00F40D0B"/>
    <w:rsid w:val="00F44D0B"/>
    <w:rsid w:val="00F45C35"/>
    <w:rsid w:val="00F46647"/>
    <w:rsid w:val="00F607C0"/>
    <w:rsid w:val="00F61C9A"/>
    <w:rsid w:val="00F740FA"/>
    <w:rsid w:val="00F7502A"/>
    <w:rsid w:val="00F75616"/>
    <w:rsid w:val="00F77AD7"/>
    <w:rsid w:val="00F852B9"/>
    <w:rsid w:val="00F8597C"/>
    <w:rsid w:val="00F85B5C"/>
    <w:rsid w:val="00F86550"/>
    <w:rsid w:val="00F947FB"/>
    <w:rsid w:val="00F94AA2"/>
    <w:rsid w:val="00F97041"/>
    <w:rsid w:val="00FA07FE"/>
    <w:rsid w:val="00FA4871"/>
    <w:rsid w:val="00FB6628"/>
    <w:rsid w:val="00FB6924"/>
    <w:rsid w:val="00FB6C38"/>
    <w:rsid w:val="00FB7AEC"/>
    <w:rsid w:val="00FC01C3"/>
    <w:rsid w:val="00FC3254"/>
    <w:rsid w:val="00FC5037"/>
    <w:rsid w:val="00FC5A7E"/>
    <w:rsid w:val="00FC653E"/>
    <w:rsid w:val="00FD3156"/>
    <w:rsid w:val="00FF0D9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rsid w:val="00203C11"/>
  </w:style>
  <w:style w:type="character" w:customStyle="1" w:styleId="CommentTextChar">
    <w:name w:val="Comment Text Char"/>
    <w:link w:val="CommentText"/>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rsid w:val="006357AC"/>
    <w:rPr>
      <w:color w:val="0000FF"/>
      <w:u w:val="none"/>
    </w:rPr>
  </w:style>
  <w:style w:type="character" w:styleId="UnresolvedMention">
    <w:name w:val="Unresolved Mention"/>
    <w:basedOn w:val="DefaultParagraphFont"/>
    <w:uiPriority w:val="99"/>
    <w:semiHidden/>
    <w:unhideWhenUsed/>
    <w:rsid w:val="004C7D18"/>
    <w:rPr>
      <w:color w:val="605E5C"/>
      <w:shd w:val="clear" w:color="auto" w:fill="E1DFDD"/>
    </w:rPr>
  </w:style>
  <w:style w:type="paragraph" w:styleId="Revision">
    <w:name w:val="Revision"/>
    <w:hidden/>
    <w:uiPriority w:val="99"/>
    <w:semiHidden/>
    <w:rsid w:val="00DE552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9EC1ED-FFD2-4934-8134-EB0C76B67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7113</Characters>
  <Application>Microsoft Office Word</Application>
  <DocSecurity>0</DocSecurity>
  <Lines>146</Lines>
  <Paragraphs>69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ECE/TRANS/WP.29/GRSG/2019/34</vt:lpstr>
      <vt:lpstr>ECE/TRANS/WP.29/GRSG/2019/34</vt:lpstr>
      <vt:lpstr>ECE/TRANS/WP.29/GRSG/2019/34</vt:lpstr>
    </vt:vector>
  </TitlesOfParts>
  <Company>MIT</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ECE/TRANS/WP.29/GRSG/2022/14</dc:title>
  <dc:subject>2200383</dc:subject>
  <dc:creator>MIT</dc:creator>
  <cp:keywords/>
  <dc:description/>
  <cp:lastModifiedBy>Pauline Anne Princesa ESCALANTE</cp:lastModifiedBy>
  <cp:revision>2</cp:revision>
  <cp:lastPrinted>2019-07-19T11:29:00Z</cp:lastPrinted>
  <dcterms:created xsi:type="dcterms:W3CDTF">2022-01-13T15:29:00Z</dcterms:created>
  <dcterms:modified xsi:type="dcterms:W3CDTF">2022-01-13T15:29:00Z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