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4190A00E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55B384C0" w14:textId="77777777" w:rsidR="00F35BAF" w:rsidRPr="00DB58B5" w:rsidRDefault="00F35BAF" w:rsidP="00F268EC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62F8A917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787BD468" w14:textId="61208FC4" w:rsidR="00F35BAF" w:rsidRPr="00DB58B5" w:rsidRDefault="00F268EC" w:rsidP="00F268EC">
            <w:pPr>
              <w:jc w:val="right"/>
            </w:pPr>
            <w:r w:rsidRPr="00F268EC">
              <w:rPr>
                <w:sz w:val="40"/>
              </w:rPr>
              <w:t>ECE</w:t>
            </w:r>
            <w:r>
              <w:t>/TRANS/WP.29/GRSG/2022/8</w:t>
            </w:r>
          </w:p>
        </w:tc>
      </w:tr>
      <w:tr w:rsidR="00F35BAF" w:rsidRPr="00DB58B5" w14:paraId="4BBA8E52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6458FFBE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6DE8F188" wp14:editId="1C86D73C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55800E0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0418757F" w14:textId="77777777" w:rsidR="00F35BAF" w:rsidRDefault="00F268EC" w:rsidP="00C97039">
            <w:pPr>
              <w:spacing w:before="240"/>
            </w:pPr>
            <w:r>
              <w:t>Distr. générale</w:t>
            </w:r>
          </w:p>
          <w:p w14:paraId="021449A6" w14:textId="77777777" w:rsidR="00F268EC" w:rsidRDefault="00F268EC" w:rsidP="00F268EC">
            <w:pPr>
              <w:spacing w:line="240" w:lineRule="exact"/>
            </w:pPr>
            <w:r>
              <w:t>13 janvier 2022</w:t>
            </w:r>
          </w:p>
          <w:p w14:paraId="4475D25D" w14:textId="77777777" w:rsidR="00F268EC" w:rsidRDefault="00F268EC" w:rsidP="00F268EC">
            <w:pPr>
              <w:spacing w:line="240" w:lineRule="exact"/>
            </w:pPr>
            <w:r>
              <w:t>Français</w:t>
            </w:r>
          </w:p>
          <w:p w14:paraId="5C267DF2" w14:textId="55703342" w:rsidR="00F268EC" w:rsidRPr="00DB58B5" w:rsidRDefault="00F268EC" w:rsidP="00F268EC">
            <w:pPr>
              <w:spacing w:line="240" w:lineRule="exact"/>
            </w:pPr>
            <w:r>
              <w:t>Original : anglais</w:t>
            </w:r>
          </w:p>
        </w:tc>
      </w:tr>
    </w:tbl>
    <w:p w14:paraId="4EF2BEB9" w14:textId="0F3EB1B0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43591C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14:paraId="518B9E5D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27196C9F" w14:textId="14573C12" w:rsidR="00F268EC" w:rsidRDefault="00F268EC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 w:rsidR="0043591C"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14:paraId="1568DC0B" w14:textId="77777777" w:rsidR="00F268EC" w:rsidRDefault="00F268EC" w:rsidP="00257168">
      <w:pPr>
        <w:spacing w:before="120" w:after="120" w:line="240" w:lineRule="exact"/>
        <w:rPr>
          <w:b/>
        </w:rPr>
      </w:pPr>
      <w:r>
        <w:rPr>
          <w:b/>
        </w:rPr>
        <w:t>Groupe de travail des dispositions générales de sécurité</w:t>
      </w:r>
    </w:p>
    <w:p w14:paraId="72CE4206" w14:textId="759B3E6A" w:rsidR="00F268EC" w:rsidRDefault="00F268EC" w:rsidP="00257168">
      <w:pPr>
        <w:spacing w:before="120" w:line="240" w:lineRule="exact"/>
        <w:rPr>
          <w:b/>
        </w:rPr>
      </w:pPr>
      <w:r w:rsidRPr="00F268EC">
        <w:rPr>
          <w:b/>
          <w:bCs/>
          <w:lang w:val="fr-FR"/>
        </w:rPr>
        <w:t>123</w:t>
      </w:r>
      <w:r w:rsidRPr="00F268EC">
        <w:rPr>
          <w:b/>
          <w:bCs/>
          <w:vertAlign w:val="superscript"/>
          <w:lang w:val="fr-FR"/>
        </w:rPr>
        <w:t>e</w:t>
      </w:r>
      <w:r>
        <w:rPr>
          <w:b/>
        </w:rPr>
        <w:t xml:space="preserve"> session</w:t>
      </w:r>
    </w:p>
    <w:p w14:paraId="6DC7CA93" w14:textId="75B2CECD" w:rsidR="00F268EC" w:rsidRDefault="00F268EC" w:rsidP="00257168">
      <w:pPr>
        <w:spacing w:line="240" w:lineRule="exact"/>
      </w:pPr>
      <w:r>
        <w:t xml:space="preserve">Genève, </w:t>
      </w:r>
      <w:r>
        <w:rPr>
          <w:lang w:val="fr-FR"/>
        </w:rPr>
        <w:t>28 mars-1</w:t>
      </w:r>
      <w:r>
        <w:rPr>
          <w:vertAlign w:val="superscript"/>
          <w:lang w:val="fr-FR"/>
        </w:rPr>
        <w:t>er</w:t>
      </w:r>
      <w:r>
        <w:rPr>
          <w:lang w:val="fr-FR"/>
        </w:rPr>
        <w:t xml:space="preserve"> avril 2022</w:t>
      </w:r>
    </w:p>
    <w:p w14:paraId="24B366E9" w14:textId="5FB2B12C" w:rsidR="00F268EC" w:rsidRDefault="00F268EC" w:rsidP="00257168">
      <w:pPr>
        <w:spacing w:line="240" w:lineRule="exact"/>
      </w:pPr>
      <w:r>
        <w:t xml:space="preserve">Point </w:t>
      </w:r>
      <w:r>
        <w:rPr>
          <w:lang w:val="fr-FR"/>
        </w:rPr>
        <w:t>4 a)</w:t>
      </w:r>
      <w:r>
        <w:t xml:space="preserve"> de l</w:t>
      </w:r>
      <w:r w:rsidR="0043591C">
        <w:t>’</w:t>
      </w:r>
      <w:r>
        <w:t>ordre du jour provisoire</w:t>
      </w:r>
    </w:p>
    <w:p w14:paraId="2EDA4B34" w14:textId="73B46E0B" w:rsidR="00F268EC" w:rsidRPr="00F268EC" w:rsidRDefault="00F268EC" w:rsidP="00F268EC">
      <w:pPr>
        <w:rPr>
          <w:rFonts w:asciiTheme="majorBidi" w:hAnsiTheme="majorBidi" w:cstheme="majorBidi"/>
          <w:b/>
          <w:bCs/>
          <w:lang w:val="fr-FR"/>
        </w:rPr>
      </w:pPr>
      <w:r w:rsidRPr="00F268EC">
        <w:rPr>
          <w:b/>
          <w:bCs/>
          <w:lang w:val="fr-FR"/>
        </w:rPr>
        <w:t>Détection de la présence d</w:t>
      </w:r>
      <w:r w:rsidR="0043591C">
        <w:rPr>
          <w:b/>
          <w:bCs/>
          <w:lang w:val="fr-FR"/>
        </w:rPr>
        <w:t>’</w:t>
      </w:r>
      <w:r w:rsidRPr="00F268EC">
        <w:rPr>
          <w:b/>
          <w:bCs/>
          <w:lang w:val="fr-FR"/>
        </w:rPr>
        <w:t xml:space="preserve">usagers de la route vulnérables </w:t>
      </w:r>
      <w:r>
        <w:rPr>
          <w:b/>
          <w:bCs/>
          <w:lang w:val="fr-FR"/>
        </w:rPr>
        <w:br/>
      </w:r>
      <w:r w:rsidRPr="00F268EC">
        <w:rPr>
          <w:b/>
          <w:bCs/>
          <w:lang w:val="fr-FR"/>
        </w:rPr>
        <w:t>à proximité du véhicule :</w:t>
      </w:r>
    </w:p>
    <w:p w14:paraId="0783E754" w14:textId="1D70F904" w:rsidR="00F268EC" w:rsidRPr="002E2A63" w:rsidRDefault="00F268EC" w:rsidP="00F268EC">
      <w:pPr>
        <w:rPr>
          <w:lang w:val="fr-FR"/>
        </w:rPr>
      </w:pPr>
      <w:r w:rsidRPr="00F268EC">
        <w:rPr>
          <w:b/>
          <w:bCs/>
          <w:lang w:val="fr-FR"/>
        </w:rPr>
        <w:t>Règlement ONU n</w:t>
      </w:r>
      <w:r w:rsidRPr="00F268EC">
        <w:rPr>
          <w:b/>
          <w:bCs/>
          <w:vertAlign w:val="superscript"/>
          <w:lang w:val="fr-FR"/>
        </w:rPr>
        <w:t>o</w:t>
      </w:r>
      <w:r w:rsidRPr="00F268EC">
        <w:rPr>
          <w:b/>
          <w:bCs/>
          <w:lang w:val="fr-FR"/>
        </w:rPr>
        <w:t> 46 (Systèmes de vision indirecte)</w:t>
      </w:r>
    </w:p>
    <w:p w14:paraId="6A4E4865" w14:textId="2B7A961F" w:rsidR="00F268EC" w:rsidRPr="002E2A63" w:rsidRDefault="00F268EC" w:rsidP="00F268EC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Proposition de complément 10 à la série 04 d</w:t>
      </w:r>
      <w:r w:rsidR="0043591C">
        <w:rPr>
          <w:lang w:val="fr-FR"/>
        </w:rPr>
        <w:t>’</w:t>
      </w:r>
      <w:r>
        <w:rPr>
          <w:lang w:val="fr-FR"/>
        </w:rPr>
        <w:t>amendements et</w:t>
      </w:r>
      <w:r>
        <w:rPr>
          <w:lang w:val="fr-FR"/>
        </w:rPr>
        <w:t> </w:t>
      </w:r>
      <w:r>
        <w:rPr>
          <w:lang w:val="fr-FR"/>
        </w:rPr>
        <w:t>de complément 1 à la série 05 d</w:t>
      </w:r>
      <w:r w:rsidR="0043591C">
        <w:rPr>
          <w:lang w:val="fr-FR"/>
        </w:rPr>
        <w:t>’</w:t>
      </w:r>
      <w:r>
        <w:rPr>
          <w:lang w:val="fr-FR"/>
        </w:rPr>
        <w:t>amendements au</w:t>
      </w:r>
      <w:r>
        <w:rPr>
          <w:lang w:val="fr-FR"/>
        </w:rPr>
        <w:t> </w:t>
      </w:r>
      <w:r>
        <w:rPr>
          <w:lang w:val="fr-FR"/>
        </w:rPr>
        <w:t>Règlement ONU n</w:t>
      </w:r>
      <w:r>
        <w:rPr>
          <w:vertAlign w:val="superscript"/>
          <w:lang w:val="fr-FR"/>
        </w:rPr>
        <w:t>o</w:t>
      </w:r>
      <w:r>
        <w:rPr>
          <w:lang w:val="fr-FR"/>
        </w:rPr>
        <w:t> 46 (</w:t>
      </w:r>
      <w:r w:rsidRPr="000E4499">
        <w:rPr>
          <w:lang w:val="fr-FR"/>
        </w:rPr>
        <w:t>Systèmes de vision indirecte</w:t>
      </w:r>
      <w:r>
        <w:rPr>
          <w:lang w:val="fr-FR"/>
        </w:rPr>
        <w:t>)</w:t>
      </w:r>
    </w:p>
    <w:p w14:paraId="583C4473" w14:textId="5C23888D" w:rsidR="00F268EC" w:rsidRPr="002E2A63" w:rsidRDefault="00F268EC" w:rsidP="00F268EC">
      <w:pPr>
        <w:pStyle w:val="H1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Communication de l</w:t>
      </w:r>
      <w:r w:rsidR="0043591C">
        <w:rPr>
          <w:lang w:val="fr-FR"/>
        </w:rPr>
        <w:t>’</w:t>
      </w:r>
      <w:r>
        <w:rPr>
          <w:lang w:val="fr-FR"/>
        </w:rPr>
        <w:t xml:space="preserve">expert du groupe de travail informel </w:t>
      </w:r>
      <w:r>
        <w:rPr>
          <w:lang w:val="fr-FR"/>
        </w:rPr>
        <w:br/>
      </w:r>
      <w:r>
        <w:rPr>
          <w:lang w:val="fr-FR"/>
        </w:rPr>
        <w:t>de la détection de la présence d</w:t>
      </w:r>
      <w:r w:rsidR="0043591C">
        <w:rPr>
          <w:lang w:val="fr-FR"/>
        </w:rPr>
        <w:t>’</w:t>
      </w:r>
      <w:r>
        <w:rPr>
          <w:lang w:val="fr-FR"/>
        </w:rPr>
        <w:t>usagers de la route vulnérables à</w:t>
      </w:r>
      <w:r>
        <w:rPr>
          <w:lang w:val="fr-FR"/>
        </w:rPr>
        <w:t> </w:t>
      </w:r>
      <w:r>
        <w:rPr>
          <w:lang w:val="fr-FR"/>
        </w:rPr>
        <w:t>proximité du véhicule</w:t>
      </w:r>
      <w:r w:rsidR="00400AB7" w:rsidRPr="00400AB7">
        <w:rPr>
          <w:rStyle w:val="Appelnotedebasdep"/>
          <w:b w:val="0"/>
          <w:bCs/>
          <w:sz w:val="20"/>
          <w:vertAlign w:val="baseline"/>
        </w:rPr>
        <w:footnoteReference w:customMarkFollows="1" w:id="2"/>
        <w:t>*</w:t>
      </w:r>
    </w:p>
    <w:p w14:paraId="5BCD2DD6" w14:textId="7D09016C" w:rsidR="00F9573C" w:rsidRDefault="00F268EC" w:rsidP="00F268EC">
      <w:pPr>
        <w:pStyle w:val="SingleTxtG"/>
        <w:ind w:firstLine="567"/>
        <w:rPr>
          <w:lang w:val="fr-FR"/>
        </w:rPr>
      </w:pPr>
      <w:r>
        <w:rPr>
          <w:lang w:val="fr-FR"/>
        </w:rPr>
        <w:t>Le texte ci-après, établi par l</w:t>
      </w:r>
      <w:r w:rsidR="0043591C">
        <w:rPr>
          <w:lang w:val="fr-FR"/>
        </w:rPr>
        <w:t>’</w:t>
      </w:r>
      <w:r>
        <w:rPr>
          <w:lang w:val="fr-FR"/>
        </w:rPr>
        <w:t>expert du groupe de travail informel de la détection de la présence d</w:t>
      </w:r>
      <w:r w:rsidR="0043591C">
        <w:rPr>
          <w:lang w:val="fr-FR"/>
        </w:rPr>
        <w:t>’</w:t>
      </w:r>
      <w:r>
        <w:rPr>
          <w:lang w:val="fr-FR"/>
        </w:rPr>
        <w:t>usagers de la route vulnérables à proximité du véhicule (groupe VRU-Proxi), vise à rendre plus cohérent le champ d</w:t>
      </w:r>
      <w:r w:rsidR="0043591C">
        <w:rPr>
          <w:lang w:val="fr-FR"/>
        </w:rPr>
        <w:t>’</w:t>
      </w:r>
      <w:r>
        <w:rPr>
          <w:lang w:val="fr-FR"/>
        </w:rPr>
        <w:t>application du Règlement</w:t>
      </w:r>
      <w:r w:rsidRPr="0005725D">
        <w:rPr>
          <w:lang w:val="fr-FR"/>
        </w:rPr>
        <w:t xml:space="preserve"> </w:t>
      </w:r>
      <w:r>
        <w:rPr>
          <w:lang w:val="fr-FR"/>
        </w:rPr>
        <w:t>ONU n</w:t>
      </w:r>
      <w:r>
        <w:rPr>
          <w:vertAlign w:val="superscript"/>
          <w:lang w:val="fr-FR"/>
        </w:rPr>
        <w:t>o</w:t>
      </w:r>
      <w:r>
        <w:rPr>
          <w:lang w:val="fr-FR"/>
        </w:rPr>
        <w:t> 46. Les</w:t>
      </w:r>
      <w:r>
        <w:rPr>
          <w:lang w:val="fr-FR"/>
        </w:rPr>
        <w:t> </w:t>
      </w:r>
      <w:r>
        <w:rPr>
          <w:lang w:val="fr-FR"/>
        </w:rPr>
        <w:t>modifications qu</w:t>
      </w:r>
      <w:r w:rsidR="0043591C">
        <w:rPr>
          <w:lang w:val="fr-FR"/>
        </w:rPr>
        <w:t>’</w:t>
      </w:r>
      <w:r>
        <w:rPr>
          <w:lang w:val="fr-FR"/>
        </w:rPr>
        <w:t>il est proposé d</w:t>
      </w:r>
      <w:r w:rsidR="0043591C">
        <w:rPr>
          <w:lang w:val="fr-FR"/>
        </w:rPr>
        <w:t>’</w:t>
      </w:r>
      <w:r>
        <w:rPr>
          <w:lang w:val="fr-FR"/>
        </w:rPr>
        <w:t>apporter au texte actuel de ce Règlement figurent en caractères gras pour les ajouts et biffés pour les suppressions.</w:t>
      </w:r>
    </w:p>
    <w:p w14:paraId="566BA1EA" w14:textId="6B6CD12F" w:rsidR="00F268EC" w:rsidRDefault="00F268EC" w:rsidP="00F268EC">
      <w:r>
        <w:br w:type="page"/>
      </w:r>
    </w:p>
    <w:p w14:paraId="0388C98D" w14:textId="77777777" w:rsidR="00F268EC" w:rsidRPr="002E2A63" w:rsidRDefault="00F268EC" w:rsidP="00F268EC">
      <w:pPr>
        <w:pStyle w:val="HChG"/>
        <w:rPr>
          <w:rFonts w:asciiTheme="majorBidi" w:hAnsiTheme="majorBidi" w:cstheme="majorBidi"/>
          <w:szCs w:val="28"/>
          <w:lang w:val="fr-FR"/>
        </w:rPr>
      </w:pPr>
      <w:r>
        <w:rPr>
          <w:lang w:val="fr-FR"/>
        </w:rPr>
        <w:lastRenderedPageBreak/>
        <w:tab/>
        <w:t>I.</w:t>
      </w:r>
      <w:r>
        <w:rPr>
          <w:lang w:val="fr-FR"/>
        </w:rPr>
        <w:tab/>
        <w:t>Proposition</w:t>
      </w:r>
    </w:p>
    <w:p w14:paraId="31A8DA39" w14:textId="5FF86814" w:rsidR="00F268EC" w:rsidRPr="002E2A63" w:rsidRDefault="00F268EC" w:rsidP="00F268EC">
      <w:pPr>
        <w:pStyle w:val="SingleTxtG"/>
        <w:rPr>
          <w:lang w:val="fr-FR"/>
        </w:rPr>
      </w:pPr>
      <w:r w:rsidRPr="00F268EC">
        <w:rPr>
          <w:i/>
          <w:iCs/>
          <w:lang w:val="fr-FR"/>
        </w:rPr>
        <w:t>Paragraphe 1.2</w:t>
      </w:r>
      <w:r>
        <w:rPr>
          <w:lang w:val="fr-FR"/>
        </w:rPr>
        <w:t>, lire</w:t>
      </w:r>
      <w:r>
        <w:rPr>
          <w:lang w:val="fr-FR"/>
        </w:rPr>
        <w:t> </w:t>
      </w:r>
      <w:r>
        <w:rPr>
          <w:lang w:val="fr-FR"/>
        </w:rPr>
        <w:t>:</w:t>
      </w:r>
    </w:p>
    <w:p w14:paraId="35C898CB" w14:textId="03D5FA16" w:rsidR="00F268EC" w:rsidRPr="002E2A63" w:rsidRDefault="00F268EC" w:rsidP="00F268EC">
      <w:pPr>
        <w:pStyle w:val="SingleTxtG"/>
        <w:ind w:left="2268" w:hanging="1134"/>
        <w:rPr>
          <w:lang w:val="fr-FR"/>
        </w:rPr>
      </w:pPr>
      <w:r>
        <w:rPr>
          <w:lang w:val="fr-FR"/>
        </w:rPr>
        <w:t>« 1.2</w:t>
      </w:r>
      <w:r>
        <w:rPr>
          <w:lang w:val="fr-FR"/>
        </w:rPr>
        <w:tab/>
        <w:t>Le présent Règlement ne s</w:t>
      </w:r>
      <w:r w:rsidR="0043591C">
        <w:rPr>
          <w:lang w:val="fr-FR"/>
        </w:rPr>
        <w:t>’</w:t>
      </w:r>
      <w:r>
        <w:rPr>
          <w:lang w:val="fr-FR"/>
        </w:rPr>
        <w:t>applique qu</w:t>
      </w:r>
      <w:r w:rsidR="0043591C">
        <w:rPr>
          <w:lang w:val="fr-FR"/>
        </w:rPr>
        <w:t>’</w:t>
      </w:r>
      <w:r>
        <w:rPr>
          <w:lang w:val="fr-FR"/>
        </w:rPr>
        <w:t>aux systèmes prescrits au paragraphe 1.1 a) qui permettent d</w:t>
      </w:r>
      <w:r w:rsidR="0043591C">
        <w:rPr>
          <w:lang w:val="fr-FR"/>
        </w:rPr>
        <w:t>’</w:t>
      </w:r>
      <w:r>
        <w:rPr>
          <w:lang w:val="fr-FR"/>
        </w:rPr>
        <w:t>observer la zone immédiatement adjacente à l</w:t>
      </w:r>
      <w:r w:rsidR="0043591C">
        <w:rPr>
          <w:lang w:val="fr-FR"/>
        </w:rPr>
        <w:t>’</w:t>
      </w:r>
      <w:r>
        <w:rPr>
          <w:lang w:val="fr-FR"/>
        </w:rPr>
        <w:t xml:space="preserve">avant et/ou au côté passager des véhicules des catégories </w:t>
      </w:r>
      <w:r w:rsidRPr="00C05F8D">
        <w:rPr>
          <w:b/>
          <w:bCs/>
          <w:strike/>
          <w:lang w:val="fr-FR"/>
        </w:rPr>
        <w:t>M</w:t>
      </w:r>
      <w:r w:rsidRPr="00C05F8D">
        <w:rPr>
          <w:b/>
          <w:bCs/>
          <w:strike/>
          <w:vertAlign w:val="subscript"/>
          <w:lang w:val="fr-FR"/>
        </w:rPr>
        <w:t>1</w:t>
      </w:r>
      <w:r w:rsidRPr="00C05F8D">
        <w:rPr>
          <w:b/>
          <w:bCs/>
          <w:strike/>
          <w:lang w:val="fr-FR"/>
        </w:rPr>
        <w:t>,</w:t>
      </w:r>
      <w:r>
        <w:rPr>
          <w:strike/>
          <w:lang w:val="fr-FR"/>
        </w:rPr>
        <w:t xml:space="preserve"> </w:t>
      </w:r>
      <w:r>
        <w:rPr>
          <w:lang w:val="fr-FR"/>
        </w:rPr>
        <w:t>M</w:t>
      </w:r>
      <w:r>
        <w:rPr>
          <w:vertAlign w:val="subscript"/>
          <w:lang w:val="fr-FR"/>
        </w:rPr>
        <w:t>2</w:t>
      </w:r>
      <w:r>
        <w:rPr>
          <w:lang w:val="fr-FR"/>
        </w:rPr>
        <w:t>, M</w:t>
      </w:r>
      <w:r>
        <w:rPr>
          <w:vertAlign w:val="subscript"/>
          <w:lang w:val="fr-FR"/>
        </w:rPr>
        <w:t>3</w:t>
      </w:r>
      <w:r w:rsidRPr="00C05F8D">
        <w:rPr>
          <w:b/>
          <w:bCs/>
          <w:strike/>
          <w:lang w:val="fr-FR"/>
        </w:rPr>
        <w:t>, N</w:t>
      </w:r>
      <w:r w:rsidRPr="00C05F8D">
        <w:rPr>
          <w:b/>
          <w:bCs/>
          <w:strike/>
          <w:vertAlign w:val="subscript"/>
          <w:lang w:val="fr-FR"/>
        </w:rPr>
        <w:t>1</w:t>
      </w:r>
      <w:r>
        <w:rPr>
          <w:lang w:val="fr-FR"/>
        </w:rPr>
        <w:t xml:space="preserve"> et N</w:t>
      </w:r>
      <w:r>
        <w:rPr>
          <w:vertAlign w:val="subscript"/>
          <w:lang w:val="fr-FR"/>
        </w:rPr>
        <w:t>2</w:t>
      </w:r>
      <w:r w:rsidRPr="00C05F8D">
        <w:rPr>
          <w:b/>
          <w:bCs/>
          <w:vertAlign w:val="superscript"/>
          <w:lang w:val="fr-FR"/>
        </w:rPr>
        <w:t>1</w:t>
      </w:r>
      <w:r>
        <w:rPr>
          <w:lang w:val="fr-FR"/>
        </w:rPr>
        <w:t xml:space="preserve"> de plus de 7,5 t. ».</w:t>
      </w:r>
    </w:p>
    <w:p w14:paraId="6B9A86A6" w14:textId="77777777" w:rsidR="00F268EC" w:rsidRPr="00C73C2A" w:rsidRDefault="00F268EC" w:rsidP="00F268EC">
      <w:pPr>
        <w:pStyle w:val="HChG"/>
        <w:rPr>
          <w:b w:val="0"/>
        </w:rPr>
      </w:pPr>
      <w:r>
        <w:rPr>
          <w:lang w:val="fr-FR"/>
        </w:rPr>
        <w:tab/>
        <w:t>II.</w:t>
      </w:r>
      <w:r>
        <w:rPr>
          <w:lang w:val="fr-FR"/>
        </w:rPr>
        <w:tab/>
        <w:t>Justification</w:t>
      </w:r>
    </w:p>
    <w:p w14:paraId="222C8585" w14:textId="4FC3B824" w:rsidR="00F268EC" w:rsidRPr="002E2A63" w:rsidRDefault="00F268EC" w:rsidP="00F268EC">
      <w:pPr>
        <w:pStyle w:val="SingleTxtG"/>
        <w:rPr>
          <w:lang w:val="fr-FR"/>
        </w:rPr>
      </w:pPr>
      <w:r>
        <w:rPr>
          <w:lang w:val="fr-FR"/>
        </w:rPr>
        <w:t>1.</w:t>
      </w:r>
      <w:r>
        <w:rPr>
          <w:lang w:val="fr-FR"/>
        </w:rPr>
        <w:tab/>
      </w:r>
      <w:r>
        <w:rPr>
          <w:lang w:val="fr-FR"/>
        </w:rPr>
        <w:t>La présente proposition vise à actualiser le champ d</w:t>
      </w:r>
      <w:r w:rsidR="0043591C">
        <w:rPr>
          <w:lang w:val="fr-FR"/>
        </w:rPr>
        <w:t>’</w:t>
      </w:r>
      <w:r>
        <w:rPr>
          <w:lang w:val="fr-FR"/>
        </w:rPr>
        <w:t>application du Règlement ONU n</w:t>
      </w:r>
      <w:r>
        <w:rPr>
          <w:vertAlign w:val="superscript"/>
          <w:lang w:val="fr-FR"/>
        </w:rPr>
        <w:t>o</w:t>
      </w:r>
      <w:r>
        <w:rPr>
          <w:lang w:val="fr-FR"/>
        </w:rPr>
        <w:t> 46.</w:t>
      </w:r>
    </w:p>
    <w:p w14:paraId="210AF27F" w14:textId="1D77AAB8" w:rsidR="00F268EC" w:rsidRPr="002E2A63" w:rsidRDefault="00F268EC" w:rsidP="00F268EC">
      <w:pPr>
        <w:pStyle w:val="SingleTxtG"/>
        <w:rPr>
          <w:lang w:val="fr-FR"/>
        </w:rPr>
      </w:pPr>
      <w:r>
        <w:rPr>
          <w:lang w:val="fr-FR"/>
        </w:rPr>
        <w:t>2.</w:t>
      </w:r>
      <w:r>
        <w:rPr>
          <w:lang w:val="fr-FR"/>
        </w:rPr>
        <w:tab/>
      </w:r>
      <w:r>
        <w:rPr>
          <w:lang w:val="fr-FR"/>
        </w:rPr>
        <w:t>L</w:t>
      </w:r>
      <w:r w:rsidR="0043591C">
        <w:rPr>
          <w:lang w:val="fr-FR"/>
        </w:rPr>
        <w:t>’</w:t>
      </w:r>
      <w:r>
        <w:rPr>
          <w:lang w:val="fr-FR"/>
        </w:rPr>
        <w:t>amendement au paragraphe</w:t>
      </w:r>
      <w:r w:rsidR="000E4499">
        <w:rPr>
          <w:lang w:val="fr-FR"/>
        </w:rPr>
        <w:t> </w:t>
      </w:r>
      <w:r>
        <w:rPr>
          <w:lang w:val="fr-FR"/>
        </w:rPr>
        <w:t>1.2 devrait être adopté en même temps que le nouveau Règlement ONU concernant la détection de la présence d</w:t>
      </w:r>
      <w:r w:rsidR="0043591C">
        <w:rPr>
          <w:lang w:val="fr-FR"/>
        </w:rPr>
        <w:t>’</w:t>
      </w:r>
      <w:r>
        <w:rPr>
          <w:lang w:val="fr-FR"/>
        </w:rPr>
        <w:t>usagers de la route vulnérables à proximité immédiate de l</w:t>
      </w:r>
      <w:r w:rsidR="0043591C">
        <w:rPr>
          <w:lang w:val="fr-FR"/>
        </w:rPr>
        <w:t>’</w:t>
      </w:r>
      <w:r>
        <w:rPr>
          <w:lang w:val="fr-FR"/>
        </w:rPr>
        <w:t>avant et des côtés du véhicule.</w:t>
      </w:r>
    </w:p>
    <w:p w14:paraId="48A1D582" w14:textId="74843A51" w:rsidR="00F268EC" w:rsidRDefault="00F268EC" w:rsidP="00F268EC">
      <w:pPr>
        <w:pStyle w:val="SingleTxtG"/>
        <w:rPr>
          <w:lang w:val="fr-FR"/>
        </w:rPr>
      </w:pPr>
      <w:r>
        <w:rPr>
          <w:lang w:val="fr-FR"/>
        </w:rPr>
        <w:t>3.</w:t>
      </w:r>
      <w:r>
        <w:rPr>
          <w:lang w:val="fr-FR"/>
        </w:rPr>
        <w:tab/>
      </w:r>
      <w:r>
        <w:rPr>
          <w:lang w:val="fr-FR"/>
        </w:rPr>
        <w:t>Les systèmes équipant les véhicules des catégories M</w:t>
      </w:r>
      <w:r>
        <w:rPr>
          <w:vertAlign w:val="subscript"/>
          <w:lang w:val="fr-FR"/>
        </w:rPr>
        <w:t>1</w:t>
      </w:r>
      <w:r>
        <w:rPr>
          <w:lang w:val="fr-FR"/>
        </w:rPr>
        <w:t xml:space="preserve"> et N</w:t>
      </w:r>
      <w:r>
        <w:rPr>
          <w:vertAlign w:val="subscript"/>
          <w:lang w:val="fr-FR"/>
        </w:rPr>
        <w:t>1</w:t>
      </w:r>
      <w:r>
        <w:rPr>
          <w:lang w:val="fr-FR"/>
        </w:rPr>
        <w:t>, mentionnés au paragraphe 1.2 avant la révision, entreront dans le champ d</w:t>
      </w:r>
      <w:r w:rsidR="0043591C">
        <w:rPr>
          <w:lang w:val="fr-FR"/>
        </w:rPr>
        <w:t>’</w:t>
      </w:r>
      <w:r>
        <w:rPr>
          <w:lang w:val="fr-FR"/>
        </w:rPr>
        <w:t>application du nouveau Règlement.</w:t>
      </w:r>
    </w:p>
    <w:p w14:paraId="5F5CCB16" w14:textId="2E8736EE" w:rsidR="00F268EC" w:rsidRPr="00F268EC" w:rsidRDefault="00F268EC" w:rsidP="00F268EC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268EC" w:rsidRPr="00F268EC" w:rsidSect="00F268EC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F9317" w14:textId="77777777" w:rsidR="00573DAC" w:rsidRDefault="00573DAC" w:rsidP="00F95C08">
      <w:pPr>
        <w:spacing w:line="240" w:lineRule="auto"/>
      </w:pPr>
    </w:p>
  </w:endnote>
  <w:endnote w:type="continuationSeparator" w:id="0">
    <w:p w14:paraId="0606A8A1" w14:textId="77777777" w:rsidR="00573DAC" w:rsidRPr="00AC3823" w:rsidRDefault="00573DAC" w:rsidP="00AC3823">
      <w:pPr>
        <w:pStyle w:val="Pieddepage"/>
      </w:pPr>
    </w:p>
  </w:endnote>
  <w:endnote w:type="continuationNotice" w:id="1">
    <w:p w14:paraId="6E232D82" w14:textId="77777777" w:rsidR="00573DAC" w:rsidRDefault="00573DA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CB948" w14:textId="1B37B1DE" w:rsidR="00F268EC" w:rsidRPr="00F268EC" w:rsidRDefault="00F268EC" w:rsidP="00F268EC">
    <w:pPr>
      <w:pStyle w:val="Pieddepage"/>
      <w:tabs>
        <w:tab w:val="right" w:pos="9638"/>
      </w:tabs>
    </w:pPr>
    <w:r w:rsidRPr="00F268EC">
      <w:rPr>
        <w:b/>
        <w:sz w:val="18"/>
      </w:rPr>
      <w:fldChar w:fldCharType="begin"/>
    </w:r>
    <w:r w:rsidRPr="00F268EC">
      <w:rPr>
        <w:b/>
        <w:sz w:val="18"/>
      </w:rPr>
      <w:instrText xml:space="preserve"> PAGE  \* MERGEFORMAT </w:instrText>
    </w:r>
    <w:r w:rsidRPr="00F268EC">
      <w:rPr>
        <w:b/>
        <w:sz w:val="18"/>
      </w:rPr>
      <w:fldChar w:fldCharType="separate"/>
    </w:r>
    <w:r w:rsidRPr="00F268EC">
      <w:rPr>
        <w:b/>
        <w:noProof/>
        <w:sz w:val="18"/>
      </w:rPr>
      <w:t>2</w:t>
    </w:r>
    <w:r w:rsidRPr="00F268EC">
      <w:rPr>
        <w:b/>
        <w:sz w:val="18"/>
      </w:rPr>
      <w:fldChar w:fldCharType="end"/>
    </w:r>
    <w:r>
      <w:rPr>
        <w:b/>
        <w:sz w:val="18"/>
      </w:rPr>
      <w:tab/>
    </w:r>
    <w:r>
      <w:t>GE.22-00376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7F3E7" w14:textId="5A7E446D" w:rsidR="00F268EC" w:rsidRPr="00F268EC" w:rsidRDefault="00F268EC" w:rsidP="00F268EC">
    <w:pPr>
      <w:pStyle w:val="Pieddepage"/>
      <w:tabs>
        <w:tab w:val="right" w:pos="9638"/>
      </w:tabs>
      <w:rPr>
        <w:b/>
        <w:sz w:val="18"/>
      </w:rPr>
    </w:pPr>
    <w:r>
      <w:t>GE.22-00376</w:t>
    </w:r>
    <w:r>
      <w:tab/>
    </w:r>
    <w:r w:rsidRPr="00F268EC">
      <w:rPr>
        <w:b/>
        <w:sz w:val="18"/>
      </w:rPr>
      <w:fldChar w:fldCharType="begin"/>
    </w:r>
    <w:r w:rsidRPr="00F268EC">
      <w:rPr>
        <w:b/>
        <w:sz w:val="18"/>
      </w:rPr>
      <w:instrText xml:space="preserve"> PAGE  \* MERGEFORMAT </w:instrText>
    </w:r>
    <w:r w:rsidRPr="00F268EC">
      <w:rPr>
        <w:b/>
        <w:sz w:val="18"/>
      </w:rPr>
      <w:fldChar w:fldCharType="separate"/>
    </w:r>
    <w:r w:rsidRPr="00F268EC">
      <w:rPr>
        <w:b/>
        <w:noProof/>
        <w:sz w:val="18"/>
      </w:rPr>
      <w:t>3</w:t>
    </w:r>
    <w:r w:rsidRPr="00F268E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DF377" w14:textId="498EE218" w:rsidR="007F20FA" w:rsidRPr="00F268EC" w:rsidRDefault="00F268EC" w:rsidP="00F268EC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5E4CAF2F" wp14:editId="7BC6CF2A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22-00376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0FBD5A17" wp14:editId="650A5B0D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0AB7">
      <w:rPr>
        <w:sz w:val="20"/>
      </w:rPr>
      <w:t xml:space="preserve">    080222    080222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BD0C4" w14:textId="77777777" w:rsidR="00573DAC" w:rsidRPr="00AC3823" w:rsidRDefault="00573DAC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3126F6D" w14:textId="77777777" w:rsidR="00573DAC" w:rsidRPr="00AC3823" w:rsidRDefault="00573DAC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E158BC4" w14:textId="77777777" w:rsidR="00573DAC" w:rsidRPr="00AC3823" w:rsidRDefault="00573DAC">
      <w:pPr>
        <w:spacing w:line="240" w:lineRule="auto"/>
        <w:rPr>
          <w:sz w:val="2"/>
          <w:szCs w:val="2"/>
        </w:rPr>
      </w:pPr>
    </w:p>
  </w:footnote>
  <w:footnote w:id="2">
    <w:p w14:paraId="3FC2C2D4" w14:textId="33C0F997" w:rsidR="00400AB7" w:rsidRPr="00400AB7" w:rsidRDefault="00400AB7">
      <w:pPr>
        <w:pStyle w:val="Notedebasdepage"/>
      </w:pPr>
      <w:r>
        <w:rPr>
          <w:rStyle w:val="Appelnotedebasdep"/>
        </w:rPr>
        <w:tab/>
      </w:r>
      <w:r w:rsidRPr="00400AB7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  <w:vertAlign w:val="baseline"/>
        </w:rPr>
        <w:tab/>
      </w:r>
      <w:r>
        <w:rPr>
          <w:lang w:val="fr-FR"/>
        </w:rPr>
        <w:t>Conformément au programme de travail du Comité des transports intérieurs pour 2022 tel qu’il figure dans le projet de budget-programme pour 2022 (A/76/6 (Sect. 20), par. 20.76), le Forum mondial a pour mission d’élaborer, d’harmoniser et de mettre à jour les Règlements ONU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515B5" w14:textId="19050B99" w:rsidR="00F268EC" w:rsidRPr="00F268EC" w:rsidRDefault="00F268EC">
    <w:pPr>
      <w:pStyle w:val="En-tte"/>
    </w:pPr>
    <w:fldSimple w:instr=" TITLE  \* MERGEFORMAT ">
      <w:r w:rsidR="00A610DE">
        <w:t>ECE/TRANS/WP.29/GRSG/2022/8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D381F" w14:textId="56093974" w:rsidR="00F268EC" w:rsidRPr="00F268EC" w:rsidRDefault="00F268EC" w:rsidP="00F268EC">
    <w:pPr>
      <w:pStyle w:val="En-tte"/>
      <w:jc w:val="right"/>
    </w:pPr>
    <w:fldSimple w:instr=" TITLE  \* MERGEFORMAT ">
      <w:r w:rsidR="00A610DE">
        <w:t>ECE/TRANS/WP.29/GRSG/2022/8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DAC"/>
    <w:rsid w:val="00017F94"/>
    <w:rsid w:val="00023842"/>
    <w:rsid w:val="000334F9"/>
    <w:rsid w:val="00045FEB"/>
    <w:rsid w:val="0007796D"/>
    <w:rsid w:val="000B7790"/>
    <w:rsid w:val="000E4499"/>
    <w:rsid w:val="00111F2F"/>
    <w:rsid w:val="0014365E"/>
    <w:rsid w:val="00143C66"/>
    <w:rsid w:val="00176178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916DE"/>
    <w:rsid w:val="00400AB7"/>
    <w:rsid w:val="00421996"/>
    <w:rsid w:val="0043591C"/>
    <w:rsid w:val="00441C3B"/>
    <w:rsid w:val="00446FE5"/>
    <w:rsid w:val="00452396"/>
    <w:rsid w:val="00477EB2"/>
    <w:rsid w:val="004837D8"/>
    <w:rsid w:val="004E2EED"/>
    <w:rsid w:val="004E468C"/>
    <w:rsid w:val="005505B7"/>
    <w:rsid w:val="00573BE5"/>
    <w:rsid w:val="00573DAC"/>
    <w:rsid w:val="00586ED3"/>
    <w:rsid w:val="00596AA9"/>
    <w:rsid w:val="0070621B"/>
    <w:rsid w:val="0071601D"/>
    <w:rsid w:val="007A62E6"/>
    <w:rsid w:val="007F20FA"/>
    <w:rsid w:val="008041AC"/>
    <w:rsid w:val="0080684C"/>
    <w:rsid w:val="00871C75"/>
    <w:rsid w:val="008776DC"/>
    <w:rsid w:val="008D5EF9"/>
    <w:rsid w:val="009446C0"/>
    <w:rsid w:val="009705C8"/>
    <w:rsid w:val="009C1CF4"/>
    <w:rsid w:val="009F6B74"/>
    <w:rsid w:val="00A3029F"/>
    <w:rsid w:val="00A30353"/>
    <w:rsid w:val="00A610DE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BD3C85"/>
    <w:rsid w:val="00C02897"/>
    <w:rsid w:val="00C05F8D"/>
    <w:rsid w:val="00C97039"/>
    <w:rsid w:val="00D3439C"/>
    <w:rsid w:val="00D7622E"/>
    <w:rsid w:val="00DB1831"/>
    <w:rsid w:val="00DD3BFD"/>
    <w:rsid w:val="00DF6678"/>
    <w:rsid w:val="00E0299A"/>
    <w:rsid w:val="00E85C74"/>
    <w:rsid w:val="00EA6547"/>
    <w:rsid w:val="00ED7237"/>
    <w:rsid w:val="00EF2E22"/>
    <w:rsid w:val="00F268EC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F7294F1"/>
  <w15:docId w15:val="{C134E3EF-8685-4082-AB5E-59F519D56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,(Footnote Reference),BVI fnr, BVI fnr,Footnote symbol,Footnote,Footnote Reference Superscript,SUPERS,-E Fußnotenzeichen,4_GR,Fußnotenzeichen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,PP,5_G_6,5_GR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,PP Car,5_G_6 Car,5_GR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2</Pages>
  <Words>260</Words>
  <Characters>1824</Characters>
  <Application>Microsoft Office Word</Application>
  <DocSecurity>0</DocSecurity>
  <Lines>152</Lines>
  <Paragraphs>83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ECE/TRANS/WP.29/GRSG/2022/8</vt:lpstr>
    </vt:vector>
  </TitlesOfParts>
  <Company>DCM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ECE/TRANS/WP.29/GRSG/2022/8</dc:title>
  <dc:subject/>
  <dc:creator>Julien OKRZESIK</dc:creator>
  <cp:keywords/>
  <cp:lastModifiedBy>Julien Okrzesik</cp:lastModifiedBy>
  <cp:revision>3</cp:revision>
  <cp:lastPrinted>2022-02-08T12:45:00Z</cp:lastPrinted>
  <dcterms:created xsi:type="dcterms:W3CDTF">2022-02-08T12:45:00Z</dcterms:created>
  <dcterms:modified xsi:type="dcterms:W3CDTF">2022-02-08T12:45:00Z</dcterms:modified>
</cp:coreProperties>
</file>