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84685C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84685C" w:rsidRDefault="00785AC2" w:rsidP="002E2BA8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84685C" w:rsidRDefault="00785AC2" w:rsidP="002E2BA8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4685C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6B3E3C94" w:rsidR="00785AC2" w:rsidRPr="0084685C" w:rsidRDefault="00785AC2" w:rsidP="002E2BA8">
            <w:pPr>
              <w:jc w:val="right"/>
              <w:rPr>
                <w:rFonts w:asciiTheme="majorBidi" w:hAnsiTheme="majorBidi" w:cstheme="majorBidi"/>
              </w:rPr>
            </w:pPr>
            <w:r w:rsidRPr="0084685C">
              <w:rPr>
                <w:rFonts w:asciiTheme="majorBidi" w:hAnsiTheme="majorBidi" w:cstheme="majorBidi"/>
                <w:sz w:val="40"/>
              </w:rPr>
              <w:t>ECE</w:t>
            </w:r>
            <w:r w:rsidRPr="0084685C">
              <w:rPr>
                <w:rFonts w:asciiTheme="majorBidi" w:hAnsiTheme="majorBidi" w:cstheme="majorBidi"/>
              </w:rPr>
              <w:t>/TRANS/WP.29/GRSG/20</w:t>
            </w:r>
            <w:r w:rsidR="002B4811" w:rsidRPr="0084685C">
              <w:rPr>
                <w:rFonts w:asciiTheme="majorBidi" w:hAnsiTheme="majorBidi" w:cstheme="majorBidi"/>
              </w:rPr>
              <w:t>2</w:t>
            </w:r>
            <w:r w:rsidR="00961963" w:rsidRPr="0084685C">
              <w:rPr>
                <w:rFonts w:asciiTheme="majorBidi" w:hAnsiTheme="majorBidi" w:cstheme="majorBidi"/>
              </w:rPr>
              <w:t>2</w:t>
            </w:r>
            <w:r w:rsidRPr="0084685C">
              <w:rPr>
                <w:rFonts w:asciiTheme="majorBidi" w:hAnsiTheme="majorBidi" w:cstheme="majorBidi"/>
              </w:rPr>
              <w:t>/</w:t>
            </w:r>
            <w:r w:rsidR="00815CC1" w:rsidRPr="0084685C">
              <w:rPr>
                <w:rFonts w:asciiTheme="majorBidi" w:hAnsiTheme="majorBidi" w:cstheme="majorBidi"/>
              </w:rPr>
              <w:t>5</w:t>
            </w:r>
          </w:p>
        </w:tc>
      </w:tr>
      <w:tr w:rsidR="00785AC2" w:rsidRPr="0084685C" w14:paraId="3392CB4C" w14:textId="77777777" w:rsidTr="002E2BA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84685C" w:rsidRDefault="00785AC2" w:rsidP="002E2BA8">
            <w:pPr>
              <w:spacing w:before="120"/>
              <w:rPr>
                <w:rFonts w:asciiTheme="majorBidi" w:hAnsiTheme="majorBidi" w:cstheme="majorBidi"/>
              </w:rPr>
            </w:pPr>
            <w:r w:rsidRPr="0084685C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84685C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84685C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84685C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84685C" w:rsidRDefault="00785AC2" w:rsidP="002E2BA8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84685C">
              <w:rPr>
                <w:rFonts w:asciiTheme="majorBidi" w:hAnsiTheme="majorBidi" w:cstheme="majorBidi"/>
              </w:rPr>
              <w:t>Distr.: General</w:t>
            </w:r>
          </w:p>
          <w:p w14:paraId="2288E497" w14:textId="0BBBC607" w:rsidR="00785AC2" w:rsidRPr="0084685C" w:rsidRDefault="00FC369E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="001C6D04" w:rsidRPr="0084685C">
              <w:rPr>
                <w:rFonts w:asciiTheme="majorBidi" w:hAnsiTheme="majorBidi" w:cstheme="majorBidi"/>
              </w:rPr>
              <w:t xml:space="preserve"> January 2022</w:t>
            </w:r>
          </w:p>
          <w:p w14:paraId="78B62AA7" w14:textId="77777777" w:rsidR="00785AC2" w:rsidRPr="0084685C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84685C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 w:rsidRPr="0084685C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84685C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84685C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84685C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84685C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84685C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84685C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84685C" w:rsidRDefault="00F607C0">
      <w:pPr>
        <w:spacing w:before="120"/>
        <w:rPr>
          <w:rFonts w:asciiTheme="majorBidi" w:hAnsiTheme="majorBidi" w:cstheme="majorBidi"/>
          <w:b/>
        </w:rPr>
      </w:pPr>
      <w:r w:rsidRPr="0084685C">
        <w:rPr>
          <w:rFonts w:asciiTheme="majorBidi" w:hAnsiTheme="majorBidi" w:cstheme="majorBidi"/>
          <w:b/>
        </w:rPr>
        <w:t>Working Party on General Safety Provisions</w:t>
      </w:r>
    </w:p>
    <w:p w14:paraId="742C4543" w14:textId="0EF76B3D" w:rsidR="0082103C" w:rsidRPr="0084685C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84685C">
        <w:rPr>
          <w:rFonts w:asciiTheme="majorBidi" w:hAnsiTheme="majorBidi" w:cstheme="majorBidi"/>
          <w:b/>
        </w:rPr>
        <w:t>1</w:t>
      </w:r>
      <w:r w:rsidR="00810A73" w:rsidRPr="0084685C">
        <w:rPr>
          <w:rFonts w:asciiTheme="majorBidi" w:hAnsiTheme="majorBidi" w:cstheme="majorBidi"/>
          <w:b/>
        </w:rPr>
        <w:t>2</w:t>
      </w:r>
      <w:r w:rsidR="001C6D04" w:rsidRPr="0084685C">
        <w:rPr>
          <w:rFonts w:asciiTheme="majorBidi" w:hAnsiTheme="majorBidi" w:cstheme="majorBidi"/>
          <w:b/>
        </w:rPr>
        <w:t>3</w:t>
      </w:r>
      <w:r w:rsidR="001C6D04" w:rsidRPr="00FC369E">
        <w:rPr>
          <w:rFonts w:asciiTheme="majorBidi" w:hAnsiTheme="majorBidi" w:cstheme="majorBidi"/>
          <w:b/>
        </w:rPr>
        <w:t xml:space="preserve">rd </w:t>
      </w:r>
      <w:r w:rsidRPr="0084685C">
        <w:rPr>
          <w:rFonts w:asciiTheme="majorBidi" w:hAnsiTheme="majorBidi" w:cstheme="majorBidi"/>
          <w:b/>
        </w:rPr>
        <w:t>session</w:t>
      </w:r>
    </w:p>
    <w:p w14:paraId="616A0177" w14:textId="0B14A866" w:rsidR="0082103C" w:rsidRPr="0084685C" w:rsidRDefault="0082103C" w:rsidP="0082103C">
      <w:pPr>
        <w:rPr>
          <w:rFonts w:asciiTheme="majorBidi" w:hAnsiTheme="majorBidi" w:cstheme="majorBidi"/>
        </w:rPr>
      </w:pPr>
      <w:r w:rsidRPr="0084685C">
        <w:rPr>
          <w:rFonts w:asciiTheme="majorBidi" w:hAnsiTheme="majorBidi" w:cstheme="majorBidi"/>
        </w:rPr>
        <w:t xml:space="preserve">Geneva, </w:t>
      </w:r>
      <w:r w:rsidR="001C6D04" w:rsidRPr="0084685C">
        <w:rPr>
          <w:rFonts w:asciiTheme="majorBidi" w:hAnsiTheme="majorBidi" w:cstheme="majorBidi"/>
        </w:rPr>
        <w:t>28 March–1 April 2022</w:t>
      </w:r>
    </w:p>
    <w:p w14:paraId="3AC72240" w14:textId="72A0C261" w:rsidR="0082103C" w:rsidRPr="0084685C" w:rsidRDefault="0082103C" w:rsidP="0082103C">
      <w:pPr>
        <w:rPr>
          <w:rFonts w:asciiTheme="majorBidi" w:hAnsiTheme="majorBidi" w:cstheme="majorBidi"/>
        </w:rPr>
      </w:pPr>
      <w:r w:rsidRPr="0084685C">
        <w:rPr>
          <w:rFonts w:asciiTheme="majorBidi" w:hAnsiTheme="majorBidi" w:cstheme="majorBidi"/>
        </w:rPr>
        <w:t>Item</w:t>
      </w:r>
      <w:r w:rsidR="00250121" w:rsidRPr="0084685C">
        <w:rPr>
          <w:rFonts w:asciiTheme="majorBidi" w:hAnsiTheme="majorBidi" w:cstheme="majorBidi"/>
        </w:rPr>
        <w:t xml:space="preserve"> 3</w:t>
      </w:r>
      <w:r w:rsidR="00B52AD4" w:rsidRPr="0084685C">
        <w:rPr>
          <w:rFonts w:asciiTheme="majorBidi" w:hAnsiTheme="majorBidi" w:cstheme="majorBidi"/>
        </w:rPr>
        <w:t xml:space="preserve"> </w:t>
      </w:r>
      <w:r w:rsidR="00250121" w:rsidRPr="0084685C">
        <w:rPr>
          <w:rFonts w:asciiTheme="majorBidi" w:hAnsiTheme="majorBidi" w:cstheme="majorBidi"/>
        </w:rPr>
        <w:t>(b)</w:t>
      </w:r>
      <w:r w:rsidR="00170E8B" w:rsidRPr="0084685C">
        <w:rPr>
          <w:rFonts w:asciiTheme="majorBidi" w:hAnsiTheme="majorBidi" w:cstheme="majorBidi"/>
        </w:rPr>
        <w:t xml:space="preserve"> </w:t>
      </w:r>
      <w:r w:rsidRPr="0084685C">
        <w:rPr>
          <w:rFonts w:asciiTheme="majorBidi" w:hAnsiTheme="majorBidi" w:cstheme="majorBidi"/>
        </w:rPr>
        <w:t>of the provisional agenda</w:t>
      </w:r>
    </w:p>
    <w:p w14:paraId="47780840" w14:textId="333ED2B2" w:rsidR="000147BA" w:rsidRPr="0084685C" w:rsidRDefault="000147BA" w:rsidP="00F94AA2">
      <w:pPr>
        <w:rPr>
          <w:b/>
        </w:rPr>
      </w:pPr>
      <w:r w:rsidRPr="0084685C">
        <w:rPr>
          <w:b/>
        </w:rPr>
        <w:t xml:space="preserve">Amendments to </w:t>
      </w:r>
      <w:r w:rsidR="00ED260D" w:rsidRPr="0084685C">
        <w:rPr>
          <w:b/>
        </w:rPr>
        <w:t>Safety Glazing</w:t>
      </w:r>
      <w:r w:rsidRPr="0084685C">
        <w:rPr>
          <w:b/>
        </w:rPr>
        <w:t xml:space="preserve"> </w:t>
      </w:r>
      <w:r w:rsidR="0084685C" w:rsidRPr="0084685C">
        <w:rPr>
          <w:b/>
        </w:rPr>
        <w:t>Regulation</w:t>
      </w:r>
      <w:r w:rsidRPr="0084685C">
        <w:rPr>
          <w:b/>
        </w:rPr>
        <w:t>s</w:t>
      </w:r>
      <w:r w:rsidR="00C410A2" w:rsidRPr="0084685C">
        <w:rPr>
          <w:b/>
        </w:rPr>
        <w:t>:</w:t>
      </w:r>
    </w:p>
    <w:p w14:paraId="2FB9AB39" w14:textId="73A90CB4" w:rsidR="00AA3F13" w:rsidRPr="00FD3DAF" w:rsidRDefault="00AA3F13" w:rsidP="00AA3F13">
      <w:r w:rsidRPr="0084685C">
        <w:rPr>
          <w:b/>
        </w:rPr>
        <w:t xml:space="preserve">UN Regulation No. </w:t>
      </w:r>
      <w:r w:rsidR="00ED260D" w:rsidRPr="0084685C">
        <w:rPr>
          <w:b/>
        </w:rPr>
        <w:t>43</w:t>
      </w:r>
      <w:r w:rsidR="00D21706" w:rsidRPr="0084685C">
        <w:rPr>
          <w:b/>
        </w:rPr>
        <w:t xml:space="preserve"> (</w:t>
      </w:r>
      <w:r w:rsidR="00ED260D" w:rsidRPr="0084685C">
        <w:rPr>
          <w:b/>
        </w:rPr>
        <w:t xml:space="preserve">Safety </w:t>
      </w:r>
      <w:r w:rsidR="006E7736">
        <w:rPr>
          <w:b/>
        </w:rPr>
        <w:t>g</w:t>
      </w:r>
      <w:r w:rsidR="00ED260D" w:rsidRPr="0084685C">
        <w:rPr>
          <w:b/>
        </w:rPr>
        <w:t>lazing</w:t>
      </w:r>
      <w:r w:rsidR="00D21706" w:rsidRPr="0084685C">
        <w:rPr>
          <w:b/>
        </w:rPr>
        <w:t>)</w:t>
      </w:r>
    </w:p>
    <w:p w14:paraId="2074CE97" w14:textId="6DA5FC8B" w:rsidR="00DF5B41" w:rsidRPr="00FD3DAF" w:rsidRDefault="00065893" w:rsidP="00D73791">
      <w:pPr>
        <w:pStyle w:val="HChG"/>
      </w:pPr>
      <w:r w:rsidRPr="00FD3DAF">
        <w:tab/>
      </w:r>
      <w:r w:rsidR="00D73791" w:rsidRPr="00FD3DAF">
        <w:tab/>
      </w:r>
      <w:r w:rsidR="00D73791" w:rsidRPr="00FD3DAF">
        <w:tab/>
      </w:r>
      <w:r w:rsidR="00B356D9" w:rsidRPr="0084685C">
        <w:t xml:space="preserve">Proposal for Supplement </w:t>
      </w:r>
      <w:r w:rsidR="00C35B61" w:rsidRPr="0084685C">
        <w:t>10</w:t>
      </w:r>
      <w:r w:rsidR="00B356D9" w:rsidRPr="0084685C">
        <w:t xml:space="preserve"> to </w:t>
      </w:r>
      <w:r w:rsidR="006E7A14" w:rsidRPr="0084685C">
        <w:t xml:space="preserve">the </w:t>
      </w:r>
      <w:r w:rsidR="00C35B61" w:rsidRPr="0084685C">
        <w:t>01</w:t>
      </w:r>
      <w:r w:rsidR="00ED260D" w:rsidRPr="0084685C">
        <w:t xml:space="preserve"> Series of amendments</w:t>
      </w:r>
      <w:r w:rsidR="006E7A14" w:rsidRPr="0084685C">
        <w:t xml:space="preserve"> of </w:t>
      </w:r>
      <w:r w:rsidR="00B356D9" w:rsidRPr="0084685C">
        <w:t xml:space="preserve">UN Regulation No. </w:t>
      </w:r>
      <w:r w:rsidR="00ED260D" w:rsidRPr="0084685C">
        <w:t>43</w:t>
      </w:r>
      <w:r w:rsidR="00B356D9" w:rsidRPr="0084685C">
        <w:t xml:space="preserve"> </w:t>
      </w:r>
      <w:r w:rsidR="00E573BE">
        <w:rPr>
          <w:szCs w:val="28"/>
        </w:rPr>
        <w:t>(</w:t>
      </w:r>
      <w:r w:rsidR="00ED260D" w:rsidRPr="0084685C">
        <w:t xml:space="preserve">Safety </w:t>
      </w:r>
      <w:r w:rsidR="006E7736">
        <w:t>g</w:t>
      </w:r>
      <w:r w:rsidR="00ED260D" w:rsidRPr="0084685C">
        <w:t>lazing</w:t>
      </w:r>
      <w:r w:rsidR="00E573BE">
        <w:t>)</w:t>
      </w:r>
    </w:p>
    <w:p w14:paraId="2B381787" w14:textId="55708274" w:rsidR="002E5C78" w:rsidRPr="0084685C" w:rsidRDefault="00D73791" w:rsidP="00D73791">
      <w:pPr>
        <w:pStyle w:val="H1G"/>
      </w:pPr>
      <w:r w:rsidRPr="00FD3DAF">
        <w:tab/>
      </w:r>
      <w:r w:rsidRPr="00FD3DAF">
        <w:tab/>
      </w:r>
      <w:r w:rsidR="00055423" w:rsidRPr="00FD3DAF">
        <w:t xml:space="preserve">Submitted </w:t>
      </w:r>
      <w:r w:rsidR="00EA523B" w:rsidRPr="0084685C">
        <w:t xml:space="preserve">by the expert </w:t>
      </w:r>
      <w:r w:rsidR="00E24AB9" w:rsidRPr="0084685C">
        <w:t>from the</w:t>
      </w:r>
      <w:r w:rsidR="00E24AB9" w:rsidRPr="0084685C">
        <w:rPr>
          <w:szCs w:val="24"/>
        </w:rPr>
        <w:t xml:space="preserve"> </w:t>
      </w:r>
      <w:r w:rsidR="00E24AB9" w:rsidRPr="0084685C">
        <w:t>International Organization of Motor Vehicle Manufacturers</w:t>
      </w:r>
      <w:r w:rsidR="00E24AB9" w:rsidRPr="0084685C">
        <w:rPr>
          <w:bCs/>
        </w:rPr>
        <w:t xml:space="preserve"> </w:t>
      </w:r>
      <w:r w:rsidR="002E5C78" w:rsidRPr="0084685C">
        <w:rPr>
          <w:bCs/>
        </w:rPr>
        <w:footnoteReference w:customMarkFollows="1" w:id="2"/>
        <w:t>*</w:t>
      </w:r>
    </w:p>
    <w:p w14:paraId="106A03BA" w14:textId="7AFBFDCA" w:rsidR="00F607C0" w:rsidRPr="0084685C" w:rsidRDefault="000C5542" w:rsidP="00371368">
      <w:pPr>
        <w:pStyle w:val="SingleTxtG"/>
        <w:ind w:firstLine="425"/>
        <w:rPr>
          <w:rFonts w:asciiTheme="majorBidi" w:hAnsiTheme="majorBidi" w:cstheme="majorBidi"/>
        </w:rPr>
      </w:pPr>
      <w:r w:rsidRPr="0084685C">
        <w:t xml:space="preserve">The text reproduced below was prepared by the expert </w:t>
      </w:r>
      <w:r w:rsidR="00E24AB9" w:rsidRPr="0084685C">
        <w:t>from the</w:t>
      </w:r>
      <w:r w:rsidR="00E24AB9" w:rsidRPr="0084685C">
        <w:rPr>
          <w:szCs w:val="24"/>
        </w:rPr>
        <w:t xml:space="preserve"> </w:t>
      </w:r>
      <w:r w:rsidR="00E24AB9" w:rsidRPr="0084685C">
        <w:t>International Organization of Motor Vehicle Manufacturers</w:t>
      </w:r>
      <w:r w:rsidR="00AE634D" w:rsidRPr="0084685C">
        <w:t xml:space="preserve"> (OICA) </w:t>
      </w:r>
      <w:r w:rsidRPr="0084685C">
        <w:t xml:space="preserve">to amend UN Regulation No. </w:t>
      </w:r>
      <w:r w:rsidR="00ED260D" w:rsidRPr="0084685C">
        <w:t xml:space="preserve">43 to clarify the scope of the regulation. </w:t>
      </w:r>
      <w:r w:rsidR="0006705C" w:rsidRPr="0084685C">
        <w:t>It is based on informal document GRSG-</w:t>
      </w:r>
      <w:r w:rsidR="001C6D04" w:rsidRPr="0084685C">
        <w:t>122-</w:t>
      </w:r>
      <w:r w:rsidR="00ED260D" w:rsidRPr="0084685C">
        <w:t>09</w:t>
      </w:r>
      <w:r w:rsidR="00961963" w:rsidRPr="0084685C">
        <w:t xml:space="preserve"> </w:t>
      </w:r>
      <w:r w:rsidR="00B52AD4" w:rsidRPr="0084685C">
        <w:t>distributed at the 122</w:t>
      </w:r>
      <w:r w:rsidR="00B52AD4" w:rsidRPr="00FC369E">
        <w:t xml:space="preserve">nd </w:t>
      </w:r>
      <w:r w:rsidR="00B52AD4" w:rsidRPr="0084685C">
        <w:t xml:space="preserve">session of the Working </w:t>
      </w:r>
      <w:r w:rsidR="0084685C" w:rsidRPr="0084685C">
        <w:t>P</w:t>
      </w:r>
      <w:r w:rsidR="00B52AD4" w:rsidRPr="0084685C">
        <w:t>arty on General Safety Provisions (GRSG)</w:t>
      </w:r>
      <w:r w:rsidR="00BE4683" w:rsidRPr="0084685C">
        <w:t xml:space="preserve">. </w:t>
      </w:r>
      <w:r w:rsidR="006D61D7" w:rsidRPr="0084685C">
        <w:rPr>
          <w:szCs w:val="23"/>
        </w:rPr>
        <w:t xml:space="preserve">The modifications to the current text of the UN Regulation are marked </w:t>
      </w:r>
      <w:r w:rsidR="00371368" w:rsidRPr="0084685C">
        <w:rPr>
          <w:bCs/>
          <w:szCs w:val="23"/>
        </w:rPr>
        <w:t>in bold for new and strikethrough for deleted characters</w:t>
      </w:r>
      <w:r w:rsidR="00FB6628" w:rsidRPr="0084685C">
        <w:rPr>
          <w:rFonts w:asciiTheme="majorBidi" w:hAnsiTheme="majorBidi" w:cstheme="majorBidi"/>
        </w:rPr>
        <w:t>.</w:t>
      </w:r>
      <w:r w:rsidR="00F607C0" w:rsidRPr="0084685C">
        <w:rPr>
          <w:rFonts w:asciiTheme="majorBidi" w:hAnsiTheme="majorBidi" w:cstheme="majorBidi"/>
        </w:rPr>
        <w:br w:type="page"/>
      </w:r>
    </w:p>
    <w:p w14:paraId="5387A716" w14:textId="77777777" w:rsidR="00131CD7" w:rsidRPr="0084685C" w:rsidRDefault="00131CD7" w:rsidP="00131CD7">
      <w:pPr>
        <w:pStyle w:val="HChG"/>
        <w:rPr>
          <w:rFonts w:asciiTheme="majorBidi" w:hAnsiTheme="majorBidi" w:cstheme="majorBidi"/>
          <w:b w:val="0"/>
          <w:szCs w:val="28"/>
        </w:rPr>
      </w:pPr>
      <w:r w:rsidRPr="0084685C">
        <w:rPr>
          <w:rFonts w:asciiTheme="majorBidi" w:hAnsiTheme="majorBidi" w:cstheme="majorBidi"/>
          <w:szCs w:val="28"/>
        </w:rPr>
        <w:lastRenderedPageBreak/>
        <w:tab/>
        <w:t>I.</w:t>
      </w:r>
      <w:r w:rsidRPr="0084685C">
        <w:rPr>
          <w:rFonts w:asciiTheme="majorBidi" w:hAnsiTheme="majorBidi" w:cstheme="majorBidi"/>
          <w:szCs w:val="28"/>
        </w:rPr>
        <w:tab/>
      </w:r>
      <w:r w:rsidRPr="0084685C">
        <w:t>Proposal</w:t>
      </w:r>
    </w:p>
    <w:p w14:paraId="38EDD8AD" w14:textId="77777777" w:rsidR="00ED260D" w:rsidRPr="0084685C" w:rsidRDefault="00ED260D" w:rsidP="000B5EFF">
      <w:pPr>
        <w:ind w:left="567" w:firstLine="567"/>
        <w:rPr>
          <w:i/>
        </w:rPr>
      </w:pPr>
      <w:r w:rsidRPr="0084685C">
        <w:rPr>
          <w:i/>
        </w:rPr>
        <w:t>Paragraph 1</w:t>
      </w:r>
      <w:r w:rsidRPr="0084685C">
        <w:t>., amend to read (footnote unchanged):</w:t>
      </w:r>
    </w:p>
    <w:p w14:paraId="179E46DB" w14:textId="60267CD2" w:rsidR="00ED260D" w:rsidRPr="0084685C" w:rsidRDefault="00ED260D" w:rsidP="00ED260D">
      <w:pPr>
        <w:pStyle w:val="HChG"/>
        <w:ind w:left="0" w:firstLine="0"/>
      </w:pPr>
      <w:r w:rsidRPr="0084685C">
        <w:rPr>
          <w:bCs/>
        </w:rPr>
        <w:tab/>
      </w:r>
      <w:r w:rsidR="00815CC1" w:rsidRPr="0084685C">
        <w:rPr>
          <w:bCs/>
        </w:rPr>
        <w:tab/>
      </w:r>
      <w:r w:rsidR="00250121" w:rsidRPr="0084685C">
        <w:rPr>
          <w:b w:val="0"/>
        </w:rPr>
        <w:t>"</w:t>
      </w:r>
      <w:r w:rsidRPr="0084685C">
        <w:t>1.</w:t>
      </w:r>
      <w:r w:rsidRPr="0084685C">
        <w:tab/>
        <w:t>Scope</w:t>
      </w:r>
    </w:p>
    <w:p w14:paraId="2E110984" w14:textId="372435B3" w:rsidR="00ED260D" w:rsidRPr="0084685C" w:rsidRDefault="00ED260D" w:rsidP="00815CC1">
      <w:pPr>
        <w:suppressAutoHyphens w:val="0"/>
        <w:spacing w:after="120" w:line="240" w:lineRule="auto"/>
        <w:ind w:left="1710" w:right="1134"/>
        <w:jc w:val="both"/>
        <w:rPr>
          <w:color w:val="000000"/>
          <w:lang w:eastAsia="fr-FR"/>
        </w:rPr>
      </w:pPr>
      <w:r w:rsidRPr="0084685C">
        <w:rPr>
          <w:color w:val="000000"/>
          <w:lang w:eastAsia="fr-FR"/>
        </w:rPr>
        <w:t>This Regulation applies to:</w:t>
      </w:r>
    </w:p>
    <w:p w14:paraId="5EA6CB24" w14:textId="7830798A" w:rsidR="00ED260D" w:rsidRPr="0084685C" w:rsidRDefault="00ED260D" w:rsidP="00040E60">
      <w:pPr>
        <w:suppressAutoHyphens w:val="0"/>
        <w:spacing w:after="120" w:line="240" w:lineRule="auto"/>
        <w:ind w:left="2340" w:right="1134" w:hanging="630"/>
        <w:jc w:val="both"/>
        <w:rPr>
          <w:color w:val="000000"/>
          <w:lang w:eastAsia="fr-FR"/>
        </w:rPr>
      </w:pPr>
      <w:r w:rsidRPr="0084685C">
        <w:rPr>
          <w:color w:val="000000"/>
          <w:lang w:eastAsia="fr-FR"/>
        </w:rPr>
        <w:t>(a)</w:t>
      </w:r>
      <w:r w:rsidRPr="0084685C">
        <w:rPr>
          <w:color w:val="000000"/>
          <w:lang w:eastAsia="fr-FR"/>
        </w:rPr>
        <w:tab/>
        <w:t xml:space="preserve">Safety glazing materials intended for installation as windscreens or other panes, or as partitioning, on </w:t>
      </w:r>
      <w:r w:rsidRPr="00FD3DAF">
        <w:rPr>
          <w:color w:val="000000"/>
          <w:lang w:eastAsia="fr-FR"/>
        </w:rPr>
        <w:t>vehicles of category L</w:t>
      </w:r>
      <w:r w:rsidRPr="0084685C">
        <w:rPr>
          <w:color w:val="000000"/>
          <w:lang w:eastAsia="fr-FR"/>
        </w:rPr>
        <w:t xml:space="preserve"> with bodywork</w:t>
      </w:r>
      <w:r w:rsidRPr="00FD3DAF">
        <w:rPr>
          <w:color w:val="000000"/>
          <w:lang w:eastAsia="fr-FR"/>
        </w:rPr>
        <w:t>, M, N, O, and T;</w:t>
      </w:r>
      <w:r w:rsidR="009D0ABE">
        <w:rPr>
          <w:rStyle w:val="FootnoteReference"/>
          <w:color w:val="000000"/>
          <w:lang w:eastAsia="fr-FR"/>
        </w:rPr>
        <w:footnoteReference w:id="3"/>
      </w:r>
    </w:p>
    <w:p w14:paraId="3FCC1B24" w14:textId="77777777" w:rsidR="00ED260D" w:rsidRPr="00FD3DAF" w:rsidRDefault="00ED260D" w:rsidP="00040E60">
      <w:pPr>
        <w:suppressAutoHyphens w:val="0"/>
        <w:spacing w:after="120" w:line="240" w:lineRule="auto"/>
        <w:ind w:left="2340" w:right="1134" w:hanging="630"/>
        <w:jc w:val="both"/>
        <w:rPr>
          <w:color w:val="000000"/>
          <w:lang w:eastAsia="fr-FR"/>
        </w:rPr>
      </w:pPr>
      <w:r w:rsidRPr="00FD3DAF">
        <w:rPr>
          <w:color w:val="000000"/>
          <w:lang w:eastAsia="fr-FR"/>
        </w:rPr>
        <w:t>(b)</w:t>
      </w:r>
      <w:r w:rsidRPr="00FD3DAF">
        <w:rPr>
          <w:color w:val="000000"/>
          <w:lang w:eastAsia="fr-FR"/>
        </w:rPr>
        <w:tab/>
        <w:t xml:space="preserve">Vehicles </w:t>
      </w:r>
      <w:r w:rsidRPr="0084685C">
        <w:rPr>
          <w:color w:val="000000"/>
          <w:lang w:eastAsia="fr-FR"/>
        </w:rPr>
        <w:t>of</w:t>
      </w:r>
      <w:r w:rsidRPr="00FD3DAF">
        <w:rPr>
          <w:color w:val="000000"/>
          <w:lang w:eastAsia="fr-FR"/>
        </w:rPr>
        <w:t xml:space="preserve"> categories M, N and O with regard to the installation of these materials;</w:t>
      </w:r>
    </w:p>
    <w:p w14:paraId="1439FF9C" w14:textId="77777777" w:rsidR="00ED260D" w:rsidRPr="0084685C" w:rsidRDefault="00ED260D" w:rsidP="00040E60">
      <w:pPr>
        <w:suppressAutoHyphens w:val="0"/>
        <w:spacing w:after="120" w:line="240" w:lineRule="auto"/>
        <w:ind w:left="2340" w:right="1134" w:hanging="630"/>
        <w:jc w:val="both"/>
        <w:rPr>
          <w:color w:val="000000"/>
          <w:lang w:eastAsia="fr-FR"/>
        </w:rPr>
      </w:pPr>
      <w:r w:rsidRPr="00FD3DAF">
        <w:rPr>
          <w:color w:val="000000"/>
          <w:lang w:eastAsia="fr-FR"/>
        </w:rPr>
        <w:t>In both cases,</w:t>
      </w:r>
      <w:r w:rsidRPr="0084685C">
        <w:rPr>
          <w:color w:val="000000"/>
          <w:lang w:eastAsia="fr-FR"/>
        </w:rPr>
        <w:t xml:space="preserve"> to the exclusion of:</w:t>
      </w:r>
    </w:p>
    <w:p w14:paraId="100FBABF" w14:textId="77777777" w:rsidR="00ED260D" w:rsidRPr="00FD3DAF" w:rsidRDefault="00ED260D" w:rsidP="00040E60">
      <w:pPr>
        <w:suppressAutoHyphens w:val="0"/>
        <w:spacing w:after="120" w:line="240" w:lineRule="auto"/>
        <w:ind w:left="2340" w:right="1134" w:hanging="630"/>
        <w:jc w:val="both"/>
        <w:rPr>
          <w:strike/>
          <w:color w:val="000000"/>
          <w:lang w:eastAsia="fr-FR"/>
        </w:rPr>
      </w:pPr>
      <w:r w:rsidRPr="0084685C">
        <w:rPr>
          <w:color w:val="000000"/>
          <w:lang w:eastAsia="fr-FR"/>
        </w:rPr>
        <w:t>(i)</w:t>
      </w:r>
      <w:r w:rsidRPr="0084685C">
        <w:rPr>
          <w:color w:val="000000"/>
          <w:lang w:eastAsia="fr-FR"/>
        </w:rPr>
        <w:tab/>
        <w:t xml:space="preserve">Glazing for lighting and light-signalling devices, instrument panels, </w:t>
      </w:r>
      <w:r w:rsidRPr="0084685C">
        <w:rPr>
          <w:strike/>
          <w:color w:val="000000"/>
          <w:lang w:eastAsia="fr-FR"/>
        </w:rPr>
        <w:t>special bullet-proof glazing</w:t>
      </w:r>
      <w:r w:rsidRPr="00FD3DAF">
        <w:rPr>
          <w:color w:val="000000"/>
          <w:lang w:eastAsia="fr-FR"/>
        </w:rPr>
        <w:t xml:space="preserve"> </w:t>
      </w:r>
      <w:r w:rsidRPr="00FD3DAF">
        <w:rPr>
          <w:b/>
          <w:bCs/>
          <w:color w:val="000000"/>
          <w:lang w:eastAsia="fr-FR"/>
        </w:rPr>
        <w:t xml:space="preserve">security glazing </w:t>
      </w:r>
      <w:r w:rsidRPr="00FD3DAF">
        <w:rPr>
          <w:color w:val="000000"/>
          <w:lang w:eastAsia="fr-FR"/>
        </w:rPr>
        <w:t>and double-windows;</w:t>
      </w:r>
    </w:p>
    <w:p w14:paraId="467BF845" w14:textId="211AEB1E" w:rsidR="00ED260D" w:rsidRPr="00FD3DAF" w:rsidRDefault="00ED260D" w:rsidP="00040E60">
      <w:pPr>
        <w:pStyle w:val="para"/>
        <w:ind w:left="2340" w:hanging="630"/>
      </w:pPr>
      <w:r w:rsidRPr="0084685C">
        <w:rPr>
          <w:color w:val="000000"/>
        </w:rPr>
        <w:t>(ii)</w:t>
      </w:r>
      <w:r w:rsidRPr="0084685C">
        <w:rPr>
          <w:color w:val="000000"/>
        </w:rPr>
        <w:tab/>
        <w:t>Small</w:t>
      </w:r>
      <w:r w:rsidRPr="00FD3DAF">
        <w:t xml:space="preserve"> plastic glazing that is not required for either the driver's forward or rearward field of vision.</w:t>
      </w:r>
      <w:r w:rsidR="00250121" w:rsidRPr="00FD3DAF">
        <w:t>"</w:t>
      </w:r>
    </w:p>
    <w:p w14:paraId="1CF04277" w14:textId="77777777" w:rsidR="00ED260D" w:rsidRPr="0084685C" w:rsidRDefault="00ED260D" w:rsidP="000B5EFF">
      <w:pPr>
        <w:pStyle w:val="SingleTxtG"/>
        <w:rPr>
          <w:i/>
        </w:rPr>
      </w:pPr>
      <w:r w:rsidRPr="0084685C">
        <w:rPr>
          <w:i/>
        </w:rPr>
        <w:t>Paragraph 2.9</w:t>
      </w:r>
      <w:r w:rsidRPr="0084685C">
        <w:t>., amend to read:</w:t>
      </w:r>
    </w:p>
    <w:p w14:paraId="55C1806F" w14:textId="40202EDE" w:rsidR="00ED260D" w:rsidRPr="0084685C" w:rsidRDefault="00250121" w:rsidP="000B5EFF">
      <w:pPr>
        <w:pStyle w:val="para"/>
        <w:ind w:left="1710" w:hanging="576"/>
        <w:rPr>
          <w:strike/>
        </w:rPr>
      </w:pPr>
      <w:r w:rsidRPr="0084685C">
        <w:t>"</w:t>
      </w:r>
      <w:r w:rsidR="00ED260D" w:rsidRPr="0084685C">
        <w:t>2.9.</w:t>
      </w:r>
      <w:r w:rsidR="00ED260D" w:rsidRPr="0084685C">
        <w:tab/>
      </w:r>
      <w:r w:rsidRPr="0084685C">
        <w:rPr>
          <w:strike/>
        </w:rPr>
        <w:t>"</w:t>
      </w:r>
      <w:r w:rsidR="00ED260D" w:rsidRPr="0084685C">
        <w:rPr>
          <w:i/>
          <w:strike/>
        </w:rPr>
        <w:t>Bullet resistant glazing</w:t>
      </w:r>
      <w:r w:rsidRPr="0084685C">
        <w:rPr>
          <w:strike/>
        </w:rPr>
        <w:t>"</w:t>
      </w:r>
      <w:r w:rsidR="00ED260D" w:rsidRPr="0084685C">
        <w:rPr>
          <w:strike/>
        </w:rPr>
        <w:t xml:space="preserve"> or </w:t>
      </w:r>
      <w:r w:rsidRPr="0084685C">
        <w:rPr>
          <w:strike/>
        </w:rPr>
        <w:t>"</w:t>
      </w:r>
      <w:r w:rsidR="00ED260D" w:rsidRPr="0084685C">
        <w:rPr>
          <w:i/>
          <w:strike/>
        </w:rPr>
        <w:t>Bullet-proof glazing</w:t>
      </w:r>
      <w:r w:rsidRPr="0084685C">
        <w:rPr>
          <w:strike/>
        </w:rPr>
        <w:t>"</w:t>
      </w:r>
      <w:r w:rsidR="00ED260D" w:rsidRPr="0084685C">
        <w:rPr>
          <w:strike/>
        </w:rPr>
        <w:t>, means glazing constructed so as to be resistant to firearms.</w:t>
      </w:r>
    </w:p>
    <w:p w14:paraId="7B68F6B1" w14:textId="3A44DE47" w:rsidR="00ED260D" w:rsidRPr="0084685C" w:rsidRDefault="00250121" w:rsidP="000B5EFF">
      <w:pPr>
        <w:pStyle w:val="para"/>
        <w:ind w:left="1710" w:hanging="9"/>
        <w:rPr>
          <w:b/>
          <w:bCs/>
          <w:i/>
          <w:iCs/>
        </w:rPr>
      </w:pPr>
      <w:r w:rsidRPr="0084685C">
        <w:rPr>
          <w:b/>
          <w:bCs/>
          <w:i/>
          <w:iCs/>
        </w:rPr>
        <w:t>"</w:t>
      </w:r>
      <w:r w:rsidR="00ED260D" w:rsidRPr="0084685C">
        <w:rPr>
          <w:b/>
          <w:bCs/>
          <w:i/>
          <w:iCs/>
        </w:rPr>
        <w:t>Security glazing</w:t>
      </w:r>
      <w:r w:rsidRPr="0084685C">
        <w:rPr>
          <w:b/>
          <w:bCs/>
          <w:i/>
          <w:iCs/>
        </w:rPr>
        <w:t>"</w:t>
      </w:r>
      <w:r w:rsidR="00ED260D" w:rsidRPr="0084685C">
        <w:rPr>
          <w:b/>
          <w:bCs/>
          <w:i/>
          <w:iCs/>
        </w:rPr>
        <w:t xml:space="preserve"> </w:t>
      </w:r>
      <w:r w:rsidR="00ED260D" w:rsidRPr="0084685C">
        <w:rPr>
          <w:b/>
          <w:bCs/>
        </w:rPr>
        <w:t>means</w:t>
      </w:r>
      <w:r w:rsidR="00ED260D" w:rsidRPr="0084685C">
        <w:rPr>
          <w:b/>
          <w:bCs/>
          <w:i/>
          <w:iCs/>
        </w:rPr>
        <w:t xml:space="preserve"> </w:t>
      </w:r>
      <w:r w:rsidR="00ED260D" w:rsidRPr="0084685C">
        <w:rPr>
          <w:b/>
          <w:bCs/>
        </w:rPr>
        <w:t>a type of glazing, which provides an additional level of protection from damage or attack from the outside of the vehicle, which can be either a person-led attack by means of tools, weapons or other devices or damage of another origin (e.g. natural disasters or machine malfunctions).</w:t>
      </w:r>
      <w:r w:rsidRPr="0084685C">
        <w:t>"</w:t>
      </w:r>
    </w:p>
    <w:p w14:paraId="3840BCB6" w14:textId="77777777" w:rsidR="00131CD7" w:rsidRPr="0084685C" w:rsidRDefault="00131CD7" w:rsidP="00131CD7">
      <w:pPr>
        <w:pStyle w:val="HChG"/>
        <w:rPr>
          <w:b w:val="0"/>
        </w:rPr>
      </w:pPr>
      <w:r w:rsidRPr="0084685C">
        <w:tab/>
        <w:t>II.</w:t>
      </w:r>
      <w:r w:rsidRPr="0084685C">
        <w:tab/>
        <w:t>Justification</w:t>
      </w:r>
    </w:p>
    <w:p w14:paraId="177CF185" w14:textId="2D36B8E1" w:rsidR="00815CC1" w:rsidRPr="0084685C" w:rsidRDefault="00FC37CD" w:rsidP="00FC37CD">
      <w:pPr>
        <w:pStyle w:val="SingleTxtG"/>
        <w:ind w:left="1125" w:firstLine="9"/>
      </w:pPr>
      <w:r w:rsidRPr="0084685C">
        <w:t>1.</w:t>
      </w:r>
      <w:r w:rsidRPr="0084685C">
        <w:tab/>
      </w:r>
      <w:r w:rsidR="00ED260D" w:rsidRPr="0084685C">
        <w:t xml:space="preserve">Bullet resistant glazing actually appears to be only a special type of security glazing, constructed to be resistant to firearms. The term </w:t>
      </w:r>
      <w:r w:rsidR="00250121" w:rsidRPr="0084685C">
        <w:t>"</w:t>
      </w:r>
      <w:r w:rsidR="00ED260D" w:rsidRPr="0084685C">
        <w:t>special bullet-proof glazing</w:t>
      </w:r>
      <w:r w:rsidR="00250121" w:rsidRPr="0084685C">
        <w:t>"</w:t>
      </w:r>
      <w:r w:rsidR="00ED260D" w:rsidRPr="0084685C">
        <w:t xml:space="preserve"> hence seems unclear since this type of glazing shows resistance to any kind of mechanical damage not limited to bombardment.</w:t>
      </w:r>
    </w:p>
    <w:p w14:paraId="0325FB87" w14:textId="687009D9" w:rsidR="00815CC1" w:rsidRPr="0084685C" w:rsidRDefault="00FC37CD" w:rsidP="00FC37CD">
      <w:pPr>
        <w:pStyle w:val="SingleTxtG"/>
        <w:ind w:left="1125" w:firstLine="9"/>
      </w:pPr>
      <w:r w:rsidRPr="0084685C">
        <w:t>2.</w:t>
      </w:r>
      <w:r w:rsidRPr="0084685C">
        <w:tab/>
      </w:r>
      <w:r w:rsidR="00ED260D" w:rsidRPr="0084685C">
        <w:t>Since UN R</w:t>
      </w:r>
      <w:r w:rsidR="008760F1" w:rsidRPr="0084685C">
        <w:t xml:space="preserve">egulation No. </w:t>
      </w:r>
      <w:r w:rsidR="00ED260D" w:rsidRPr="0084685C">
        <w:t xml:space="preserve">43 also applies to category T vehicles, which have the need for a security glazing windscreen to protect the occupant against e.g., ruptured chainsaws (required in ISO 21876:2020), the definition of </w:t>
      </w:r>
      <w:r w:rsidR="00250121" w:rsidRPr="0084685C">
        <w:t>"</w:t>
      </w:r>
      <w:r w:rsidR="00ED260D" w:rsidRPr="0084685C">
        <w:t>special bullet-proof glazings</w:t>
      </w:r>
      <w:r w:rsidR="00250121" w:rsidRPr="0084685C">
        <w:t>"</w:t>
      </w:r>
      <w:r w:rsidR="00ED260D" w:rsidRPr="0084685C">
        <w:t xml:space="preserve"> does not reflect these special needs.</w:t>
      </w:r>
    </w:p>
    <w:p w14:paraId="26946943" w14:textId="605999D9" w:rsidR="00131CD7" w:rsidRPr="0084685C" w:rsidRDefault="00FC37CD" w:rsidP="00FC37CD">
      <w:pPr>
        <w:pStyle w:val="SingleTxtG"/>
        <w:ind w:left="1125" w:firstLine="9"/>
      </w:pPr>
      <w:r w:rsidRPr="0084685C">
        <w:t>3.</w:t>
      </w:r>
      <w:r w:rsidRPr="0084685C">
        <w:tab/>
      </w:r>
      <w:r w:rsidR="00ED260D" w:rsidRPr="0084685C">
        <w:t>It is therefore proposed to clarify the definition of these types of glazing.</w:t>
      </w:r>
    </w:p>
    <w:p w14:paraId="49991FD7" w14:textId="18A8F678" w:rsidR="008844A4" w:rsidRPr="0084685C" w:rsidRDefault="00FC3254" w:rsidP="00FC3254">
      <w:pPr>
        <w:spacing w:before="240"/>
        <w:jc w:val="center"/>
        <w:rPr>
          <w:u w:val="single"/>
        </w:rPr>
      </w:pPr>
      <w:r w:rsidRPr="0084685C">
        <w:rPr>
          <w:u w:val="single"/>
        </w:rPr>
        <w:tab/>
      </w:r>
      <w:r w:rsidRPr="0084685C">
        <w:rPr>
          <w:u w:val="single"/>
        </w:rPr>
        <w:tab/>
      </w:r>
      <w:r w:rsidRPr="0084685C">
        <w:rPr>
          <w:u w:val="single"/>
        </w:rPr>
        <w:tab/>
      </w:r>
    </w:p>
    <w:sectPr w:rsidR="008844A4" w:rsidRPr="0084685C" w:rsidSect="005D5FC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F0129" w14:textId="77777777" w:rsidR="00AC7773" w:rsidRDefault="00AC7773" w:rsidP="00203C11">
      <w:pPr>
        <w:spacing w:line="240" w:lineRule="auto"/>
      </w:pPr>
      <w:r>
        <w:separator/>
      </w:r>
    </w:p>
  </w:endnote>
  <w:endnote w:type="continuationSeparator" w:id="0">
    <w:p w14:paraId="3C7EC578" w14:textId="77777777" w:rsidR="00AC7773" w:rsidRDefault="00AC7773" w:rsidP="00203C11">
      <w:pPr>
        <w:spacing w:line="240" w:lineRule="auto"/>
      </w:pPr>
      <w:r>
        <w:continuationSeparator/>
      </w:r>
    </w:p>
  </w:endnote>
  <w:endnote w:type="continuationNotice" w:id="1">
    <w:p w14:paraId="19841209" w14:textId="77777777" w:rsidR="00AC7773" w:rsidRDefault="00AC77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D38F" w14:textId="3A306CAC" w:rsidR="0015307E" w:rsidRPr="005D5FCC" w:rsidRDefault="005D5FCC" w:rsidP="005D5FCC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54F5" w14:textId="410098CD" w:rsidR="0015307E" w:rsidRPr="005D5FCC" w:rsidRDefault="005D5FCC" w:rsidP="005D5FCC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E21A5" w14:textId="16B97791" w:rsidR="00FC37CD" w:rsidRDefault="00FC37CD" w:rsidP="00FC37C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C891DB5" wp14:editId="03455AC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2CAA47" w14:textId="6F1E138F" w:rsidR="00FC37CD" w:rsidRPr="00FC37CD" w:rsidRDefault="00FC37CD" w:rsidP="00FC37CD">
    <w:pPr>
      <w:pStyle w:val="Footer"/>
      <w:ind w:right="1134"/>
      <w:rPr>
        <w:sz w:val="20"/>
      </w:rPr>
    </w:pPr>
    <w:r>
      <w:rPr>
        <w:sz w:val="20"/>
      </w:rPr>
      <w:t>GE.22-00369(E)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D80DAD" wp14:editId="36493FA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A779" w14:textId="77777777" w:rsidR="00AC7773" w:rsidRPr="00E378AC" w:rsidRDefault="00AC7773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D976B2" w14:textId="77777777" w:rsidR="00AC7773" w:rsidRDefault="00AC7773">
      <w:r>
        <w:continuationSeparator/>
      </w:r>
    </w:p>
  </w:footnote>
  <w:footnote w:type="continuationNotice" w:id="1">
    <w:p w14:paraId="57A2F5E1" w14:textId="77777777" w:rsidR="00AC7773" w:rsidRDefault="00AC7773">
      <w:pPr>
        <w:spacing w:line="240" w:lineRule="auto"/>
      </w:pPr>
    </w:p>
  </w:footnote>
  <w:footnote w:id="2">
    <w:p w14:paraId="21EB5ECD" w14:textId="44207234" w:rsidR="002E5C78" w:rsidRPr="002232AF" w:rsidRDefault="002E5C78" w:rsidP="002B0658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 w:rsidR="0015307E">
        <w:rPr>
          <w:rStyle w:val="FootnoteReference"/>
          <w:lang w:val="en-US"/>
        </w:rPr>
        <w:tab/>
      </w:r>
      <w:r w:rsidR="002B0658" w:rsidRPr="00A75FE0">
        <w:rPr>
          <w:rStyle w:val="FootnoteReference"/>
          <w:szCs w:val="18"/>
          <w:vertAlign w:val="baseline"/>
          <w:lang w:eastAsia="fr-FR"/>
        </w:rPr>
        <w:t>In accordance with the programme of work of the Inland Transport Committee for 2022 as outlined in proposed programme budget for 2022 (A/76/6 (part V</w:t>
      </w:r>
      <w:r w:rsidR="0084685C">
        <w:rPr>
          <w:szCs w:val="18"/>
          <w:lang w:eastAsia="fr-FR"/>
        </w:rPr>
        <w:t>,</w:t>
      </w:r>
      <w:r w:rsidR="002B0658" w:rsidRPr="00A75FE0">
        <w:rPr>
          <w:rStyle w:val="FootnoteReference"/>
          <w:szCs w:val="18"/>
          <w:vertAlign w:val="baseline"/>
          <w:lang w:eastAsia="fr-FR"/>
        </w:rPr>
        <w:t xml:space="preserve"> sect. 20) para</w:t>
      </w:r>
      <w:r w:rsidR="0084685C">
        <w:rPr>
          <w:rStyle w:val="FootnoteReference"/>
          <w:szCs w:val="18"/>
          <w:vertAlign w:val="baseline"/>
          <w:lang w:eastAsia="fr-FR"/>
        </w:rPr>
        <w:t>.</w:t>
      </w:r>
      <w:r w:rsidR="002B0658" w:rsidRPr="00A75FE0">
        <w:rPr>
          <w:rStyle w:val="FootnoteReference"/>
          <w:szCs w:val="18"/>
          <w:vertAlign w:val="baseline"/>
          <w:lang w:eastAsia="fr-FR"/>
        </w:rPr>
        <w:t xml:space="preserve"> 20.76), the World Forum will develop, harmonize and update UN Regulations in order to enhance the performance of vehicles. The present document is submitted in conformity with that mandate.</w:t>
      </w:r>
    </w:p>
  </w:footnote>
  <w:footnote w:id="3">
    <w:p w14:paraId="76B39013" w14:textId="391953D3" w:rsidR="009D0ABE" w:rsidRPr="009D0ABE" w:rsidRDefault="009D0ABE" w:rsidP="009D0ABE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rFonts w:eastAsiaTheme="minorEastAsia"/>
          <w:sz w:val="18"/>
        </w:rPr>
      </w:pPr>
      <w:r>
        <w:rPr>
          <w:rStyle w:val="FootnoteReference"/>
          <w:rFonts w:eastAsiaTheme="minorEastAsia"/>
          <w:vertAlign w:val="baseline"/>
        </w:rPr>
        <w:tab/>
      </w:r>
      <w:r w:rsidRPr="009D0ABE">
        <w:rPr>
          <w:rStyle w:val="FootnoteReference"/>
          <w:rFonts w:eastAsiaTheme="minorEastAsia"/>
        </w:rPr>
        <w:footnoteRef/>
      </w:r>
      <w:r w:rsidRPr="009D0ABE">
        <w:rPr>
          <w:rStyle w:val="FootnoteReference"/>
          <w:rFonts w:eastAsiaTheme="minorEastAsia"/>
        </w:rPr>
        <w:tab/>
      </w:r>
      <w:r w:rsidRPr="009D0ABE">
        <w:rPr>
          <w:rStyle w:val="FootnoteReference"/>
          <w:rFonts w:eastAsiaTheme="minorEastAsia"/>
          <w:vertAlign w:val="baseline"/>
        </w:rPr>
        <w:t>As defined in the Consolidated Resolution on the Construction of Vehicles (R.E.3), document ECE/TRANS/WP.29/78/Rev.6. (</w:t>
      </w:r>
      <w:hyperlink r:id="rId1" w:history="1">
        <w:r w:rsidRPr="009D0ABE">
          <w:rPr>
            <w:rStyle w:val="FootnoteReference"/>
            <w:rFonts w:eastAsiaTheme="minorEastAsia"/>
            <w:vertAlign w:val="baseline"/>
          </w:rPr>
          <w:t>https://unece.org/transport/standards/transport/vehicle-regulations-wp29/resolutions</w:t>
        </w:r>
      </w:hyperlink>
      <w:r w:rsidRPr="009D0ABE">
        <w:rPr>
          <w:rStyle w:val="FootnoteReference"/>
          <w:rFonts w:eastAsiaTheme="minorEastAsia"/>
          <w:vertAlign w:val="baseline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26F" w14:textId="2F79DC81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961963">
      <w:t>2</w:t>
    </w:r>
    <w:r w:rsidRPr="00340A6E">
      <w:t>/</w:t>
    </w:r>
    <w:r w:rsidR="00815CC1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D8D" w14:textId="1E76F880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</w:t>
    </w:r>
    <w:r w:rsidR="00B67438">
      <w:t>2/xx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0D0541E"/>
    <w:multiLevelType w:val="hybridMultilevel"/>
    <w:tmpl w:val="87CC476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3DA0437"/>
    <w:multiLevelType w:val="hybridMultilevel"/>
    <w:tmpl w:val="69E87E60"/>
    <w:lvl w:ilvl="0" w:tplc="20A6E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93C136C"/>
    <w:multiLevelType w:val="hybridMultilevel"/>
    <w:tmpl w:val="1D62AC92"/>
    <w:lvl w:ilvl="0" w:tplc="D72062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9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6E2E70"/>
    <w:multiLevelType w:val="hybridMultilevel"/>
    <w:tmpl w:val="9F3C4A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22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3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6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7225811"/>
    <w:multiLevelType w:val="hybridMultilevel"/>
    <w:tmpl w:val="0968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7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36"/>
  </w:num>
  <w:num w:numId="23">
    <w:abstractNumId w:val="23"/>
  </w:num>
  <w:num w:numId="24">
    <w:abstractNumId w:val="34"/>
  </w:num>
  <w:num w:numId="25">
    <w:abstractNumId w:val="33"/>
  </w:num>
  <w:num w:numId="26">
    <w:abstractNumId w:val="19"/>
  </w:num>
  <w:num w:numId="27">
    <w:abstractNumId w:val="28"/>
  </w:num>
  <w:num w:numId="28">
    <w:abstractNumId w:val="22"/>
  </w:num>
  <w:num w:numId="29">
    <w:abstractNumId w:val="25"/>
  </w:num>
  <w:num w:numId="30">
    <w:abstractNumId w:val="21"/>
  </w:num>
  <w:num w:numId="31">
    <w:abstractNumId w:val="26"/>
  </w:num>
  <w:num w:numId="32">
    <w:abstractNumId w:val="13"/>
  </w:num>
  <w:num w:numId="33">
    <w:abstractNumId w:val="18"/>
  </w:num>
  <w:num w:numId="34">
    <w:abstractNumId w:val="27"/>
  </w:num>
  <w:num w:numId="35">
    <w:abstractNumId w:val="30"/>
  </w:num>
  <w:num w:numId="36">
    <w:abstractNumId w:val="16"/>
  </w:num>
  <w:num w:numId="37">
    <w:abstractNumId w:val="35"/>
  </w:num>
  <w:num w:numId="38">
    <w:abstractNumId w:val="32"/>
  </w:num>
  <w:num w:numId="39">
    <w:abstractNumId w:val="37"/>
  </w:num>
  <w:num w:numId="40">
    <w:abstractNumId w:val="31"/>
  </w:num>
  <w:num w:numId="41">
    <w:abstractNumId w:val="10"/>
  </w:num>
  <w:num w:numId="42">
    <w:abstractNumId w:val="24"/>
  </w:num>
  <w:num w:numId="43">
    <w:abstractNumId w:val="14"/>
  </w:num>
  <w:num w:numId="44">
    <w:abstractNumId w:val="20"/>
  </w:num>
  <w:num w:numId="45">
    <w:abstractNumId w:val="11"/>
  </w:num>
  <w:num w:numId="46">
    <w:abstractNumId w:val="12"/>
  </w:num>
  <w:num w:numId="47">
    <w:abstractNumId w:val="2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567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13969"/>
    <w:rsid w:val="000147BA"/>
    <w:rsid w:val="00025CF8"/>
    <w:rsid w:val="00040E60"/>
    <w:rsid w:val="0004534F"/>
    <w:rsid w:val="00047B49"/>
    <w:rsid w:val="00055423"/>
    <w:rsid w:val="00055BB3"/>
    <w:rsid w:val="00056FD9"/>
    <w:rsid w:val="0005715A"/>
    <w:rsid w:val="00061BB4"/>
    <w:rsid w:val="00065893"/>
    <w:rsid w:val="00066E26"/>
    <w:rsid w:val="0006705C"/>
    <w:rsid w:val="00071B9F"/>
    <w:rsid w:val="00081E82"/>
    <w:rsid w:val="000909E6"/>
    <w:rsid w:val="000A219B"/>
    <w:rsid w:val="000A4AB0"/>
    <w:rsid w:val="000A5A19"/>
    <w:rsid w:val="000B5EFF"/>
    <w:rsid w:val="000C296F"/>
    <w:rsid w:val="000C356D"/>
    <w:rsid w:val="000C378C"/>
    <w:rsid w:val="000C5542"/>
    <w:rsid w:val="000C75E6"/>
    <w:rsid w:val="000D367D"/>
    <w:rsid w:val="000D3B90"/>
    <w:rsid w:val="000D770F"/>
    <w:rsid w:val="000E252E"/>
    <w:rsid w:val="000F5B80"/>
    <w:rsid w:val="00101BEF"/>
    <w:rsid w:val="0011327F"/>
    <w:rsid w:val="00113BA0"/>
    <w:rsid w:val="00114035"/>
    <w:rsid w:val="001276F6"/>
    <w:rsid w:val="001309F4"/>
    <w:rsid w:val="00131CD7"/>
    <w:rsid w:val="00136B61"/>
    <w:rsid w:val="00151208"/>
    <w:rsid w:val="0015307E"/>
    <w:rsid w:val="00156754"/>
    <w:rsid w:val="001641E8"/>
    <w:rsid w:val="0017097E"/>
    <w:rsid w:val="00170E8B"/>
    <w:rsid w:val="00171B7D"/>
    <w:rsid w:val="00174CAC"/>
    <w:rsid w:val="00183F4A"/>
    <w:rsid w:val="00185078"/>
    <w:rsid w:val="001939AF"/>
    <w:rsid w:val="00195EB5"/>
    <w:rsid w:val="00197A14"/>
    <w:rsid w:val="00197AED"/>
    <w:rsid w:val="001A5BC6"/>
    <w:rsid w:val="001B5B00"/>
    <w:rsid w:val="001C03BD"/>
    <w:rsid w:val="001C6D04"/>
    <w:rsid w:val="001C7DCD"/>
    <w:rsid w:val="001D0DAC"/>
    <w:rsid w:val="001D6C5C"/>
    <w:rsid w:val="001E46F5"/>
    <w:rsid w:val="001E50C1"/>
    <w:rsid w:val="001F1DCE"/>
    <w:rsid w:val="001F27DC"/>
    <w:rsid w:val="001F3190"/>
    <w:rsid w:val="001F686C"/>
    <w:rsid w:val="00203BAB"/>
    <w:rsid w:val="00203C11"/>
    <w:rsid w:val="00207ABC"/>
    <w:rsid w:val="00214421"/>
    <w:rsid w:val="0021468D"/>
    <w:rsid w:val="002162C4"/>
    <w:rsid w:val="00216BF2"/>
    <w:rsid w:val="00222D9F"/>
    <w:rsid w:val="00223E27"/>
    <w:rsid w:val="002275AC"/>
    <w:rsid w:val="00233338"/>
    <w:rsid w:val="00240BF2"/>
    <w:rsid w:val="00242021"/>
    <w:rsid w:val="00244EF5"/>
    <w:rsid w:val="002474FC"/>
    <w:rsid w:val="00250121"/>
    <w:rsid w:val="00254D5C"/>
    <w:rsid w:val="00255851"/>
    <w:rsid w:val="00255A96"/>
    <w:rsid w:val="00257A4D"/>
    <w:rsid w:val="00265779"/>
    <w:rsid w:val="0027182B"/>
    <w:rsid w:val="00272D1C"/>
    <w:rsid w:val="00274F04"/>
    <w:rsid w:val="0027542D"/>
    <w:rsid w:val="00287325"/>
    <w:rsid w:val="002879CA"/>
    <w:rsid w:val="00294BD9"/>
    <w:rsid w:val="002A1F08"/>
    <w:rsid w:val="002A3D81"/>
    <w:rsid w:val="002B0658"/>
    <w:rsid w:val="002B3BEA"/>
    <w:rsid w:val="002B4811"/>
    <w:rsid w:val="002C25DD"/>
    <w:rsid w:val="002C4039"/>
    <w:rsid w:val="002D24E5"/>
    <w:rsid w:val="002E0642"/>
    <w:rsid w:val="002E1A58"/>
    <w:rsid w:val="002E3A07"/>
    <w:rsid w:val="002E5A67"/>
    <w:rsid w:val="002E5C78"/>
    <w:rsid w:val="002E6B62"/>
    <w:rsid w:val="002E7E05"/>
    <w:rsid w:val="002F2746"/>
    <w:rsid w:val="00304786"/>
    <w:rsid w:val="00314FE6"/>
    <w:rsid w:val="00326716"/>
    <w:rsid w:val="00326F61"/>
    <w:rsid w:val="003312EA"/>
    <w:rsid w:val="00340A6E"/>
    <w:rsid w:val="00343F08"/>
    <w:rsid w:val="00345DAB"/>
    <w:rsid w:val="00351879"/>
    <w:rsid w:val="00356CD9"/>
    <w:rsid w:val="003608D3"/>
    <w:rsid w:val="00363633"/>
    <w:rsid w:val="00363C7A"/>
    <w:rsid w:val="00371368"/>
    <w:rsid w:val="00373B86"/>
    <w:rsid w:val="003773EE"/>
    <w:rsid w:val="00384A7B"/>
    <w:rsid w:val="00386259"/>
    <w:rsid w:val="00393BA6"/>
    <w:rsid w:val="0039598B"/>
    <w:rsid w:val="00395AF4"/>
    <w:rsid w:val="00397754"/>
    <w:rsid w:val="003A0316"/>
    <w:rsid w:val="003A4A40"/>
    <w:rsid w:val="003A7642"/>
    <w:rsid w:val="003C57CC"/>
    <w:rsid w:val="003C7D56"/>
    <w:rsid w:val="003D6B37"/>
    <w:rsid w:val="003E3C27"/>
    <w:rsid w:val="003E46C0"/>
    <w:rsid w:val="003F1C1D"/>
    <w:rsid w:val="003F73BE"/>
    <w:rsid w:val="0040340A"/>
    <w:rsid w:val="00406B7F"/>
    <w:rsid w:val="00411DA6"/>
    <w:rsid w:val="004120B4"/>
    <w:rsid w:val="00416C08"/>
    <w:rsid w:val="0043310C"/>
    <w:rsid w:val="0043667A"/>
    <w:rsid w:val="00436A7E"/>
    <w:rsid w:val="00443DCE"/>
    <w:rsid w:val="00444F7B"/>
    <w:rsid w:val="00454729"/>
    <w:rsid w:val="00455C29"/>
    <w:rsid w:val="00461D8F"/>
    <w:rsid w:val="00465AA8"/>
    <w:rsid w:val="00466E57"/>
    <w:rsid w:val="00480734"/>
    <w:rsid w:val="00481CF9"/>
    <w:rsid w:val="00494903"/>
    <w:rsid w:val="0049506D"/>
    <w:rsid w:val="004A29E9"/>
    <w:rsid w:val="004A408F"/>
    <w:rsid w:val="004B6088"/>
    <w:rsid w:val="004C01D3"/>
    <w:rsid w:val="004C1459"/>
    <w:rsid w:val="004C6E03"/>
    <w:rsid w:val="004C7EC4"/>
    <w:rsid w:val="004D0240"/>
    <w:rsid w:val="004D4317"/>
    <w:rsid w:val="004D5A4F"/>
    <w:rsid w:val="004E1C7E"/>
    <w:rsid w:val="004E39C6"/>
    <w:rsid w:val="004E652D"/>
    <w:rsid w:val="004E6FBC"/>
    <w:rsid w:val="004F3F2B"/>
    <w:rsid w:val="00502847"/>
    <w:rsid w:val="00541748"/>
    <w:rsid w:val="00544A41"/>
    <w:rsid w:val="005454A9"/>
    <w:rsid w:val="00547077"/>
    <w:rsid w:val="00573993"/>
    <w:rsid w:val="005762BC"/>
    <w:rsid w:val="00591BCB"/>
    <w:rsid w:val="00592DED"/>
    <w:rsid w:val="00594739"/>
    <w:rsid w:val="00597290"/>
    <w:rsid w:val="005A393A"/>
    <w:rsid w:val="005A39FD"/>
    <w:rsid w:val="005A6C69"/>
    <w:rsid w:val="005B3E3F"/>
    <w:rsid w:val="005C7785"/>
    <w:rsid w:val="005D37CC"/>
    <w:rsid w:val="005D5BD5"/>
    <w:rsid w:val="005D5BEA"/>
    <w:rsid w:val="005D5FCC"/>
    <w:rsid w:val="005D7424"/>
    <w:rsid w:val="005F033E"/>
    <w:rsid w:val="006007D4"/>
    <w:rsid w:val="00602464"/>
    <w:rsid w:val="006031B3"/>
    <w:rsid w:val="00603C4F"/>
    <w:rsid w:val="00605F2E"/>
    <w:rsid w:val="00606343"/>
    <w:rsid w:val="0062437F"/>
    <w:rsid w:val="00627026"/>
    <w:rsid w:val="006321A9"/>
    <w:rsid w:val="00636798"/>
    <w:rsid w:val="00640077"/>
    <w:rsid w:val="006515E1"/>
    <w:rsid w:val="00671520"/>
    <w:rsid w:val="00673F8F"/>
    <w:rsid w:val="00682D92"/>
    <w:rsid w:val="00686461"/>
    <w:rsid w:val="00692477"/>
    <w:rsid w:val="006A2B1F"/>
    <w:rsid w:val="006A4BE0"/>
    <w:rsid w:val="006B40F3"/>
    <w:rsid w:val="006C2F16"/>
    <w:rsid w:val="006C3F6D"/>
    <w:rsid w:val="006D2F82"/>
    <w:rsid w:val="006D61D7"/>
    <w:rsid w:val="006E2687"/>
    <w:rsid w:val="006E7736"/>
    <w:rsid w:val="006E7A14"/>
    <w:rsid w:val="006F13D9"/>
    <w:rsid w:val="006F2B2E"/>
    <w:rsid w:val="006F4C48"/>
    <w:rsid w:val="006F6664"/>
    <w:rsid w:val="00715B05"/>
    <w:rsid w:val="00717515"/>
    <w:rsid w:val="00717F9C"/>
    <w:rsid w:val="00722DFF"/>
    <w:rsid w:val="00731911"/>
    <w:rsid w:val="00734F7A"/>
    <w:rsid w:val="00735A5D"/>
    <w:rsid w:val="0073781F"/>
    <w:rsid w:val="00741F61"/>
    <w:rsid w:val="007632CC"/>
    <w:rsid w:val="00766FA3"/>
    <w:rsid w:val="00771D39"/>
    <w:rsid w:val="0078308E"/>
    <w:rsid w:val="00785AC2"/>
    <w:rsid w:val="007A5D89"/>
    <w:rsid w:val="007B4AD8"/>
    <w:rsid w:val="007C5525"/>
    <w:rsid w:val="007C5EE4"/>
    <w:rsid w:val="007D1613"/>
    <w:rsid w:val="007D1EE3"/>
    <w:rsid w:val="007D3A93"/>
    <w:rsid w:val="007D4306"/>
    <w:rsid w:val="007D4B49"/>
    <w:rsid w:val="007E2782"/>
    <w:rsid w:val="007E39DE"/>
    <w:rsid w:val="007E6B7A"/>
    <w:rsid w:val="007F68D2"/>
    <w:rsid w:val="008058D9"/>
    <w:rsid w:val="00810A73"/>
    <w:rsid w:val="00811A90"/>
    <w:rsid w:val="00813236"/>
    <w:rsid w:val="00815CC1"/>
    <w:rsid w:val="00816303"/>
    <w:rsid w:val="0082103C"/>
    <w:rsid w:val="00826166"/>
    <w:rsid w:val="00831DAA"/>
    <w:rsid w:val="00840DF3"/>
    <w:rsid w:val="008463D7"/>
    <w:rsid w:val="0084685C"/>
    <w:rsid w:val="0084718D"/>
    <w:rsid w:val="00851340"/>
    <w:rsid w:val="00851578"/>
    <w:rsid w:val="00851613"/>
    <w:rsid w:val="00852CAE"/>
    <w:rsid w:val="00861992"/>
    <w:rsid w:val="00862EF9"/>
    <w:rsid w:val="00864117"/>
    <w:rsid w:val="008647A4"/>
    <w:rsid w:val="00873DD3"/>
    <w:rsid w:val="00875329"/>
    <w:rsid w:val="008760F1"/>
    <w:rsid w:val="008844A4"/>
    <w:rsid w:val="00891C12"/>
    <w:rsid w:val="008B5987"/>
    <w:rsid w:val="008C7D3C"/>
    <w:rsid w:val="008D28DC"/>
    <w:rsid w:val="008D5A13"/>
    <w:rsid w:val="008D5FC0"/>
    <w:rsid w:val="008D622F"/>
    <w:rsid w:val="008F3F56"/>
    <w:rsid w:val="008F7F19"/>
    <w:rsid w:val="00901228"/>
    <w:rsid w:val="00905BA9"/>
    <w:rsid w:val="00905C0D"/>
    <w:rsid w:val="00905D05"/>
    <w:rsid w:val="009131B9"/>
    <w:rsid w:val="00917215"/>
    <w:rsid w:val="0092617C"/>
    <w:rsid w:val="00926B71"/>
    <w:rsid w:val="0093001D"/>
    <w:rsid w:val="00933439"/>
    <w:rsid w:val="00941811"/>
    <w:rsid w:val="00942A06"/>
    <w:rsid w:val="009523F1"/>
    <w:rsid w:val="009551FA"/>
    <w:rsid w:val="00955848"/>
    <w:rsid w:val="00961963"/>
    <w:rsid w:val="00961F2D"/>
    <w:rsid w:val="0097132E"/>
    <w:rsid w:val="00972E9A"/>
    <w:rsid w:val="00973A7E"/>
    <w:rsid w:val="009825CD"/>
    <w:rsid w:val="00992DA5"/>
    <w:rsid w:val="009A2543"/>
    <w:rsid w:val="009B1D25"/>
    <w:rsid w:val="009B279C"/>
    <w:rsid w:val="009B4427"/>
    <w:rsid w:val="009B6B23"/>
    <w:rsid w:val="009C0A73"/>
    <w:rsid w:val="009C2EAF"/>
    <w:rsid w:val="009C403A"/>
    <w:rsid w:val="009C5365"/>
    <w:rsid w:val="009D0ABE"/>
    <w:rsid w:val="009D0DA6"/>
    <w:rsid w:val="009D1227"/>
    <w:rsid w:val="009D4828"/>
    <w:rsid w:val="009E1190"/>
    <w:rsid w:val="009E646F"/>
    <w:rsid w:val="009E6A52"/>
    <w:rsid w:val="009F574B"/>
    <w:rsid w:val="009F64EA"/>
    <w:rsid w:val="00A032BE"/>
    <w:rsid w:val="00A04921"/>
    <w:rsid w:val="00A05575"/>
    <w:rsid w:val="00A06F32"/>
    <w:rsid w:val="00A21BD6"/>
    <w:rsid w:val="00A30A47"/>
    <w:rsid w:val="00A333A6"/>
    <w:rsid w:val="00A35240"/>
    <w:rsid w:val="00A408FE"/>
    <w:rsid w:val="00A4656F"/>
    <w:rsid w:val="00A514AD"/>
    <w:rsid w:val="00A739DF"/>
    <w:rsid w:val="00A83E8D"/>
    <w:rsid w:val="00A92A57"/>
    <w:rsid w:val="00A968BD"/>
    <w:rsid w:val="00AA2560"/>
    <w:rsid w:val="00AA3F13"/>
    <w:rsid w:val="00AA7959"/>
    <w:rsid w:val="00AC21B6"/>
    <w:rsid w:val="00AC4428"/>
    <w:rsid w:val="00AC7773"/>
    <w:rsid w:val="00AD2A98"/>
    <w:rsid w:val="00AD58C9"/>
    <w:rsid w:val="00AE23A3"/>
    <w:rsid w:val="00AE439A"/>
    <w:rsid w:val="00AE6268"/>
    <w:rsid w:val="00AE634D"/>
    <w:rsid w:val="00AE6E78"/>
    <w:rsid w:val="00AF23D2"/>
    <w:rsid w:val="00AF702D"/>
    <w:rsid w:val="00B00785"/>
    <w:rsid w:val="00B0733A"/>
    <w:rsid w:val="00B108BB"/>
    <w:rsid w:val="00B10910"/>
    <w:rsid w:val="00B1170F"/>
    <w:rsid w:val="00B356D9"/>
    <w:rsid w:val="00B40840"/>
    <w:rsid w:val="00B477C3"/>
    <w:rsid w:val="00B47A63"/>
    <w:rsid w:val="00B50238"/>
    <w:rsid w:val="00B52AD4"/>
    <w:rsid w:val="00B56E07"/>
    <w:rsid w:val="00B6034C"/>
    <w:rsid w:val="00B641B7"/>
    <w:rsid w:val="00B67438"/>
    <w:rsid w:val="00B7388B"/>
    <w:rsid w:val="00B7398D"/>
    <w:rsid w:val="00B74B09"/>
    <w:rsid w:val="00B75220"/>
    <w:rsid w:val="00B77D82"/>
    <w:rsid w:val="00B92287"/>
    <w:rsid w:val="00B9350C"/>
    <w:rsid w:val="00B9585F"/>
    <w:rsid w:val="00BA2AF9"/>
    <w:rsid w:val="00BA51DC"/>
    <w:rsid w:val="00BA5A6C"/>
    <w:rsid w:val="00BA7188"/>
    <w:rsid w:val="00BB5FD4"/>
    <w:rsid w:val="00BB6742"/>
    <w:rsid w:val="00BC534B"/>
    <w:rsid w:val="00BD705F"/>
    <w:rsid w:val="00BE257A"/>
    <w:rsid w:val="00BE3283"/>
    <w:rsid w:val="00BE4683"/>
    <w:rsid w:val="00BE7A0C"/>
    <w:rsid w:val="00C13870"/>
    <w:rsid w:val="00C174CE"/>
    <w:rsid w:val="00C22AC5"/>
    <w:rsid w:val="00C255B2"/>
    <w:rsid w:val="00C341C6"/>
    <w:rsid w:val="00C35B61"/>
    <w:rsid w:val="00C41001"/>
    <w:rsid w:val="00C410A2"/>
    <w:rsid w:val="00C4466A"/>
    <w:rsid w:val="00C45436"/>
    <w:rsid w:val="00C50D43"/>
    <w:rsid w:val="00C539CE"/>
    <w:rsid w:val="00C54789"/>
    <w:rsid w:val="00C5694C"/>
    <w:rsid w:val="00C6127C"/>
    <w:rsid w:val="00C612AC"/>
    <w:rsid w:val="00C7398C"/>
    <w:rsid w:val="00C74127"/>
    <w:rsid w:val="00C87589"/>
    <w:rsid w:val="00C97203"/>
    <w:rsid w:val="00CA2168"/>
    <w:rsid w:val="00CA3E19"/>
    <w:rsid w:val="00CB5830"/>
    <w:rsid w:val="00CC10E2"/>
    <w:rsid w:val="00CD1564"/>
    <w:rsid w:val="00CD29FA"/>
    <w:rsid w:val="00CD4B25"/>
    <w:rsid w:val="00CE4042"/>
    <w:rsid w:val="00CE54F8"/>
    <w:rsid w:val="00CE5515"/>
    <w:rsid w:val="00CF4E24"/>
    <w:rsid w:val="00CF5AE2"/>
    <w:rsid w:val="00D00137"/>
    <w:rsid w:val="00D013FA"/>
    <w:rsid w:val="00D06F91"/>
    <w:rsid w:val="00D128C0"/>
    <w:rsid w:val="00D21706"/>
    <w:rsid w:val="00D4546F"/>
    <w:rsid w:val="00D55DBE"/>
    <w:rsid w:val="00D66EC9"/>
    <w:rsid w:val="00D7196E"/>
    <w:rsid w:val="00D73791"/>
    <w:rsid w:val="00D7493A"/>
    <w:rsid w:val="00D76D10"/>
    <w:rsid w:val="00D84BF6"/>
    <w:rsid w:val="00D84DB0"/>
    <w:rsid w:val="00D87149"/>
    <w:rsid w:val="00D87F6B"/>
    <w:rsid w:val="00D9262A"/>
    <w:rsid w:val="00D93D8E"/>
    <w:rsid w:val="00DA42EC"/>
    <w:rsid w:val="00DB2FB7"/>
    <w:rsid w:val="00DB5704"/>
    <w:rsid w:val="00DC0D2A"/>
    <w:rsid w:val="00DC7B67"/>
    <w:rsid w:val="00DD2260"/>
    <w:rsid w:val="00DE5079"/>
    <w:rsid w:val="00DF0E34"/>
    <w:rsid w:val="00DF1D55"/>
    <w:rsid w:val="00DF3008"/>
    <w:rsid w:val="00DF5B41"/>
    <w:rsid w:val="00E00D92"/>
    <w:rsid w:val="00E01D68"/>
    <w:rsid w:val="00E177AC"/>
    <w:rsid w:val="00E23039"/>
    <w:rsid w:val="00E24AB9"/>
    <w:rsid w:val="00E3089E"/>
    <w:rsid w:val="00E378AC"/>
    <w:rsid w:val="00E43A91"/>
    <w:rsid w:val="00E5311C"/>
    <w:rsid w:val="00E573BE"/>
    <w:rsid w:val="00E660AB"/>
    <w:rsid w:val="00E73FB1"/>
    <w:rsid w:val="00E75120"/>
    <w:rsid w:val="00E807AB"/>
    <w:rsid w:val="00E8137B"/>
    <w:rsid w:val="00E866A5"/>
    <w:rsid w:val="00E967C3"/>
    <w:rsid w:val="00EA523B"/>
    <w:rsid w:val="00EB1396"/>
    <w:rsid w:val="00EB213A"/>
    <w:rsid w:val="00EB2713"/>
    <w:rsid w:val="00EB5F83"/>
    <w:rsid w:val="00EC1328"/>
    <w:rsid w:val="00EC2BF1"/>
    <w:rsid w:val="00EC4070"/>
    <w:rsid w:val="00EC6C24"/>
    <w:rsid w:val="00ED00D4"/>
    <w:rsid w:val="00ED260D"/>
    <w:rsid w:val="00ED2A2A"/>
    <w:rsid w:val="00EE1470"/>
    <w:rsid w:val="00EE1A70"/>
    <w:rsid w:val="00EE1CA3"/>
    <w:rsid w:val="00EE415B"/>
    <w:rsid w:val="00F00C55"/>
    <w:rsid w:val="00F04B4A"/>
    <w:rsid w:val="00F102C5"/>
    <w:rsid w:val="00F15B64"/>
    <w:rsid w:val="00F15C8E"/>
    <w:rsid w:val="00F25052"/>
    <w:rsid w:val="00F2515E"/>
    <w:rsid w:val="00F377AC"/>
    <w:rsid w:val="00F40D0B"/>
    <w:rsid w:val="00F44D0B"/>
    <w:rsid w:val="00F45C35"/>
    <w:rsid w:val="00F46647"/>
    <w:rsid w:val="00F607C0"/>
    <w:rsid w:val="00F61C9A"/>
    <w:rsid w:val="00F65E29"/>
    <w:rsid w:val="00F740FA"/>
    <w:rsid w:val="00F7502A"/>
    <w:rsid w:val="00F75616"/>
    <w:rsid w:val="00F77AD7"/>
    <w:rsid w:val="00F852B9"/>
    <w:rsid w:val="00F8597C"/>
    <w:rsid w:val="00F85B5C"/>
    <w:rsid w:val="00F947FB"/>
    <w:rsid w:val="00F94AA2"/>
    <w:rsid w:val="00FA07FE"/>
    <w:rsid w:val="00FA4871"/>
    <w:rsid w:val="00FB6628"/>
    <w:rsid w:val="00FB6924"/>
    <w:rsid w:val="00FB7AEC"/>
    <w:rsid w:val="00FC01C3"/>
    <w:rsid w:val="00FC3254"/>
    <w:rsid w:val="00FC369E"/>
    <w:rsid w:val="00FC37CD"/>
    <w:rsid w:val="00FC5037"/>
    <w:rsid w:val="00FC5A7E"/>
    <w:rsid w:val="00FC653E"/>
    <w:rsid w:val="00FD3156"/>
    <w:rsid w:val="00FD3DAF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paragraph" w:styleId="Revision">
    <w:name w:val="Revision"/>
    <w:hidden/>
    <w:uiPriority w:val="99"/>
    <w:semiHidden/>
    <w:rsid w:val="009B6B23"/>
    <w:rPr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9D0A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EC1ED-FFD2-4934-8134-EB0C76B67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2445</Characters>
  <Application>Microsoft Office Word</Application>
  <DocSecurity>0</DocSecurity>
  <Lines>61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ECE/TRANS/WP.29/GRSG/2019/34</vt:lpstr>
      <vt:lpstr>ECE/TRANS/WP.29/GRSG/2019/34</vt:lpstr>
      <vt:lpstr>ECE/TRANS/WP.29/GRSG/2019/34</vt:lpstr>
    </vt:vector>
  </TitlesOfParts>
  <Company>MIT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ECE/TRANS/WP.29/GRSG/2022/5</dc:title>
  <dc:subject>2200369</dc:subject>
  <dc:creator>MIT</dc:creator>
  <cp:keywords/>
  <dc:description/>
  <cp:lastModifiedBy>Cristina BRIGOLI</cp:lastModifiedBy>
  <cp:revision>2</cp:revision>
  <cp:lastPrinted>2019-07-19T11:29:00Z</cp:lastPrinted>
  <dcterms:created xsi:type="dcterms:W3CDTF">2022-01-13T11:27:00Z</dcterms:created>
  <dcterms:modified xsi:type="dcterms:W3CDTF">2022-01-13T11:27:00Z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