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D108D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42996F" w14:textId="77777777" w:rsidR="002D5AAC" w:rsidRDefault="002D5AAC" w:rsidP="004C5F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0511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7049EF" w14:textId="10C05B54" w:rsidR="002D5AAC" w:rsidRDefault="004C5F88" w:rsidP="004C5F88">
            <w:pPr>
              <w:jc w:val="right"/>
            </w:pPr>
            <w:r w:rsidRPr="004C5F88">
              <w:rPr>
                <w:sz w:val="40"/>
              </w:rPr>
              <w:t>ECE</w:t>
            </w:r>
            <w:r>
              <w:t>/TRANS/WP.29/GRSG/2022/2</w:t>
            </w:r>
          </w:p>
        </w:tc>
      </w:tr>
      <w:tr w:rsidR="002D5AAC" w14:paraId="539FC36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4D78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87148B" wp14:editId="522BEF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11B04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6E5E00" w14:textId="77777777" w:rsidR="002D5AAC" w:rsidRDefault="004C5F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9DC4D0" w14:textId="77777777" w:rsidR="004C5F88" w:rsidRDefault="004C5F88" w:rsidP="004C5F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January 2022</w:t>
            </w:r>
          </w:p>
          <w:p w14:paraId="282CAA13" w14:textId="77777777" w:rsidR="004C5F88" w:rsidRDefault="004C5F88" w:rsidP="004C5F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A4AD7A" w14:textId="1C474C71" w:rsidR="004C5F88" w:rsidRPr="008D53B6" w:rsidRDefault="004C5F88" w:rsidP="004C5F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1885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25086F" w14:textId="77777777" w:rsidR="00D82567" w:rsidRPr="00D82567" w:rsidRDefault="00D82567" w:rsidP="00D8256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82567">
        <w:rPr>
          <w:sz w:val="28"/>
          <w:szCs w:val="28"/>
        </w:rPr>
        <w:t>Комитет по внутреннему транспорту</w:t>
      </w:r>
    </w:p>
    <w:p w14:paraId="40C170FA" w14:textId="4E30B80E" w:rsidR="00D82567" w:rsidRPr="00D82567" w:rsidRDefault="00D82567" w:rsidP="00D8256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8256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82567">
        <w:rPr>
          <w:b/>
          <w:bCs/>
          <w:sz w:val="24"/>
          <w:szCs w:val="24"/>
        </w:rPr>
        <w:t>в области транспортных средств</w:t>
      </w:r>
    </w:p>
    <w:p w14:paraId="5817FAF7" w14:textId="3E11D8A3" w:rsidR="00D82567" w:rsidRPr="002C4A11" w:rsidRDefault="00D82567" w:rsidP="00D82567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B03AEE6" w14:textId="77777777" w:rsidR="00D82567" w:rsidRPr="002C4A11" w:rsidRDefault="00D82567" w:rsidP="00D82567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третья сессия</w:t>
      </w:r>
    </w:p>
    <w:p w14:paraId="475966E0" w14:textId="10C68BF3" w:rsidR="00D82567" w:rsidRPr="002C4A11" w:rsidRDefault="00D82567" w:rsidP="00D82567">
      <w:pPr>
        <w:rPr>
          <w:rFonts w:asciiTheme="majorBidi" w:hAnsiTheme="majorBidi" w:cstheme="majorBidi"/>
        </w:rPr>
      </w:pPr>
      <w:r>
        <w:t xml:space="preserve">Женева, 28 марта </w:t>
      </w:r>
      <w:r>
        <w:rPr>
          <w:rFonts w:cs="Times New Roman"/>
        </w:rPr>
        <w:t>⸺</w:t>
      </w:r>
      <w:r>
        <w:t xml:space="preserve"> 1 апреля 2022 года</w:t>
      </w:r>
    </w:p>
    <w:p w14:paraId="4BCC777E" w14:textId="77777777" w:rsidR="00D82567" w:rsidRPr="002C4A11" w:rsidRDefault="00D82567" w:rsidP="00D82567">
      <w:pPr>
        <w:rPr>
          <w:rFonts w:asciiTheme="majorBidi" w:hAnsiTheme="majorBidi" w:cstheme="majorBidi"/>
        </w:rPr>
      </w:pPr>
      <w:r>
        <w:t>Пункт 2 b) предварительной повестки дня</w:t>
      </w:r>
    </w:p>
    <w:p w14:paraId="6992D092" w14:textId="7566C5A7" w:rsidR="00D82567" w:rsidRPr="002C4A11" w:rsidRDefault="00D82567" w:rsidP="00D82567">
      <w:r>
        <w:rPr>
          <w:b/>
          <w:bCs/>
        </w:rPr>
        <w:t xml:space="preserve">Поправки к правилам, касающимся городских </w:t>
      </w:r>
      <w:r>
        <w:rPr>
          <w:b/>
          <w:bCs/>
        </w:rPr>
        <w:br/>
      </w:r>
      <w:r>
        <w:rPr>
          <w:b/>
          <w:bCs/>
        </w:rPr>
        <w:t>и междугородных автобусов:</w:t>
      </w:r>
      <w:r w:rsidRPr="00D82567">
        <w:rPr>
          <w:b/>
          <w:bCs/>
        </w:rPr>
        <w:t xml:space="preserve"> </w:t>
      </w:r>
      <w:r>
        <w:rPr>
          <w:b/>
          <w:bCs/>
        </w:rPr>
        <w:t xml:space="preserve">Правила № 118 ООН </w:t>
      </w:r>
      <w:r>
        <w:rPr>
          <w:b/>
          <w:bCs/>
        </w:rPr>
        <w:br/>
      </w:r>
      <w:r>
        <w:rPr>
          <w:b/>
          <w:bCs/>
        </w:rPr>
        <w:t>(характеристики горения материалов)</w:t>
      </w:r>
    </w:p>
    <w:p w14:paraId="40585D29" w14:textId="2440A08E" w:rsidR="00D82567" w:rsidRPr="002C4A11" w:rsidRDefault="00D82567" w:rsidP="00D82567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118 ООН (характеристики горения материалов)</w:t>
      </w:r>
    </w:p>
    <w:p w14:paraId="18FACBDB" w14:textId="77777777" w:rsidR="00D82567" w:rsidRPr="002C4A11" w:rsidRDefault="00D82567" w:rsidP="00D82567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D82567">
        <w:rPr>
          <w:b w:val="0"/>
          <w:sz w:val="20"/>
        </w:rPr>
        <w:footnoteReference w:customMarkFollows="1" w:id="1"/>
        <w:t xml:space="preserve">* </w:t>
      </w:r>
    </w:p>
    <w:p w14:paraId="686B61DB" w14:textId="77777777" w:rsidR="00D82567" w:rsidRPr="002C4A11" w:rsidRDefault="00D82567" w:rsidP="00D82567">
      <w:pPr>
        <w:pStyle w:val="SingleTxtG"/>
        <w:ind w:firstLine="425"/>
        <w:rPr>
          <w:rFonts w:asciiTheme="majorBidi" w:hAnsiTheme="majorBidi" w:cstheme="majorBidi"/>
        </w:rPr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 для внесения поправок в Правила № 118 ООН с целью расширить область применения Правил за счет транспортных средств категории М</w:t>
      </w:r>
      <w:r>
        <w:rPr>
          <w:vertAlign w:val="subscript"/>
        </w:rPr>
        <w:t>3</w:t>
      </w:r>
      <w:r>
        <w:t xml:space="preserve">, класс III по просьбе изготовителя. В его основу положен неофициальный документ GRSG-122-40, распространенный в ходе сто двадцать второй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 </w:t>
      </w:r>
    </w:p>
    <w:p w14:paraId="61576A28" w14:textId="71907AE3" w:rsidR="00D82567" w:rsidRDefault="00D82567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7A95EB77" w14:textId="5419156A" w:rsidR="00D82567" w:rsidRPr="002C4A11" w:rsidRDefault="00D82567" w:rsidP="00D82567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4773D6C" w14:textId="77777777" w:rsidR="00D82567" w:rsidRPr="002C4A11" w:rsidRDefault="00D82567" w:rsidP="00D82567">
      <w:pPr>
        <w:spacing w:after="120"/>
        <w:ind w:left="1134" w:right="1134"/>
        <w:jc w:val="both"/>
      </w:pPr>
      <w:r>
        <w:rPr>
          <w:i/>
          <w:iCs/>
        </w:rPr>
        <w:t>Включить новый пункт 1.1.1</w:t>
      </w:r>
      <w:r>
        <w:t xml:space="preserve"> следующего содержания:</w:t>
      </w:r>
    </w:p>
    <w:p w14:paraId="4D7C488D" w14:textId="3E738579" w:rsidR="00D82567" w:rsidRPr="003E4C5D" w:rsidRDefault="00D82567" w:rsidP="00D82567">
      <w:pPr>
        <w:spacing w:after="120"/>
        <w:ind w:left="2268" w:right="1134" w:hanging="1134"/>
        <w:jc w:val="both"/>
      </w:pPr>
      <w:r>
        <w:t>«</w:t>
      </w:r>
      <w:r>
        <w:rPr>
          <w:b/>
          <w:bCs/>
        </w:rPr>
        <w:t>1.1.1</w:t>
      </w:r>
      <w:r>
        <w:t xml:space="preserve"> </w:t>
      </w:r>
      <w:r>
        <w:tab/>
      </w:r>
      <w:r>
        <w:rPr>
          <w:b/>
          <w:bCs/>
        </w:rPr>
        <w:t>По просьбе изготовителя настоящие Правила ООН могут применяться также к транспортным средствам категорий</w:t>
      </w:r>
      <w:r>
        <w:rPr>
          <w:b/>
          <w:bCs/>
          <w:lang w:val="en-US"/>
        </w:rPr>
        <w:t> </w:t>
      </w:r>
      <w:r>
        <w:rPr>
          <w:b/>
          <w:bCs/>
        </w:rPr>
        <w:t>М</w:t>
      </w:r>
      <w:r>
        <w:rPr>
          <w:b/>
          <w:bCs/>
          <w:vertAlign w:val="subscript"/>
        </w:rPr>
        <w:t>3</w:t>
      </w:r>
      <w:r>
        <w:rPr>
          <w:b/>
          <w:bCs/>
        </w:rPr>
        <w:t>,</w:t>
      </w:r>
      <w:r w:rsidR="009E10F1">
        <w:rPr>
          <w:b/>
          <w:bCs/>
        </w:rPr>
        <w:t xml:space="preserve"> </w:t>
      </w:r>
      <w:r>
        <w:rPr>
          <w:b/>
          <w:bCs/>
        </w:rPr>
        <w:t>класс</w:t>
      </w:r>
      <w:r>
        <w:rPr>
          <w:b/>
          <w:bCs/>
          <w:lang w:val="en-US"/>
        </w:rPr>
        <w:t> </w:t>
      </w:r>
      <w:r>
        <w:rPr>
          <w:b/>
          <w:bCs/>
        </w:rPr>
        <w:t>I</w:t>
      </w:r>
      <w:r w:rsidRPr="003E4C5D">
        <w:t>».</w:t>
      </w:r>
    </w:p>
    <w:p w14:paraId="33F82DC7" w14:textId="77777777" w:rsidR="00D82567" w:rsidRPr="002C4A11" w:rsidRDefault="00D82567" w:rsidP="00D82567">
      <w:pPr>
        <w:spacing w:before="120" w:after="240"/>
        <w:ind w:left="2126" w:right="1134" w:hanging="992"/>
        <w:rPr>
          <w:i/>
        </w:rPr>
      </w:pPr>
      <w:r>
        <w:rPr>
          <w:i/>
          <w:iCs/>
        </w:rPr>
        <w:t>Часть II, включить новый пункт 6.1.9</w:t>
      </w:r>
      <w:r>
        <w:t xml:space="preserve"> следующего содержания: </w:t>
      </w:r>
    </w:p>
    <w:p w14:paraId="5300FBFD" w14:textId="007808F2" w:rsidR="00D82567" w:rsidRPr="00D82567" w:rsidRDefault="00D82567" w:rsidP="00D82567">
      <w:pPr>
        <w:pStyle w:val="SingleTxtG"/>
        <w:ind w:left="2268" w:hanging="1134"/>
      </w:pPr>
      <w:r>
        <w:t>«</w:t>
      </w:r>
      <w:r>
        <w:rPr>
          <w:b/>
          <w:bCs/>
        </w:rPr>
        <w:t>6.1.9</w:t>
      </w:r>
      <w:r>
        <w:t xml:space="preserve"> </w:t>
      </w:r>
      <w:r>
        <w:tab/>
      </w:r>
      <w:r>
        <w:tab/>
      </w:r>
      <w:r w:rsidRPr="00BD301B">
        <w:rPr>
          <w:b/>
          <w:bCs/>
        </w:rPr>
        <w:t>“</w:t>
      </w:r>
      <w:r w:rsidRPr="00BD301B">
        <w:rPr>
          <w:b/>
          <w:bCs/>
          <w:i/>
          <w:iCs/>
        </w:rPr>
        <w:t>Пластиковое стекло</w:t>
      </w:r>
      <w:r w:rsidRPr="00BD301B">
        <w:rPr>
          <w:b/>
          <w:bCs/>
        </w:rPr>
        <w:t xml:space="preserve">” — это </w:t>
      </w:r>
      <w:proofErr w:type="spellStart"/>
      <w:r w:rsidRPr="00BD301B">
        <w:rPr>
          <w:b/>
          <w:bCs/>
        </w:rPr>
        <w:t>стекловой</w:t>
      </w:r>
      <w:proofErr w:type="spellEnd"/>
      <w:r w:rsidRPr="00BD301B">
        <w:rPr>
          <w:b/>
          <w:bCs/>
        </w:rPr>
        <w:t xml:space="preserve"> материал, который содержит в качестве одного из основных компонентов одно или несколько полимерных органических веществ с большой молекулярной массой, является в готовом состоянии твердым и на том или ином этапе изготовления либо преобразования в готовые изделия может формоваться методом литья</w:t>
      </w:r>
      <w:r w:rsidRPr="00D82567">
        <w:t>».</w:t>
      </w:r>
    </w:p>
    <w:p w14:paraId="67D00ACD" w14:textId="77777777" w:rsidR="00D82567" w:rsidRPr="002C4A11" w:rsidRDefault="00D82567" w:rsidP="00D82567">
      <w:pPr>
        <w:spacing w:before="120" w:after="240"/>
        <w:ind w:left="2126" w:right="1134" w:hanging="992"/>
        <w:rPr>
          <w:i/>
          <w:iCs/>
        </w:rPr>
      </w:pPr>
      <w:r>
        <w:rPr>
          <w:i/>
          <w:iCs/>
        </w:rPr>
        <w:t>Часть II, пункт 6.2.7.1</w:t>
      </w:r>
      <w:r>
        <w:t xml:space="preserve"> изменить следующим образом:</w:t>
      </w:r>
    </w:p>
    <w:p w14:paraId="333B37E9" w14:textId="19E8C00A" w:rsidR="00D82567" w:rsidRPr="002C4A11" w:rsidRDefault="00D82567" w:rsidP="00D82567">
      <w:pPr>
        <w:pStyle w:val="SingleTxtG"/>
        <w:ind w:left="2268" w:hanging="1134"/>
        <w:rPr>
          <w:b/>
          <w:bCs/>
          <w:i/>
          <w:iCs/>
        </w:rPr>
      </w:pPr>
      <w:r>
        <w:t>«</w:t>
      </w:r>
      <w:r>
        <w:t xml:space="preserve">6.2.7.1 </w:t>
      </w:r>
      <w:r>
        <w:tab/>
        <w:t xml:space="preserve">элементам, изготовленным из металла или стекла; </w:t>
      </w:r>
      <w:r w:rsidRPr="007A5F3E">
        <w:rPr>
          <w:b/>
          <w:bCs/>
        </w:rPr>
        <w:t>на элементы, изготовленные из пластикового стекла, данное изъятие не распространяется</w:t>
      </w:r>
      <w:r>
        <w:rPr>
          <w:b/>
          <w:bCs/>
        </w:rPr>
        <w:t>;</w:t>
      </w:r>
      <w:r>
        <w:t>».</w:t>
      </w:r>
    </w:p>
    <w:p w14:paraId="01DCAC88" w14:textId="77777777" w:rsidR="00D82567" w:rsidRPr="006F4C48" w:rsidRDefault="00D82567" w:rsidP="00D82567">
      <w:pPr>
        <w:pStyle w:val="HChG"/>
        <w:rPr>
          <w:b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9D38A71" w14:textId="09982D8C" w:rsidR="00D82567" w:rsidRPr="00C07288" w:rsidRDefault="00D82567" w:rsidP="00D82567">
      <w:pPr>
        <w:pStyle w:val="SingleTxtG"/>
      </w:pPr>
      <w:r w:rsidRPr="008B6155">
        <w:t>1.</w:t>
      </w:r>
      <w:r w:rsidRPr="008B6155">
        <w:tab/>
      </w:r>
      <w:r>
        <w:t xml:space="preserve">Приведенные ниже обоснования дословно перенесены из документов </w:t>
      </w:r>
      <w:r>
        <w:br/>
      </w:r>
      <w:r>
        <w:t>GRSG-121-04 и ECE/TRAN/WP.29/GRSG/2021/3, принятых GRSG на ее сто двадцать первой сессии в апреле 2021 года. В последнем внесены изменения в поправки серий</w:t>
      </w:r>
      <w:r>
        <w:t> </w:t>
      </w:r>
      <w:r>
        <w:t>02 и 03 к Правилам № 118 ООН; GRSG не стала вносить соответствующие изменения в серию 04, поскольку она еще не была принята Всемирным форумом.</w:t>
      </w:r>
    </w:p>
    <w:p w14:paraId="35DEACB7" w14:textId="23B35F54" w:rsidR="00D82567" w:rsidRPr="004174DE" w:rsidRDefault="00D82567" w:rsidP="00CF5AA2">
      <w:pPr>
        <w:pStyle w:val="SingleTxtG"/>
      </w:pPr>
      <w:r>
        <w:t>2.</w:t>
      </w:r>
      <w:r>
        <w:tab/>
        <w:t>Область применения</w:t>
      </w:r>
      <w:r w:rsidR="00CF5AA2">
        <w:t xml:space="preserve">: </w:t>
      </w:r>
      <w:r>
        <w:t>Согласно документу ECE/TRANS/WP.29/1044/Rev.3 (Общие руководящие принципы, касающиеся регламентирующих процедур Организации Объединенных Наций и переходных положений в Правилах ООН) в области применения тех или иных правил указывают категории транспортных средств, в отношении которых могут выдаваться официальные утверждения типа ООН на основании данных правил ООН.</w:t>
      </w:r>
    </w:p>
    <w:p w14:paraId="7938B69D" w14:textId="3D718267" w:rsidR="00D82567" w:rsidRPr="002C4A11" w:rsidRDefault="00D82567" w:rsidP="00FE0C9F">
      <w:pPr>
        <w:pStyle w:val="SingleTxtG"/>
        <w:ind w:left="1170" w:hanging="36"/>
      </w:pPr>
      <w:r>
        <w:t>3.</w:t>
      </w:r>
      <w:r>
        <w:tab/>
        <w:t>Обеспечение возможност</w:t>
      </w:r>
      <w:r w:rsidR="00FE0C9F">
        <w:t>и</w:t>
      </w:r>
      <w:r>
        <w:t xml:space="preserve"> предоставления официальных утверждений типа в отношении транспортных средств категории M</w:t>
      </w:r>
      <w:r>
        <w:rPr>
          <w:vertAlign w:val="subscript"/>
        </w:rPr>
        <w:t>3</w:t>
      </w:r>
      <w:r>
        <w:t>, класс I (которые пока не входят в область применения Правил № 118 ООН)</w:t>
      </w:r>
      <w:r w:rsidR="00FE0C9F">
        <w:t xml:space="preserve">. </w:t>
      </w:r>
      <w:r>
        <w:t>Настоящее предложение направлено на то, чтобы разрешить на добровольной основе применять данные Правила ООН к транспортным средствам категории</w:t>
      </w:r>
      <w:r>
        <w:t xml:space="preserve"> </w:t>
      </w:r>
      <w:r>
        <w:t>М</w:t>
      </w:r>
      <w:r>
        <w:rPr>
          <w:vertAlign w:val="subscript"/>
        </w:rPr>
        <w:t>3</w:t>
      </w:r>
      <w:r>
        <w:t>,</w:t>
      </w:r>
      <w:r>
        <w:t xml:space="preserve"> </w:t>
      </w:r>
      <w:r>
        <w:t xml:space="preserve">класс I. </w:t>
      </w:r>
    </w:p>
    <w:p w14:paraId="0FC295CE" w14:textId="77777777" w:rsidR="00D82567" w:rsidRPr="002C4A11" w:rsidRDefault="00D82567" w:rsidP="00D82567">
      <w:pPr>
        <w:pStyle w:val="SingleTxtG"/>
      </w:pPr>
      <w:r>
        <w:t>4.</w:t>
      </w:r>
      <w:r>
        <w:tab/>
        <w:t>Настоящее предложение позволит заметно улучшить пожарную безопасность автобусов класса I (используемых в пригородном сообщении). Такой подход был разработан и применен в других правилах ООН, касающихся транспортных средств категории М</w:t>
      </w:r>
      <w:r>
        <w:rPr>
          <w:vertAlign w:val="subscript"/>
        </w:rPr>
        <w:t>3</w:t>
      </w:r>
      <w:r>
        <w:t>. Так, в поправках серии 07 к Правилам № 107 ООН были введены положения, касающиеся системы пожаротушения для класса I (такой же, как и для классов II и III). Таким образом, процесс обеспечения соответствия производства позволит существенно повысить пожарную безопасность как на уровне транспортных средств, так и на уровне отдельных элементов.</w:t>
      </w:r>
    </w:p>
    <w:p w14:paraId="36F9C18D" w14:textId="46A490F8" w:rsidR="00D82567" w:rsidRPr="004174DE" w:rsidRDefault="00D82567" w:rsidP="00D82567">
      <w:pPr>
        <w:pStyle w:val="SingleTxtG"/>
      </w:pPr>
      <w:r>
        <w:t>5.</w:t>
      </w:r>
      <w:r>
        <w:tab/>
        <w:t>Этот принцип, позволяющий изготовителю по запросу получать официальное утверждение, уже применяется в других правилах ООН, касающихся автобусов, например в Правилах № 66 ООН.</w:t>
      </w:r>
    </w:p>
    <w:p w14:paraId="2682FD2A" w14:textId="77777777" w:rsidR="00D82567" w:rsidRPr="002C4A11" w:rsidRDefault="00D82567" w:rsidP="00D82567">
      <w:pPr>
        <w:pStyle w:val="SingleTxtG"/>
      </w:pPr>
      <w:r>
        <w:t>6.</w:t>
      </w:r>
      <w:r>
        <w:tab/>
        <w:t xml:space="preserve">Было отмечено, что наличие у транспортных средств класса I свидетельства об официальном утверждении типа на основании Правил № 118 ООН часто рассматривается в качестве критерия при проведении торгов на закупку городских автобусов, что может свидетельствовать в пользу того, что в отношении данного класса транспортных средств уже выдаются официальные утверждения. Настоящее </w:t>
      </w:r>
      <w:r>
        <w:lastRenderedPageBreak/>
        <w:t>предложение позволит избежать разницы в толкованиях органами по официальному утверждению типа, и, следовательно, обеспечить равные условия для изготовителей транспортных средств в плане направления соответствующих запросов, особенно при проведении торгов.</w:t>
      </w:r>
    </w:p>
    <w:p w14:paraId="0A36FDEA" w14:textId="77777777" w:rsidR="00D82567" w:rsidRPr="002C4A11" w:rsidRDefault="00D82567" w:rsidP="00D82567">
      <w:pPr>
        <w:pStyle w:val="SingleTxtG"/>
      </w:pPr>
      <w:r>
        <w:t>7.</w:t>
      </w:r>
      <w:r>
        <w:tab/>
        <w:t>Предлагаемое изменение не повлечет за собой необходимости в каких-либо технических изменениях для изготовителей, не заинтересованных в сертификации транспортных средств класса I.</w:t>
      </w:r>
    </w:p>
    <w:p w14:paraId="76B4BB1E" w14:textId="4527CC9E" w:rsidR="00D82567" w:rsidRPr="002C4A11" w:rsidRDefault="00D82567" w:rsidP="00E173AC">
      <w:pPr>
        <w:pStyle w:val="SingleTxtG"/>
      </w:pPr>
      <w:r>
        <w:t>8.</w:t>
      </w:r>
      <w:r>
        <w:tab/>
        <w:t>Часть II</w:t>
      </w:r>
      <w:r w:rsidR="00E173AC">
        <w:t xml:space="preserve">: </w:t>
      </w:r>
      <w:r>
        <w:t>Основанием для изъятия в отношении элементов, изготовленных из металла или стекла, является то, что эти материалы не претерпевают изменения в ходе испытаний, предусмотренных приложениями 6−8 к Правилам № 118 ООН:</w:t>
      </w:r>
    </w:p>
    <w:p w14:paraId="0E7B5E5F" w14:textId="77777777" w:rsidR="00D82567" w:rsidRPr="004174DE" w:rsidRDefault="00D82567" w:rsidP="00D82567">
      <w:pPr>
        <w:pStyle w:val="SingleTxtG"/>
        <w:ind w:firstLine="567"/>
      </w:pPr>
      <w:r>
        <w:t>a)</w:t>
      </w:r>
      <w:r>
        <w:tab/>
        <w:t>приложение 6: испытание для определения скорости горения материалов в горизонтальной плоскости;</w:t>
      </w:r>
    </w:p>
    <w:p w14:paraId="2DE0085A" w14:textId="77777777" w:rsidR="00D82567" w:rsidRPr="004174DE" w:rsidRDefault="00D82567" w:rsidP="00D82567">
      <w:pPr>
        <w:pStyle w:val="SingleTxtG"/>
        <w:ind w:firstLine="567"/>
      </w:pPr>
      <w:r>
        <w:t>b)</w:t>
      </w:r>
      <w:r>
        <w:tab/>
        <w:t>приложение 7: испытание для определения характеристик плавления материалов;</w:t>
      </w:r>
    </w:p>
    <w:p w14:paraId="06AD3420" w14:textId="77777777" w:rsidR="00D82567" w:rsidRPr="002C4A11" w:rsidRDefault="00D82567" w:rsidP="00D82567">
      <w:pPr>
        <w:pStyle w:val="SingleTxtG"/>
        <w:ind w:firstLine="567"/>
      </w:pPr>
      <w:r>
        <w:t>c)</w:t>
      </w:r>
      <w:r>
        <w:tab/>
        <w:t>приложение 8: испытание для определения скорости горения материалов в вертикальной плоскости.</w:t>
      </w:r>
    </w:p>
    <w:p w14:paraId="3DB5516B" w14:textId="77777777" w:rsidR="00D82567" w:rsidRPr="002C4A11" w:rsidRDefault="00D82567" w:rsidP="00D82567">
      <w:pPr>
        <w:pStyle w:val="SingleTxtG"/>
      </w:pPr>
      <w:r>
        <w:t>9.</w:t>
      </w:r>
      <w:r>
        <w:tab/>
        <w:t>Такая особенность (огнестойкость) не присуща пластиковым материалам, используемым для изготовления многих элементов, устанавливаемых внутри транспортных средств. Соответственно, на элементы, изготовленные из пластикового стекла, не должно распространяться изъятие, предусмотренное в пункте 6.2.8, и, следовательно, такие материалы подлежат испытанию.</w:t>
      </w:r>
    </w:p>
    <w:p w14:paraId="70014CA3" w14:textId="77777777" w:rsidR="00D82567" w:rsidRPr="002C4A11" w:rsidRDefault="00D82567" w:rsidP="00D82567">
      <w:pPr>
        <w:pStyle w:val="SingleTxtG"/>
      </w:pPr>
      <w:r>
        <w:t>10.</w:t>
      </w:r>
      <w:r>
        <w:tab/>
        <w:t>Предлагается — во избежание неверного толкования, способного привести к изъятиям и созданию тем самым риска в плане обеспечения безопасности, — включить данное уточнение в Правила № 118 ООН.</w:t>
      </w:r>
    </w:p>
    <w:p w14:paraId="7CE5F017" w14:textId="77777777" w:rsidR="00D82567" w:rsidRPr="004174DE" w:rsidRDefault="00D82567" w:rsidP="00D82567">
      <w:pPr>
        <w:pStyle w:val="SingleTxtG"/>
      </w:pPr>
      <w:r>
        <w:t>11.</w:t>
      </w:r>
      <w:r>
        <w:tab/>
        <w:t>Кроме того, в часть II Правил №118 ООН предлагается включить определение пластикового стекла, содержащееся в Правилах № 43 ООН, с тем чтобы четко определить материалы, на которые не распространяются положения пункта 6.2.8.</w:t>
      </w:r>
    </w:p>
    <w:p w14:paraId="1C388B55" w14:textId="77777777" w:rsidR="00D82567" w:rsidRPr="004174DE" w:rsidRDefault="00D82567" w:rsidP="00D82567">
      <w:pPr>
        <w:spacing w:before="240"/>
        <w:jc w:val="center"/>
        <w:rPr>
          <w:u w:val="single"/>
        </w:rPr>
      </w:pPr>
      <w:r w:rsidRPr="004174DE">
        <w:rPr>
          <w:u w:val="single"/>
        </w:rPr>
        <w:tab/>
      </w:r>
      <w:r w:rsidRPr="004174DE">
        <w:rPr>
          <w:u w:val="single"/>
        </w:rPr>
        <w:tab/>
      </w:r>
      <w:r w:rsidRPr="004174DE">
        <w:rPr>
          <w:u w:val="single"/>
        </w:rPr>
        <w:tab/>
      </w:r>
    </w:p>
    <w:p w14:paraId="3353447B" w14:textId="77777777" w:rsidR="00E12C5F" w:rsidRPr="008D53B6" w:rsidRDefault="00E12C5F" w:rsidP="00D9145B"/>
    <w:sectPr w:rsidR="00E12C5F" w:rsidRPr="008D53B6" w:rsidSect="004C5F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77E2" w14:textId="77777777" w:rsidR="0007633E" w:rsidRPr="00A312BC" w:rsidRDefault="0007633E" w:rsidP="00A312BC"/>
  </w:endnote>
  <w:endnote w:type="continuationSeparator" w:id="0">
    <w:p w14:paraId="10C2FE79" w14:textId="77777777" w:rsidR="0007633E" w:rsidRPr="00A312BC" w:rsidRDefault="000763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576F" w14:textId="7CD7B987" w:rsidR="004C5F88" w:rsidRPr="004C5F88" w:rsidRDefault="004C5F88">
    <w:pPr>
      <w:pStyle w:val="a8"/>
    </w:pPr>
    <w:r w:rsidRPr="004C5F88">
      <w:rPr>
        <w:b/>
        <w:sz w:val="18"/>
      </w:rPr>
      <w:fldChar w:fldCharType="begin"/>
    </w:r>
    <w:r w:rsidRPr="004C5F88">
      <w:rPr>
        <w:b/>
        <w:sz w:val="18"/>
      </w:rPr>
      <w:instrText xml:space="preserve"> PAGE  \* MERGEFORMAT </w:instrText>
    </w:r>
    <w:r w:rsidRPr="004C5F88">
      <w:rPr>
        <w:b/>
        <w:sz w:val="18"/>
      </w:rPr>
      <w:fldChar w:fldCharType="separate"/>
    </w:r>
    <w:r w:rsidRPr="004C5F88">
      <w:rPr>
        <w:b/>
        <w:noProof/>
        <w:sz w:val="18"/>
      </w:rPr>
      <w:t>2</w:t>
    </w:r>
    <w:r w:rsidRPr="004C5F88">
      <w:rPr>
        <w:b/>
        <w:sz w:val="18"/>
      </w:rPr>
      <w:fldChar w:fldCharType="end"/>
    </w:r>
    <w:r>
      <w:rPr>
        <w:b/>
        <w:sz w:val="18"/>
      </w:rPr>
      <w:tab/>
    </w:r>
    <w:r>
      <w:t>GE.22-00335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D582" w14:textId="6C5D56A7" w:rsidR="004C5F88" w:rsidRPr="004C5F88" w:rsidRDefault="004C5F88" w:rsidP="004C5F88">
    <w:pPr>
      <w:pStyle w:val="a8"/>
      <w:tabs>
        <w:tab w:val="clear" w:pos="9639"/>
        <w:tab w:val="right" w:pos="9638"/>
      </w:tabs>
      <w:rPr>
        <w:b/>
        <w:sz w:val="18"/>
      </w:rPr>
    </w:pPr>
    <w:r>
      <w:t>GE.22-00335</w:t>
    </w:r>
    <w:r>
      <w:tab/>
    </w:r>
    <w:r w:rsidRPr="004C5F88">
      <w:rPr>
        <w:b/>
        <w:sz w:val="18"/>
      </w:rPr>
      <w:fldChar w:fldCharType="begin"/>
    </w:r>
    <w:r w:rsidRPr="004C5F88">
      <w:rPr>
        <w:b/>
        <w:sz w:val="18"/>
      </w:rPr>
      <w:instrText xml:space="preserve"> PAGE  \* MERGEFORMAT </w:instrText>
    </w:r>
    <w:r w:rsidRPr="004C5F88">
      <w:rPr>
        <w:b/>
        <w:sz w:val="18"/>
      </w:rPr>
      <w:fldChar w:fldCharType="separate"/>
    </w:r>
    <w:r w:rsidRPr="004C5F88">
      <w:rPr>
        <w:b/>
        <w:noProof/>
        <w:sz w:val="18"/>
      </w:rPr>
      <w:t>3</w:t>
    </w:r>
    <w:r w:rsidRPr="004C5F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43C" w14:textId="62894B64" w:rsidR="00042B72" w:rsidRPr="004C5F88" w:rsidRDefault="004C5F88" w:rsidP="004C5F8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651AAF" wp14:editId="384EEB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22-00335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2F3ED2" wp14:editId="2F01FE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210122  210122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2391" w14:textId="77777777" w:rsidR="0007633E" w:rsidRPr="001075E9" w:rsidRDefault="000763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82E00F" w14:textId="77777777" w:rsidR="0007633E" w:rsidRDefault="000763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4601CA" w14:textId="77777777" w:rsidR="00D82567" w:rsidRPr="002232AF" w:rsidRDefault="00D82567" w:rsidP="00D82567">
      <w:pPr>
        <w:pStyle w:val="ad"/>
      </w:pPr>
      <w:r>
        <w:tab/>
      </w:r>
      <w:r w:rsidRPr="00E20E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D50A" w14:textId="50A6189A" w:rsidR="004C5F88" w:rsidRPr="004C5F88" w:rsidRDefault="004C5F88">
    <w:pPr>
      <w:pStyle w:val="a5"/>
    </w:pPr>
    <w:fldSimple w:instr=" TITLE  \* MERGEFORMAT ">
      <w:r w:rsidR="00E90D05">
        <w:t>ECE/TRANS/WP.29/GRSG/2022/2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B29D" w14:textId="24E8F451" w:rsidR="004C5F88" w:rsidRPr="004C5F88" w:rsidRDefault="004C5F88" w:rsidP="004C5F88">
    <w:pPr>
      <w:pStyle w:val="a5"/>
      <w:jc w:val="right"/>
    </w:pPr>
    <w:fldSimple w:instr=" TITLE  \* MERGEFORMAT ">
      <w:r w:rsidR="00E90D05">
        <w:t>ECE/TRANS/WP.29/GRSG/2022/2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3E"/>
    <w:rsid w:val="00033EE1"/>
    <w:rsid w:val="00042B72"/>
    <w:rsid w:val="000558BD"/>
    <w:rsid w:val="0007633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C5D"/>
    <w:rsid w:val="00407B78"/>
    <w:rsid w:val="00424203"/>
    <w:rsid w:val="00452493"/>
    <w:rsid w:val="00453318"/>
    <w:rsid w:val="00454AF2"/>
    <w:rsid w:val="00454E07"/>
    <w:rsid w:val="00472C5C"/>
    <w:rsid w:val="00485F8A"/>
    <w:rsid w:val="004C5F8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0F1"/>
    <w:rsid w:val="00A14DA8"/>
    <w:rsid w:val="00A312BC"/>
    <w:rsid w:val="00A84021"/>
    <w:rsid w:val="00A84D35"/>
    <w:rsid w:val="00A917B3"/>
    <w:rsid w:val="00A953E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5450"/>
    <w:rsid w:val="00CE5A1A"/>
    <w:rsid w:val="00CF55F6"/>
    <w:rsid w:val="00CF5AA2"/>
    <w:rsid w:val="00D33D63"/>
    <w:rsid w:val="00D5253A"/>
    <w:rsid w:val="00D8256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3AC"/>
    <w:rsid w:val="00E20EBD"/>
    <w:rsid w:val="00E73F76"/>
    <w:rsid w:val="00E90D05"/>
    <w:rsid w:val="00EA2C9F"/>
    <w:rsid w:val="00EA420E"/>
    <w:rsid w:val="00ED0BDA"/>
    <w:rsid w:val="00EE142A"/>
    <w:rsid w:val="00EF1360"/>
    <w:rsid w:val="00EF3220"/>
    <w:rsid w:val="00F1458D"/>
    <w:rsid w:val="00F2523A"/>
    <w:rsid w:val="00F43903"/>
    <w:rsid w:val="00F94155"/>
    <w:rsid w:val="00F9783F"/>
    <w:rsid w:val="00FD2EF7"/>
    <w:rsid w:val="00FE0C9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E954C"/>
  <w15:docId w15:val="{33D2F304-D079-49A1-B4FE-4D0F6684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82567"/>
    <w:rPr>
      <w:lang w:val="ru-RU" w:eastAsia="en-US"/>
    </w:rPr>
  </w:style>
  <w:style w:type="character" w:customStyle="1" w:styleId="HChGChar">
    <w:name w:val="_ H _Ch_G Char"/>
    <w:link w:val="HChG"/>
    <w:locked/>
    <w:rsid w:val="00D8256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797</Words>
  <Characters>5353</Characters>
  <Application>Microsoft Office Word</Application>
  <DocSecurity>0</DocSecurity>
  <Lines>114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</vt:lpstr>
      <vt:lpstr>A/</vt:lpstr>
      <vt:lpstr>A/</vt:lpstr>
    </vt:vector>
  </TitlesOfParts>
  <Company>DCM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</dc:title>
  <dc:subject/>
  <dc:creator>Ekaterina SALYNSKAYA</dc:creator>
  <cp:keywords/>
  <cp:lastModifiedBy>Ekaterina SALYNSKAYA</cp:lastModifiedBy>
  <cp:revision>3</cp:revision>
  <cp:lastPrinted>2022-01-21T13:10:00Z</cp:lastPrinted>
  <dcterms:created xsi:type="dcterms:W3CDTF">2022-01-21T13:10:00Z</dcterms:created>
  <dcterms:modified xsi:type="dcterms:W3CDTF">2022-01-21T13:11:00Z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