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3A188BB7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6EBE6E79" w14:textId="77777777" w:rsidR="00F35BAF" w:rsidRPr="00DB58B5" w:rsidRDefault="00F35BAF" w:rsidP="00AA2F18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AA10EB9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FBE7EF0" w14:textId="00DA9604" w:rsidR="00F35BAF" w:rsidRPr="00DB58B5" w:rsidRDefault="00AA2F18" w:rsidP="00AA2F18">
            <w:pPr>
              <w:jc w:val="right"/>
            </w:pPr>
            <w:r w:rsidRPr="00AA2F18">
              <w:rPr>
                <w:sz w:val="40"/>
              </w:rPr>
              <w:t>ECE</w:t>
            </w:r>
            <w:r>
              <w:t>/TRANS/WP.29/GRSG/2022/2</w:t>
            </w:r>
          </w:p>
        </w:tc>
      </w:tr>
      <w:tr w:rsidR="00F35BAF" w:rsidRPr="00DB58B5" w14:paraId="16AC63B2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AB4ACBE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3298DC19" wp14:editId="2D407317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053D6E1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2825AF5" w14:textId="77777777" w:rsidR="00F35BAF" w:rsidRDefault="00AA2F18" w:rsidP="00C97039">
            <w:pPr>
              <w:spacing w:before="240"/>
            </w:pPr>
            <w:r>
              <w:t>Distr. générale</w:t>
            </w:r>
          </w:p>
          <w:p w14:paraId="0A52937A" w14:textId="77777777" w:rsidR="00AA2F18" w:rsidRDefault="00AA2F18" w:rsidP="00AA2F18">
            <w:pPr>
              <w:spacing w:line="240" w:lineRule="exact"/>
            </w:pPr>
            <w:r>
              <w:t>13 janvier 2022</w:t>
            </w:r>
          </w:p>
          <w:p w14:paraId="455E4DA5" w14:textId="77777777" w:rsidR="00AA2F18" w:rsidRDefault="00AA2F18" w:rsidP="00AA2F18">
            <w:pPr>
              <w:spacing w:line="240" w:lineRule="exact"/>
            </w:pPr>
            <w:r>
              <w:t>Français</w:t>
            </w:r>
          </w:p>
          <w:p w14:paraId="0B67581F" w14:textId="11DD64FB" w:rsidR="00AA2F18" w:rsidRPr="00DB58B5" w:rsidRDefault="00AA2F18" w:rsidP="00AA2F18">
            <w:pPr>
              <w:spacing w:line="240" w:lineRule="exact"/>
            </w:pPr>
            <w:r>
              <w:t>Original : anglais</w:t>
            </w:r>
          </w:p>
        </w:tc>
      </w:tr>
    </w:tbl>
    <w:p w14:paraId="6E79739C" w14:textId="41BB6DBA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A1555B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4455209B" w14:textId="1800FBEF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1C7FDD81" w14:textId="51530B16" w:rsidR="00AA2F18" w:rsidRDefault="00AA2F18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A1555B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70615216" w14:textId="77777777" w:rsidR="00AA2F18" w:rsidRDefault="00AA2F18" w:rsidP="00257168">
      <w:pPr>
        <w:spacing w:before="120" w:after="120" w:line="240" w:lineRule="exact"/>
        <w:rPr>
          <w:b/>
        </w:rPr>
      </w:pPr>
      <w:r>
        <w:rPr>
          <w:b/>
        </w:rPr>
        <w:t>Groupe de travail des dispositions générales de sécurité</w:t>
      </w:r>
    </w:p>
    <w:p w14:paraId="609706FB" w14:textId="72D06D49" w:rsidR="00AA2F18" w:rsidRDefault="00AA2F18" w:rsidP="00257168">
      <w:pPr>
        <w:spacing w:before="120" w:line="240" w:lineRule="exact"/>
        <w:rPr>
          <w:b/>
        </w:rPr>
      </w:pPr>
      <w:r w:rsidRPr="00A1555B">
        <w:rPr>
          <w:b/>
          <w:bCs/>
        </w:rPr>
        <w:t>123</w:t>
      </w:r>
      <w:r w:rsidRPr="00A1555B">
        <w:rPr>
          <w:b/>
          <w:bCs/>
          <w:vertAlign w:val="superscript"/>
        </w:rPr>
        <w:t>e</w:t>
      </w:r>
      <w:r w:rsidRPr="00A1555B">
        <w:rPr>
          <w:b/>
          <w:bCs/>
        </w:rPr>
        <w:t xml:space="preserve"> </w:t>
      </w:r>
      <w:r>
        <w:rPr>
          <w:b/>
        </w:rPr>
        <w:t>session</w:t>
      </w:r>
    </w:p>
    <w:p w14:paraId="1CF3C817" w14:textId="65BA4FFA" w:rsidR="00AA2F18" w:rsidRDefault="00AA2F18" w:rsidP="00257168">
      <w:pPr>
        <w:spacing w:line="240" w:lineRule="exact"/>
      </w:pPr>
      <w:r>
        <w:t xml:space="preserve">Genève, </w:t>
      </w:r>
      <w:r w:rsidRPr="004179BE">
        <w:t>28 mars-1</w:t>
      </w:r>
      <w:r w:rsidRPr="0013417E">
        <w:rPr>
          <w:vertAlign w:val="superscript"/>
        </w:rPr>
        <w:t>er</w:t>
      </w:r>
      <w:r>
        <w:t xml:space="preserve"> </w:t>
      </w:r>
      <w:r w:rsidRPr="004179BE">
        <w:t>avril 2022</w:t>
      </w:r>
    </w:p>
    <w:p w14:paraId="4F4FEC54" w14:textId="33D23171" w:rsidR="00AA2F18" w:rsidRDefault="00AA2F18" w:rsidP="00257168">
      <w:pPr>
        <w:spacing w:line="240" w:lineRule="exact"/>
      </w:pPr>
      <w:r>
        <w:t xml:space="preserve">Point </w:t>
      </w:r>
      <w:r w:rsidRPr="004179BE">
        <w:t xml:space="preserve">2 b) </w:t>
      </w:r>
      <w:r>
        <w:t>de l</w:t>
      </w:r>
      <w:r w:rsidR="00A1555B">
        <w:t>’</w:t>
      </w:r>
      <w:r>
        <w:t xml:space="preserve">ordre du jour </w:t>
      </w:r>
      <w:r w:rsidRPr="004179BE">
        <w:t>provisoire</w:t>
      </w:r>
    </w:p>
    <w:p w14:paraId="4C03A048" w14:textId="52278D1E" w:rsidR="00AA2F18" w:rsidRPr="00AA2F18" w:rsidRDefault="00AA2F18" w:rsidP="00AA2F18">
      <w:pPr>
        <w:rPr>
          <w:b/>
          <w:bCs/>
        </w:rPr>
      </w:pPr>
      <w:r w:rsidRPr="00AA2F18">
        <w:rPr>
          <w:b/>
          <w:bCs/>
        </w:rPr>
        <w:t>Amendements aux Règlements sur les autobus et les autocars :</w:t>
      </w:r>
      <w:r w:rsidRPr="00AA2F18">
        <w:rPr>
          <w:b/>
          <w:bCs/>
        </w:rPr>
        <w:t xml:space="preserve"> </w:t>
      </w:r>
      <w:r w:rsidRPr="00AA2F18">
        <w:rPr>
          <w:b/>
          <w:bCs/>
        </w:rPr>
        <w:br/>
      </w:r>
      <w:r w:rsidRPr="00AA2F18">
        <w:rPr>
          <w:b/>
          <w:bCs/>
        </w:rPr>
        <w:t>Règlement ONU n</w:t>
      </w:r>
      <w:r w:rsidRPr="00AA2F18">
        <w:rPr>
          <w:b/>
          <w:bCs/>
          <w:vertAlign w:val="superscript"/>
        </w:rPr>
        <w:t>o</w:t>
      </w:r>
      <w:r w:rsidR="00A1555B">
        <w:rPr>
          <w:b/>
          <w:bCs/>
        </w:rPr>
        <w:t> </w:t>
      </w:r>
      <w:r w:rsidRPr="00AA2F18">
        <w:rPr>
          <w:b/>
          <w:bCs/>
        </w:rPr>
        <w:t>118 (Comportement au feu des matériaux)</w:t>
      </w:r>
    </w:p>
    <w:p w14:paraId="4228C425" w14:textId="49F24B06" w:rsidR="00AA2F18" w:rsidRPr="004179BE" w:rsidRDefault="00AA2F18" w:rsidP="00AA2F18">
      <w:pPr>
        <w:pStyle w:val="HChG"/>
      </w:pPr>
      <w:r w:rsidRPr="004179BE">
        <w:tab/>
      </w:r>
      <w:r w:rsidRPr="004179BE">
        <w:tab/>
      </w:r>
      <w:r w:rsidRPr="004179BE">
        <w:tab/>
        <w:t>Proposition de complément 1 à la série 04 d</w:t>
      </w:r>
      <w:r w:rsidR="00A1555B">
        <w:t>’</w:t>
      </w:r>
      <w:r w:rsidRPr="004179BE">
        <w:t>amendements au</w:t>
      </w:r>
      <w:r>
        <w:t> </w:t>
      </w:r>
      <w:r w:rsidRPr="004179BE">
        <w:t>Règlement ONU n</w:t>
      </w:r>
      <w:r w:rsidRPr="001F44F6">
        <w:rPr>
          <w:vertAlign w:val="superscript"/>
        </w:rPr>
        <w:t>o</w:t>
      </w:r>
      <w:r>
        <w:t> </w:t>
      </w:r>
      <w:r w:rsidRPr="004179BE">
        <w:t xml:space="preserve">118 (Comportement </w:t>
      </w:r>
      <w:r>
        <w:br/>
      </w:r>
      <w:r w:rsidRPr="004179BE">
        <w:t>au feu des matériaux)</w:t>
      </w:r>
    </w:p>
    <w:p w14:paraId="30F99F0D" w14:textId="7E5B102C" w:rsidR="00AA2F18" w:rsidRPr="004179BE" w:rsidRDefault="00AA2F18" w:rsidP="00AA2F18">
      <w:pPr>
        <w:pStyle w:val="H1G"/>
      </w:pPr>
      <w:r w:rsidRPr="004179BE">
        <w:tab/>
      </w:r>
      <w:r w:rsidRPr="004179BE">
        <w:tab/>
        <w:t>Communication de l</w:t>
      </w:r>
      <w:r w:rsidR="00A1555B">
        <w:t>’</w:t>
      </w:r>
      <w:r w:rsidRPr="004179BE">
        <w:t>expert de l</w:t>
      </w:r>
      <w:r w:rsidR="00A1555B">
        <w:t>’</w:t>
      </w:r>
      <w:r w:rsidRPr="004179BE">
        <w:t>Organisation internationale des</w:t>
      </w:r>
      <w:r>
        <w:t> </w:t>
      </w:r>
      <w:r w:rsidRPr="004179BE">
        <w:t>constructeurs d</w:t>
      </w:r>
      <w:r w:rsidR="00A1555B">
        <w:t>’</w:t>
      </w:r>
      <w:r w:rsidRPr="004179BE">
        <w:t>automobiles</w:t>
      </w:r>
      <w:r w:rsidRPr="00AA2F18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735786DE" w14:textId="544DAB5A" w:rsidR="00AA2F18" w:rsidRDefault="00AA2F18" w:rsidP="00AA2F18">
      <w:pPr>
        <w:pStyle w:val="SingleTxtG"/>
        <w:ind w:firstLine="567"/>
      </w:pPr>
      <w:r w:rsidRPr="004179BE">
        <w:t>Le texte ci-après, établi par l</w:t>
      </w:r>
      <w:r w:rsidR="00A1555B">
        <w:t>’</w:t>
      </w:r>
      <w:r w:rsidRPr="004179BE">
        <w:t>expert de l</w:t>
      </w:r>
      <w:r w:rsidR="00A1555B">
        <w:t>’</w:t>
      </w:r>
      <w:r w:rsidRPr="004179BE">
        <w:t>Organisation internationale des constructeurs d</w:t>
      </w:r>
      <w:r w:rsidR="00A1555B">
        <w:t>’</w:t>
      </w:r>
      <w:r w:rsidRPr="004179BE">
        <w:t>automobiles (OICA), vise à modifier le Règlement ONU n</w:t>
      </w:r>
      <w:r w:rsidRPr="003B2A7F">
        <w:rPr>
          <w:vertAlign w:val="superscript"/>
        </w:rPr>
        <w:t>o</w:t>
      </w:r>
      <w:r w:rsidRPr="004179BE">
        <w:t xml:space="preserve"> 118 afin de le rendre applicable aux véhicules de </w:t>
      </w:r>
      <w:r w:rsidRPr="00161BC8">
        <w:t>la classe I de</w:t>
      </w:r>
      <w:r>
        <w:t xml:space="preserve"> la </w:t>
      </w:r>
      <w:r w:rsidRPr="009E4A0A">
        <w:t>catégorie M</w:t>
      </w:r>
      <w:r w:rsidRPr="009E4A0A">
        <w:rPr>
          <w:vertAlign w:val="subscript"/>
        </w:rPr>
        <w:t>3</w:t>
      </w:r>
      <w:r w:rsidRPr="004179BE">
        <w:t>, à la demande du constructeur. Il est fondé sur le document informel GRSG-122-40, qui a été distribué à la 122</w:t>
      </w:r>
      <w:r w:rsidRPr="001F44F6">
        <w:rPr>
          <w:vertAlign w:val="superscript"/>
        </w:rPr>
        <w:t>e</w:t>
      </w:r>
      <w:r w:rsidRPr="004179BE">
        <w:t> session du Groupe de travail des dispositions générales de sécurité (GRSG). Les modifications qu</w:t>
      </w:r>
      <w:r w:rsidR="00A1555B">
        <w:t>’</w:t>
      </w:r>
      <w:r w:rsidRPr="004179BE">
        <w:t>il est proposé d</w:t>
      </w:r>
      <w:r w:rsidR="00A1555B">
        <w:t>’</w:t>
      </w:r>
      <w:r w:rsidRPr="004179BE">
        <w:t>apporter au texte actuel du Règlement ONU n</w:t>
      </w:r>
      <w:r w:rsidRPr="00501E61">
        <w:rPr>
          <w:vertAlign w:val="superscript"/>
        </w:rPr>
        <w:t>o</w:t>
      </w:r>
      <w:r w:rsidRPr="004179BE">
        <w:t xml:space="preserve"> 118 figurent en caractères gras pour les ajouts et biffés pour les suppressions. </w:t>
      </w:r>
    </w:p>
    <w:p w14:paraId="40E325DA" w14:textId="1C70679A" w:rsidR="00AA2F18" w:rsidRDefault="00AA2F18" w:rsidP="00AA2F18">
      <w:pPr>
        <w:pStyle w:val="SingleTxtG"/>
        <w:ind w:firstLine="567"/>
      </w:pPr>
      <w:r>
        <w:br w:type="page"/>
      </w:r>
    </w:p>
    <w:p w14:paraId="7FDDE7FC" w14:textId="77777777" w:rsidR="00AA2F18" w:rsidRPr="004179BE" w:rsidRDefault="00AA2F18" w:rsidP="00E526DB">
      <w:pPr>
        <w:pStyle w:val="HChG"/>
        <w:rPr>
          <w:rFonts w:asciiTheme="majorBidi" w:hAnsiTheme="majorBidi" w:cstheme="majorBidi"/>
          <w:szCs w:val="28"/>
        </w:rPr>
      </w:pPr>
      <w:r w:rsidRPr="004179BE">
        <w:lastRenderedPageBreak/>
        <w:tab/>
        <w:t>I.</w:t>
      </w:r>
      <w:r w:rsidRPr="004179BE">
        <w:tab/>
        <w:t>Proposition</w:t>
      </w:r>
    </w:p>
    <w:p w14:paraId="7F1999C4" w14:textId="77777777" w:rsidR="00AA2F18" w:rsidRPr="004179BE" w:rsidRDefault="00AA2F18" w:rsidP="00E526DB">
      <w:pPr>
        <w:pStyle w:val="SingleTxtG"/>
      </w:pPr>
      <w:r w:rsidRPr="00E526DB">
        <w:rPr>
          <w:i/>
          <w:iCs/>
        </w:rPr>
        <w:t>Ajouter un nouveau paragraphe 1.1.1</w:t>
      </w:r>
      <w:r w:rsidRPr="004179BE">
        <w:t>, libellé comme suit :</w:t>
      </w:r>
    </w:p>
    <w:p w14:paraId="142CF1B6" w14:textId="7D00D449" w:rsidR="00AA2F18" w:rsidRPr="004179BE" w:rsidRDefault="00AA2F18" w:rsidP="00E526DB">
      <w:pPr>
        <w:pStyle w:val="SingleTxtG"/>
        <w:ind w:left="2268" w:hanging="1134"/>
      </w:pPr>
      <w:r>
        <w:t>«</w:t>
      </w:r>
      <w:r w:rsidR="00E526DB">
        <w:t> </w:t>
      </w:r>
      <w:r w:rsidRPr="00E526DB">
        <w:rPr>
          <w:b/>
          <w:bCs/>
        </w:rPr>
        <w:t>1.1.1</w:t>
      </w:r>
      <w:r w:rsidRPr="00E526DB">
        <w:rPr>
          <w:b/>
          <w:bCs/>
        </w:rPr>
        <w:tab/>
        <w:t>À la demande du constructeur, le présent Règlement peut aussi s</w:t>
      </w:r>
      <w:r w:rsidR="00A1555B">
        <w:rPr>
          <w:b/>
          <w:bCs/>
        </w:rPr>
        <w:t>’</w:t>
      </w:r>
      <w:r w:rsidRPr="00E526DB">
        <w:rPr>
          <w:b/>
          <w:bCs/>
        </w:rPr>
        <w:t>appliquer aux véhicules de la classe I de la catégorie M</w:t>
      </w:r>
      <w:r w:rsidRPr="00E526DB">
        <w:rPr>
          <w:b/>
          <w:bCs/>
          <w:vertAlign w:val="subscript"/>
        </w:rPr>
        <w:t>3</w:t>
      </w:r>
      <w:r w:rsidRPr="00E526DB">
        <w:rPr>
          <w:b/>
          <w:bCs/>
        </w:rPr>
        <w:t>.</w:t>
      </w:r>
      <w:r w:rsidR="00E526DB">
        <w:t> »</w:t>
      </w:r>
      <w:r w:rsidRPr="004179BE">
        <w:t>.</w:t>
      </w:r>
    </w:p>
    <w:p w14:paraId="1B419030" w14:textId="77777777" w:rsidR="00AA2F18" w:rsidRPr="004179BE" w:rsidRDefault="00AA2F18" w:rsidP="00E526DB">
      <w:pPr>
        <w:pStyle w:val="SingleTxtG"/>
        <w:rPr>
          <w:i/>
        </w:rPr>
      </w:pPr>
      <w:r w:rsidRPr="004179BE">
        <w:rPr>
          <w:i/>
          <w:iCs/>
        </w:rPr>
        <w:t>Partie II, ajouter un nouveau paragraphe 6.1.9</w:t>
      </w:r>
      <w:r w:rsidRPr="004179BE">
        <w:t xml:space="preserve">, libellé comme suit : </w:t>
      </w:r>
    </w:p>
    <w:p w14:paraId="3D453656" w14:textId="705CFB17" w:rsidR="00AA2F18" w:rsidRPr="004179BE" w:rsidRDefault="00E526DB" w:rsidP="00E526DB">
      <w:pPr>
        <w:pStyle w:val="SingleTxtG"/>
        <w:ind w:left="2268" w:hanging="1134"/>
      </w:pPr>
      <w:r>
        <w:t>« </w:t>
      </w:r>
      <w:r w:rsidR="00AA2F18" w:rsidRPr="00E526DB">
        <w:rPr>
          <w:b/>
          <w:bCs/>
        </w:rPr>
        <w:t>6.1.9</w:t>
      </w:r>
      <w:r w:rsidR="00AA2F18" w:rsidRPr="00E526DB">
        <w:rPr>
          <w:b/>
          <w:bCs/>
        </w:rPr>
        <w:tab/>
        <w:t>Par “vitrage en plastique”, un vitrage contenant comme éléments essentiels une ou plusieurs substances polymères organiques de poids moléculaire élevé, solide à l</w:t>
      </w:r>
      <w:r w:rsidR="00A1555B">
        <w:rPr>
          <w:b/>
          <w:bCs/>
        </w:rPr>
        <w:t>’</w:t>
      </w:r>
      <w:r w:rsidR="00AA2F18" w:rsidRPr="00E526DB">
        <w:rPr>
          <w:b/>
          <w:bCs/>
        </w:rPr>
        <w:t>état de produit fini et qui peut être façonné par soufflage à un certain stade de sa fabrication ou de sa transformation.</w:t>
      </w:r>
      <w:r>
        <w:t> »</w:t>
      </w:r>
      <w:r w:rsidR="00AA2F18" w:rsidRPr="004179BE">
        <w:t>.</w:t>
      </w:r>
    </w:p>
    <w:p w14:paraId="23426439" w14:textId="77777777" w:rsidR="00AA2F18" w:rsidRPr="004179BE" w:rsidRDefault="00AA2F18" w:rsidP="00E526DB">
      <w:pPr>
        <w:pStyle w:val="SingleTxtG"/>
        <w:rPr>
          <w:i/>
          <w:iCs/>
        </w:rPr>
      </w:pPr>
      <w:r w:rsidRPr="004179BE">
        <w:rPr>
          <w:i/>
          <w:iCs/>
        </w:rPr>
        <w:t>Partie II, paragraphe 6.2.7.1</w:t>
      </w:r>
      <w:r w:rsidRPr="004179BE">
        <w:t>, lire :</w:t>
      </w:r>
    </w:p>
    <w:p w14:paraId="450BB686" w14:textId="20B1EB92" w:rsidR="00AA2F18" w:rsidRPr="004179BE" w:rsidRDefault="00AA2F18" w:rsidP="00E526DB">
      <w:pPr>
        <w:pStyle w:val="SingleTxtG"/>
        <w:ind w:left="2268" w:hanging="1134"/>
        <w:rPr>
          <w:i/>
          <w:iCs/>
        </w:rPr>
      </w:pPr>
      <w:r>
        <w:t>«</w:t>
      </w:r>
      <w:r w:rsidR="00E526DB">
        <w:t> </w:t>
      </w:r>
      <w:r w:rsidRPr="00E526DB">
        <w:rPr>
          <w:b/>
          <w:bCs/>
        </w:rPr>
        <w:t>6.2.7.1</w:t>
      </w:r>
      <w:r w:rsidRPr="00E526DB">
        <w:rPr>
          <w:b/>
          <w:bCs/>
        </w:rPr>
        <w:tab/>
      </w:r>
      <w:r w:rsidRPr="00A1555B">
        <w:t>Les pièces métalliques ou en verre</w:t>
      </w:r>
      <w:r w:rsidR="00007D66" w:rsidRPr="00A1555B">
        <w:t> </w:t>
      </w:r>
      <w:r w:rsidRPr="00A1555B">
        <w:t>;</w:t>
      </w:r>
      <w:r w:rsidRPr="00E526DB">
        <w:rPr>
          <w:b/>
          <w:bCs/>
        </w:rPr>
        <w:t xml:space="preserve"> les pièces faites de vitrage en plastique ne sont pas visées par cette exemption</w:t>
      </w:r>
      <w:r w:rsidR="00E526DB">
        <w:rPr>
          <w:b/>
          <w:bCs/>
        </w:rPr>
        <w:t> </w:t>
      </w:r>
      <w:r w:rsidRPr="00E526DB">
        <w:rPr>
          <w:b/>
          <w:bCs/>
        </w:rPr>
        <w:t>;</w:t>
      </w:r>
      <w:r w:rsidR="00E526DB">
        <w:t> »</w:t>
      </w:r>
      <w:r w:rsidRPr="004179BE">
        <w:t>.</w:t>
      </w:r>
    </w:p>
    <w:p w14:paraId="6D660805" w14:textId="77777777" w:rsidR="00AA2F18" w:rsidRPr="004179BE" w:rsidRDefault="00AA2F18" w:rsidP="00E526DB">
      <w:pPr>
        <w:pStyle w:val="HChG"/>
        <w:rPr>
          <w:b w:val="0"/>
        </w:rPr>
      </w:pPr>
      <w:r w:rsidRPr="004179BE">
        <w:tab/>
        <w:t>II.</w:t>
      </w:r>
      <w:r w:rsidRPr="004179BE">
        <w:tab/>
        <w:t>Justification</w:t>
      </w:r>
    </w:p>
    <w:p w14:paraId="7E4EA3BF" w14:textId="450B30BE" w:rsidR="00AA2F18" w:rsidRPr="004179BE" w:rsidRDefault="00E526DB" w:rsidP="00E526DB">
      <w:pPr>
        <w:pStyle w:val="SingleTxtG"/>
      </w:pPr>
      <w:r>
        <w:t>1.</w:t>
      </w:r>
      <w:r>
        <w:tab/>
      </w:r>
      <w:r w:rsidR="00AA2F18" w:rsidRPr="004179BE">
        <w:t xml:space="preserve">Les justifications ci-après sont </w:t>
      </w:r>
      <w:r w:rsidR="00AA2F18">
        <w:t>reprises</w:t>
      </w:r>
      <w:r w:rsidR="00AA2F18" w:rsidRPr="004179BE">
        <w:t xml:space="preserve"> des documents GRSG-121-04 et ECE/TRAN</w:t>
      </w:r>
      <w:r w:rsidR="00AA2F18">
        <w:t>S</w:t>
      </w:r>
      <w:r w:rsidR="00AA2F18" w:rsidRPr="004179BE">
        <w:t>/WP.29/GRSG/2021/3, que le GRSG a adoptés à sa 121</w:t>
      </w:r>
      <w:r w:rsidR="00AA2F18" w:rsidRPr="004179BE">
        <w:rPr>
          <w:vertAlign w:val="superscript"/>
        </w:rPr>
        <w:t>e</w:t>
      </w:r>
      <w:r w:rsidR="00A1555B">
        <w:t> </w:t>
      </w:r>
      <w:r w:rsidR="00AA2F18" w:rsidRPr="004179BE">
        <w:t xml:space="preserve">session, en avril 2021. </w:t>
      </w:r>
      <w:r w:rsidR="00AA2F18">
        <w:t xml:space="preserve">Le dernier document cité </w:t>
      </w:r>
      <w:r w:rsidR="00AA2F18" w:rsidRPr="00FA2A6A">
        <w:t>visait à modifier les</w:t>
      </w:r>
      <w:r w:rsidR="00AA2F18">
        <w:t xml:space="preserve"> séries</w:t>
      </w:r>
      <w:r w:rsidR="00AA2F18" w:rsidRPr="004179BE">
        <w:t xml:space="preserve"> 02 </w:t>
      </w:r>
      <w:r w:rsidR="00AA2F18">
        <w:t xml:space="preserve">et </w:t>
      </w:r>
      <w:r w:rsidR="00AA2F18" w:rsidRPr="004179BE">
        <w:t xml:space="preserve">03 </w:t>
      </w:r>
      <w:r w:rsidR="00AA2F18">
        <w:t>d</w:t>
      </w:r>
      <w:r w:rsidR="00A1555B">
        <w:t>’</w:t>
      </w:r>
      <w:r w:rsidR="00AA2F18" w:rsidRPr="004179BE">
        <w:t xml:space="preserve">amendements </w:t>
      </w:r>
      <w:r w:rsidR="00AA2F18">
        <w:t>au Règlement ONU n</w:t>
      </w:r>
      <w:r w:rsidR="00AA2F18" w:rsidRPr="00501E61">
        <w:rPr>
          <w:vertAlign w:val="superscript"/>
        </w:rPr>
        <w:t>o</w:t>
      </w:r>
      <w:r w:rsidR="00AA2F18">
        <w:t> </w:t>
      </w:r>
      <w:r w:rsidR="00AA2F18" w:rsidRPr="004179BE">
        <w:t xml:space="preserve">118, </w:t>
      </w:r>
      <w:r w:rsidR="00AA2F18">
        <w:t xml:space="preserve">mais le </w:t>
      </w:r>
      <w:r w:rsidR="00AA2F18" w:rsidRPr="004179BE">
        <w:t xml:space="preserve">GRSG </w:t>
      </w:r>
      <w:r w:rsidR="00AA2F18">
        <w:t>a omis de modifier la série </w:t>
      </w:r>
      <w:r w:rsidR="00AA2F18" w:rsidRPr="004179BE">
        <w:t>04</w:t>
      </w:r>
      <w:r w:rsidR="00AA2F18">
        <w:t xml:space="preserve"> en conséquence, car celle-ci</w:t>
      </w:r>
      <w:r w:rsidR="00AA2F18" w:rsidRPr="004179BE">
        <w:t xml:space="preserve"> </w:t>
      </w:r>
      <w:r w:rsidR="00AA2F18">
        <w:t>n</w:t>
      </w:r>
      <w:r w:rsidR="00A1555B">
        <w:t>’</w:t>
      </w:r>
      <w:r w:rsidR="00AA2F18">
        <w:t>avait pas encore été adoptée par le Forum mondial</w:t>
      </w:r>
      <w:r w:rsidR="00AA2F18" w:rsidRPr="004179BE">
        <w:t>.</w:t>
      </w:r>
    </w:p>
    <w:p w14:paraId="29ECC103" w14:textId="570CDFFF" w:rsidR="00AA2F18" w:rsidRPr="004179BE" w:rsidRDefault="00AA2F18" w:rsidP="00E526DB">
      <w:pPr>
        <w:pStyle w:val="SingleTxtG"/>
      </w:pPr>
      <w:r w:rsidRPr="004179BE">
        <w:t>2.</w:t>
      </w:r>
      <w:r w:rsidRPr="004179BE">
        <w:tab/>
      </w:r>
      <w:r>
        <w:t>Champ d</w:t>
      </w:r>
      <w:r w:rsidR="00A1555B">
        <w:t>’</w:t>
      </w:r>
      <w:r>
        <w:t>application </w:t>
      </w:r>
      <w:r w:rsidRPr="004179BE">
        <w:t xml:space="preserve">: </w:t>
      </w:r>
      <w:r>
        <w:t>Selon le document</w:t>
      </w:r>
      <w:r w:rsidRPr="004179BE">
        <w:t xml:space="preserve"> ECE/TRANS/WP.29/1044/Rev.3 </w:t>
      </w:r>
      <w:r>
        <w:t>(</w:t>
      </w:r>
      <w:r w:rsidRPr="00323585">
        <w:t>Directives générales concernant l</w:t>
      </w:r>
      <w:r w:rsidR="00A1555B">
        <w:t>’</w:t>
      </w:r>
      <w:r w:rsidRPr="00323585">
        <w:t>élaboration des Règlements de l</w:t>
      </w:r>
      <w:r w:rsidR="00A1555B">
        <w:t>’</w:t>
      </w:r>
      <w:r w:rsidRPr="00323585">
        <w:t>ONU et les dispositions transitoires qu</w:t>
      </w:r>
      <w:r w:rsidR="00A1555B">
        <w:t>’</w:t>
      </w:r>
      <w:r w:rsidRPr="00323585">
        <w:t>ils contiennent</w:t>
      </w:r>
      <w:r>
        <w:t>)</w:t>
      </w:r>
      <w:r w:rsidRPr="004179BE">
        <w:t xml:space="preserve">, </w:t>
      </w:r>
      <w:r>
        <w:t>le champ d</w:t>
      </w:r>
      <w:r w:rsidR="00A1555B">
        <w:t>’</w:t>
      </w:r>
      <w:r>
        <w:t>application d</w:t>
      </w:r>
      <w:r w:rsidR="00A1555B">
        <w:t>’</w:t>
      </w:r>
      <w:r>
        <w:t>un Règlement est l</w:t>
      </w:r>
      <w:r w:rsidR="00A1555B">
        <w:t>’</w:t>
      </w:r>
      <w:r>
        <w:t>ensemble des catégories de</w:t>
      </w:r>
      <w:r w:rsidRPr="004179BE">
        <w:t xml:space="preserve"> véhicules </w:t>
      </w:r>
      <w:r>
        <w:t>pour lesquelles une homologation de type peut être délivrée en application dudit Règlement</w:t>
      </w:r>
      <w:r w:rsidR="00007D66">
        <w:t> </w:t>
      </w:r>
      <w:r>
        <w:t>;</w:t>
      </w:r>
    </w:p>
    <w:p w14:paraId="7AB555D8" w14:textId="23FA2071" w:rsidR="00AA2F18" w:rsidRPr="004179BE" w:rsidRDefault="00AA2F18" w:rsidP="00E526DB">
      <w:pPr>
        <w:pStyle w:val="SingleTxtG"/>
      </w:pPr>
      <w:r w:rsidRPr="004179BE">
        <w:t>3.</w:t>
      </w:r>
      <w:r w:rsidRPr="004179BE">
        <w:tab/>
      </w:r>
      <w:r>
        <w:t xml:space="preserve">Pour que des homologations de type puissent être délivrées pour des </w:t>
      </w:r>
      <w:r w:rsidRPr="00033F10">
        <w:t xml:space="preserve">véhicules de la </w:t>
      </w:r>
      <w:r w:rsidRPr="004179BE">
        <w:t>classe I</w:t>
      </w:r>
      <w:r>
        <w:t xml:space="preserve"> de la </w:t>
      </w:r>
      <w:r w:rsidRPr="009E4A0A">
        <w:t>catégorie M</w:t>
      </w:r>
      <w:r w:rsidRPr="009E4A0A">
        <w:rPr>
          <w:vertAlign w:val="subscript"/>
        </w:rPr>
        <w:t>3</w:t>
      </w:r>
      <w:r>
        <w:t>, qui n</w:t>
      </w:r>
      <w:r w:rsidR="00A1555B">
        <w:t>’</w:t>
      </w:r>
      <w:r>
        <w:t>est pas encore visée par le Règlement ONU n</w:t>
      </w:r>
      <w:r w:rsidRPr="00501E61">
        <w:rPr>
          <w:vertAlign w:val="superscript"/>
        </w:rPr>
        <w:t>o</w:t>
      </w:r>
      <w:r>
        <w:t xml:space="preserve"> 118, </w:t>
      </w:r>
      <w:r w:rsidRPr="00FA2A6A">
        <w:t>il est ici proposé de permettre l</w:t>
      </w:r>
      <w:r w:rsidR="00A1555B">
        <w:t>’</w:t>
      </w:r>
      <w:r w:rsidRPr="00FA2A6A">
        <w:t>homologation de ces véhicules à titre facultatif</w:t>
      </w:r>
      <w:r w:rsidRPr="004179BE">
        <w:t>.</w:t>
      </w:r>
    </w:p>
    <w:p w14:paraId="19AB43CB" w14:textId="252A78C0" w:rsidR="00AA2F18" w:rsidRPr="004179BE" w:rsidRDefault="00AA2F18" w:rsidP="00E526DB">
      <w:pPr>
        <w:pStyle w:val="SingleTxtG"/>
      </w:pPr>
      <w:r w:rsidRPr="004179BE">
        <w:t>4.</w:t>
      </w:r>
      <w:r w:rsidRPr="004179BE">
        <w:tab/>
      </w:r>
      <w:r>
        <w:t>La présente proposition</w:t>
      </w:r>
      <w:r w:rsidRPr="004179BE">
        <w:t xml:space="preserve"> </w:t>
      </w:r>
      <w:r>
        <w:t>permettra d</w:t>
      </w:r>
      <w:r w:rsidR="00A1555B">
        <w:t>’</w:t>
      </w:r>
      <w:r>
        <w:t>améliorer sensiblement le degré de protection des autobus de la classe I (utilisés dans la circulation périurbaine) contre l</w:t>
      </w:r>
      <w:r w:rsidR="00A1555B">
        <w:t>’</w:t>
      </w:r>
      <w:r>
        <w:t>incendie</w:t>
      </w:r>
      <w:r w:rsidRPr="004179BE">
        <w:t xml:space="preserve">. </w:t>
      </w:r>
      <w:r>
        <w:t>Une</w:t>
      </w:r>
      <w:r w:rsidR="00A1555B">
        <w:t> </w:t>
      </w:r>
      <w:r>
        <w:t xml:space="preserve">approche analogue a été suivie </w:t>
      </w:r>
      <w:r w:rsidRPr="00476219">
        <w:t>dans d</w:t>
      </w:r>
      <w:r w:rsidR="00A1555B">
        <w:t>’</w:t>
      </w:r>
      <w:r w:rsidRPr="00476219">
        <w:t>autres Règlements ONU</w:t>
      </w:r>
      <w:r>
        <w:t xml:space="preserve"> pour les véhicules de la catégorie </w:t>
      </w:r>
      <w:r w:rsidRPr="004179BE">
        <w:t>M</w:t>
      </w:r>
      <w:r w:rsidRPr="00D12282">
        <w:rPr>
          <w:vertAlign w:val="subscript"/>
        </w:rPr>
        <w:t>3</w:t>
      </w:r>
      <w:r w:rsidRPr="004179BE">
        <w:t xml:space="preserve">. </w:t>
      </w:r>
      <w:r>
        <w:t xml:space="preserve">Par </w:t>
      </w:r>
      <w:r w:rsidRPr="004179BE">
        <w:t xml:space="preserve">exemple, </w:t>
      </w:r>
      <w:r>
        <w:t>depuis la série </w:t>
      </w:r>
      <w:r w:rsidRPr="004179BE">
        <w:t xml:space="preserve">07 </w:t>
      </w:r>
      <w:r>
        <w:t>d</w:t>
      </w:r>
      <w:r w:rsidR="00A1555B">
        <w:t>’</w:t>
      </w:r>
      <w:r w:rsidRPr="004179BE">
        <w:t xml:space="preserve">amendements </w:t>
      </w:r>
      <w:r>
        <w:t>au Règlement ONU n</w:t>
      </w:r>
      <w:r w:rsidRPr="00501E61">
        <w:rPr>
          <w:vertAlign w:val="superscript"/>
        </w:rPr>
        <w:t>o</w:t>
      </w:r>
      <w:r>
        <w:t> </w:t>
      </w:r>
      <w:r w:rsidRPr="004179BE">
        <w:t>107</w:t>
      </w:r>
      <w:r>
        <w:t>,</w:t>
      </w:r>
      <w:r w:rsidRPr="004179BE">
        <w:t xml:space="preserve"> </w:t>
      </w:r>
      <w:r>
        <w:t xml:space="preserve">un </w:t>
      </w:r>
      <w:r w:rsidRPr="00704EB2">
        <w:t>système d</w:t>
      </w:r>
      <w:r w:rsidR="00A1555B">
        <w:t>’</w:t>
      </w:r>
      <w:r w:rsidRPr="00704EB2">
        <w:t>extinction d</w:t>
      </w:r>
      <w:r w:rsidR="00A1555B">
        <w:t>’</w:t>
      </w:r>
      <w:r w:rsidRPr="00704EB2">
        <w:t xml:space="preserve">incendie </w:t>
      </w:r>
      <w:r>
        <w:t>est prévu pour les véhicules de la</w:t>
      </w:r>
      <w:r w:rsidRPr="004179BE">
        <w:t xml:space="preserve"> </w:t>
      </w:r>
      <w:r>
        <w:t>c</w:t>
      </w:r>
      <w:r w:rsidRPr="004179BE">
        <w:t>lass</w:t>
      </w:r>
      <w:r>
        <w:t>e </w:t>
      </w:r>
      <w:r w:rsidRPr="004179BE">
        <w:t>I (</w:t>
      </w:r>
      <w:r>
        <w:t>le même que pour les véhicules des</w:t>
      </w:r>
      <w:r w:rsidRPr="004179BE">
        <w:t xml:space="preserve"> </w:t>
      </w:r>
      <w:r>
        <w:t>c</w:t>
      </w:r>
      <w:r w:rsidRPr="004179BE">
        <w:t xml:space="preserve">lasses II </w:t>
      </w:r>
      <w:r>
        <w:t xml:space="preserve">et </w:t>
      </w:r>
      <w:r w:rsidRPr="004179BE">
        <w:t xml:space="preserve">III). </w:t>
      </w:r>
      <w:r>
        <w:t>Le</w:t>
      </w:r>
      <w:r w:rsidRPr="004179BE">
        <w:t xml:space="preserve"> </w:t>
      </w:r>
      <w:r>
        <w:t>contrôle de la conformité de la p</w:t>
      </w:r>
      <w:r w:rsidRPr="004179BE">
        <w:t xml:space="preserve">roduction </w:t>
      </w:r>
      <w:r>
        <w:t xml:space="preserve">améliorera nettement </w:t>
      </w:r>
      <w:r w:rsidRPr="00FE76E3">
        <w:t xml:space="preserve">le degré de protection contre les incendies </w:t>
      </w:r>
      <w:r>
        <w:t xml:space="preserve">du véhicule et de ses </w:t>
      </w:r>
      <w:r w:rsidRPr="004179BE">
        <w:t>compo</w:t>
      </w:r>
      <w:r>
        <w:t>sa</w:t>
      </w:r>
      <w:r w:rsidRPr="004179BE">
        <w:t>nt</w:t>
      </w:r>
      <w:r>
        <w:t>s</w:t>
      </w:r>
      <w:r w:rsidRPr="004179BE">
        <w:t>.</w:t>
      </w:r>
    </w:p>
    <w:p w14:paraId="5A549431" w14:textId="26E99B85" w:rsidR="00AA2F18" w:rsidRPr="004179BE" w:rsidRDefault="00AA2F18" w:rsidP="00E526DB">
      <w:pPr>
        <w:pStyle w:val="SingleTxtG"/>
      </w:pPr>
      <w:r w:rsidRPr="004179BE">
        <w:t>5.</w:t>
      </w:r>
      <w:r w:rsidRPr="004179BE">
        <w:tab/>
      </w:r>
      <w:r>
        <w:t>D</w:t>
      </w:r>
      <w:r w:rsidR="00A1555B">
        <w:t>’</w:t>
      </w:r>
      <w:r w:rsidRPr="0041420D">
        <w:t>autres Règlements ONU relatifs aux autobus, par exemple le Règlement ONU n</w:t>
      </w:r>
      <w:r w:rsidR="00956518" w:rsidRPr="00956518">
        <w:rPr>
          <w:vertAlign w:val="superscript"/>
        </w:rPr>
        <w:t>o</w:t>
      </w:r>
      <w:r w:rsidR="00956518">
        <w:t> </w:t>
      </w:r>
      <w:r w:rsidRPr="0041420D">
        <w:t>66</w:t>
      </w:r>
      <w:r>
        <w:t>, permettent déjà aux</w:t>
      </w:r>
      <w:r w:rsidRPr="0041420D">
        <w:t xml:space="preserve"> constructeur</w:t>
      </w:r>
      <w:r>
        <w:t>s</w:t>
      </w:r>
      <w:r w:rsidRPr="0041420D">
        <w:t xml:space="preserve"> d</w:t>
      </w:r>
      <w:r w:rsidR="00A1555B">
        <w:t>’</w:t>
      </w:r>
      <w:r w:rsidRPr="0041420D">
        <w:t xml:space="preserve">obtenir une homologation </w:t>
      </w:r>
      <w:r>
        <w:t>f</w:t>
      </w:r>
      <w:r w:rsidRPr="0041420D">
        <w:t>acultative</w:t>
      </w:r>
      <w:r>
        <w:t>.</w:t>
      </w:r>
    </w:p>
    <w:p w14:paraId="79C606A5" w14:textId="1BA08C0D" w:rsidR="00AA2F18" w:rsidRPr="004179BE" w:rsidRDefault="00AA2F18" w:rsidP="00E526DB">
      <w:pPr>
        <w:pStyle w:val="SingleTxtG"/>
      </w:pPr>
      <w:r w:rsidRPr="004179BE">
        <w:t>6.</w:t>
      </w:r>
      <w:r w:rsidRPr="004179BE">
        <w:tab/>
      </w:r>
      <w:r>
        <w:t>On a constaté que la détention d</w:t>
      </w:r>
      <w:r w:rsidR="00A1555B">
        <w:t>’</w:t>
      </w:r>
      <w:r>
        <w:t>un certificat d</w:t>
      </w:r>
      <w:r w:rsidR="00A1555B">
        <w:t>’</w:t>
      </w:r>
      <w:r>
        <w:t xml:space="preserve">homologation de </w:t>
      </w:r>
      <w:r w:rsidRPr="004179BE">
        <w:t xml:space="preserve">type </w:t>
      </w:r>
      <w:r>
        <w:t xml:space="preserve">délivré </w:t>
      </w:r>
      <w:r w:rsidRPr="0041420D">
        <w:t xml:space="preserve">pour </w:t>
      </w:r>
      <w:r>
        <w:t>d</w:t>
      </w:r>
      <w:r w:rsidRPr="0041420D">
        <w:t>es véhicules de la classe I</w:t>
      </w:r>
      <w:r>
        <w:t xml:space="preserve"> en application du Règlement ONU n</w:t>
      </w:r>
      <w:r w:rsidRPr="00FE76E3">
        <w:rPr>
          <w:vertAlign w:val="superscript"/>
        </w:rPr>
        <w:t>o</w:t>
      </w:r>
      <w:r>
        <w:t> </w:t>
      </w:r>
      <w:r w:rsidRPr="004179BE">
        <w:t xml:space="preserve">118 </w:t>
      </w:r>
      <w:r>
        <w:t>était souvent considérée comme un critère d</w:t>
      </w:r>
      <w:r w:rsidR="00A1555B">
        <w:t>’</w:t>
      </w:r>
      <w:r>
        <w:t>attribution dans le cadre des appels d</w:t>
      </w:r>
      <w:r w:rsidR="00A1555B">
        <w:t>’</w:t>
      </w:r>
      <w:r>
        <w:t>offres concernant les auto</w:t>
      </w:r>
      <w:r w:rsidRPr="004179BE">
        <w:t xml:space="preserve">bus </w:t>
      </w:r>
      <w:r>
        <w:t>urbains</w:t>
      </w:r>
      <w:r w:rsidRPr="004179BE">
        <w:t xml:space="preserve">, </w:t>
      </w:r>
      <w:r>
        <w:t>ce qui tendrait à prouver que des homologations sont déjà délivrées pour cette classe de véhicules</w:t>
      </w:r>
      <w:r w:rsidRPr="004179BE">
        <w:t xml:space="preserve">. </w:t>
      </w:r>
      <w:r>
        <w:t>La présente proposition permettra d</w:t>
      </w:r>
      <w:r w:rsidR="00A1555B">
        <w:t>’</w:t>
      </w:r>
      <w:r>
        <w:t>éviter les divergences d</w:t>
      </w:r>
      <w:r w:rsidR="00A1555B">
        <w:t>’</w:t>
      </w:r>
      <w:r w:rsidRPr="004179BE">
        <w:t xml:space="preserve">interprétations </w:t>
      </w:r>
      <w:r>
        <w:t>entre les différentes autorités d</w:t>
      </w:r>
      <w:r w:rsidR="00A1555B">
        <w:t>’</w:t>
      </w:r>
      <w:r>
        <w:t xml:space="preserve">homologation de </w:t>
      </w:r>
      <w:r w:rsidRPr="004179BE">
        <w:t xml:space="preserve">type, </w:t>
      </w:r>
      <w:r>
        <w:t>et donc de mettre les constructeurs sur un pied d</w:t>
      </w:r>
      <w:r w:rsidR="00A1555B">
        <w:t>’</w:t>
      </w:r>
      <w:r>
        <w:t>égalité</w:t>
      </w:r>
      <w:r w:rsidRPr="004179BE">
        <w:t xml:space="preserve">, </w:t>
      </w:r>
      <w:r>
        <w:t>particulièrement dans le cas des appels d</w:t>
      </w:r>
      <w:r w:rsidR="00A1555B">
        <w:t>’</w:t>
      </w:r>
      <w:r>
        <w:t>offres</w:t>
      </w:r>
      <w:r w:rsidRPr="004179BE">
        <w:t>.</w:t>
      </w:r>
    </w:p>
    <w:p w14:paraId="3CF9E8E5" w14:textId="4A0F8F5C" w:rsidR="00AA2F18" w:rsidRPr="004179BE" w:rsidRDefault="00AA2F18" w:rsidP="00E526DB">
      <w:pPr>
        <w:pStyle w:val="SingleTxtG"/>
      </w:pPr>
      <w:r w:rsidRPr="004179BE">
        <w:t>7.</w:t>
      </w:r>
      <w:r w:rsidRPr="004179BE">
        <w:tab/>
      </w:r>
      <w:r>
        <w:t>La</w:t>
      </w:r>
      <w:r w:rsidRPr="004179BE">
        <w:t xml:space="preserve"> modification </w:t>
      </w:r>
      <w:r>
        <w:t>proposée n</w:t>
      </w:r>
      <w:r w:rsidR="00A1555B">
        <w:t>’</w:t>
      </w:r>
      <w:r>
        <w:t>entraînera aucune modification technique pour les constructeurs qui ne sont pas intéressés par l</w:t>
      </w:r>
      <w:r w:rsidR="00A1555B">
        <w:t>’</w:t>
      </w:r>
      <w:r>
        <w:t>homologation</w:t>
      </w:r>
      <w:r w:rsidRPr="004179BE">
        <w:t xml:space="preserve"> </w:t>
      </w:r>
      <w:r>
        <w:t>d</w:t>
      </w:r>
      <w:r w:rsidR="00A1555B">
        <w:t>’</w:t>
      </w:r>
      <w:r>
        <w:t>autobus de la classe </w:t>
      </w:r>
      <w:r w:rsidRPr="004179BE">
        <w:t>I.</w:t>
      </w:r>
    </w:p>
    <w:p w14:paraId="5A6863E5" w14:textId="7CE43271" w:rsidR="00AA2F18" w:rsidRPr="004179BE" w:rsidRDefault="00AA2F18" w:rsidP="00956518">
      <w:pPr>
        <w:pStyle w:val="SingleTxtG"/>
        <w:keepNext/>
      </w:pPr>
      <w:r w:rsidRPr="004179BE">
        <w:lastRenderedPageBreak/>
        <w:t>8.</w:t>
      </w:r>
      <w:r w:rsidRPr="004179BE">
        <w:tab/>
        <w:t>Partie II : L</w:t>
      </w:r>
      <w:r w:rsidR="00A1555B">
        <w:t>’</w:t>
      </w:r>
      <w:r w:rsidRPr="004179BE">
        <w:t>exemption applicable aux pièces composées d</w:t>
      </w:r>
      <w:r w:rsidR="00A1555B">
        <w:t>’</w:t>
      </w:r>
      <w:r w:rsidRPr="004179BE">
        <w:t>éléments métalliques ou en verre s</w:t>
      </w:r>
      <w:r w:rsidR="00A1555B">
        <w:t>’</w:t>
      </w:r>
      <w:r w:rsidRPr="004179BE">
        <w:t>explique par le fait que les essais effectués conformément aux annexes</w:t>
      </w:r>
      <w:r w:rsidR="00956518">
        <w:t> </w:t>
      </w:r>
      <w:r w:rsidRPr="004179BE">
        <w:t>6 à 8 du Règlement ONU n</w:t>
      </w:r>
      <w:r w:rsidRPr="00501E61">
        <w:rPr>
          <w:vertAlign w:val="superscript"/>
        </w:rPr>
        <w:t>o</w:t>
      </w:r>
      <w:r>
        <w:t> </w:t>
      </w:r>
      <w:r w:rsidRPr="004179BE">
        <w:t>118 n</w:t>
      </w:r>
      <w:r w:rsidR="00A1555B">
        <w:t>’</w:t>
      </w:r>
      <w:r w:rsidRPr="004179BE">
        <w:t>ont pas d</w:t>
      </w:r>
      <w:r w:rsidR="00A1555B">
        <w:t>’</w:t>
      </w:r>
      <w:r w:rsidRPr="004179BE">
        <w:t>effet sur ces matériaux</w:t>
      </w:r>
      <w:r>
        <w:t> :</w:t>
      </w:r>
    </w:p>
    <w:p w14:paraId="71CD25B3" w14:textId="56C7E3F7" w:rsidR="00AA2F18" w:rsidRPr="004179BE" w:rsidRDefault="00AA2F18" w:rsidP="00956518">
      <w:pPr>
        <w:pStyle w:val="SingleTxtG"/>
        <w:keepNext/>
        <w:ind w:firstLine="567"/>
      </w:pPr>
      <w:r w:rsidRPr="004179BE">
        <w:t>a)</w:t>
      </w:r>
      <w:r w:rsidRPr="004179BE">
        <w:tab/>
        <w:t>Annexe 6</w:t>
      </w:r>
      <w:r w:rsidR="00942DDA">
        <w:t> </w:t>
      </w:r>
      <w:r w:rsidRPr="004179BE">
        <w:t>: Essai visant à déterminer la vitesse de combustion horizontale des matériaux</w:t>
      </w:r>
      <w:r>
        <w:t> ;</w:t>
      </w:r>
    </w:p>
    <w:p w14:paraId="662C383D" w14:textId="7776411C" w:rsidR="00AA2F18" w:rsidRPr="004179BE" w:rsidRDefault="00AA2F18" w:rsidP="00E526DB">
      <w:pPr>
        <w:pStyle w:val="SingleTxtG"/>
        <w:ind w:firstLine="567"/>
      </w:pPr>
      <w:r w:rsidRPr="004179BE">
        <w:t>b)</w:t>
      </w:r>
      <w:r w:rsidRPr="004179BE">
        <w:tab/>
        <w:t>Annexe 7</w:t>
      </w:r>
      <w:r w:rsidR="00942DDA">
        <w:t> </w:t>
      </w:r>
      <w:r w:rsidRPr="004179BE">
        <w:t>: Essai visant à déterminer le comportement à la fusion des matériaux</w:t>
      </w:r>
      <w:r>
        <w:t> ;</w:t>
      </w:r>
    </w:p>
    <w:p w14:paraId="497671DF" w14:textId="77777777" w:rsidR="00AA2F18" w:rsidRPr="004179BE" w:rsidRDefault="00AA2F18" w:rsidP="00E526DB">
      <w:pPr>
        <w:pStyle w:val="SingleTxtG"/>
        <w:ind w:firstLine="567"/>
      </w:pPr>
      <w:r w:rsidRPr="004179BE">
        <w:t>c)</w:t>
      </w:r>
      <w:r w:rsidRPr="004179BE">
        <w:tab/>
        <w:t>Annexe 8 : Essai visant à déterminer la vitesse de combustion verticale des matériaux.</w:t>
      </w:r>
    </w:p>
    <w:p w14:paraId="5FFB5F90" w14:textId="6BBB3358" w:rsidR="00AA2F18" w:rsidRPr="004179BE" w:rsidRDefault="00AA2F18" w:rsidP="00E526DB">
      <w:pPr>
        <w:pStyle w:val="SingleTxtG"/>
      </w:pPr>
      <w:r w:rsidRPr="004179BE">
        <w:t>9.</w:t>
      </w:r>
      <w:r w:rsidRPr="004179BE">
        <w:tab/>
        <w:t xml:space="preserve">Les </w:t>
      </w:r>
      <w:r>
        <w:t>matières</w:t>
      </w:r>
      <w:r w:rsidRPr="004179BE">
        <w:t xml:space="preserve"> plastiques </w:t>
      </w:r>
      <w:r>
        <w:t>entrant</w:t>
      </w:r>
      <w:r w:rsidRPr="004179BE">
        <w:t xml:space="preserve"> dans la composition de nombreux éléments </w:t>
      </w:r>
      <w:r>
        <w:t>internes</w:t>
      </w:r>
      <w:r w:rsidRPr="004179BE">
        <w:t xml:space="preserve"> des véhicules </w:t>
      </w:r>
      <w:r>
        <w:t>n</w:t>
      </w:r>
      <w:r w:rsidR="00A1555B">
        <w:t>’</w:t>
      </w:r>
      <w:r>
        <w:t xml:space="preserve">ont pas ces propriétés </w:t>
      </w:r>
      <w:r w:rsidRPr="004179BE">
        <w:t>(</w:t>
      </w:r>
      <w:r>
        <w:t xml:space="preserve">de </w:t>
      </w:r>
      <w:r w:rsidRPr="004179BE">
        <w:t>résistance au feu). Par conséquent, l</w:t>
      </w:r>
      <w:r w:rsidR="00A1555B">
        <w:t>’</w:t>
      </w:r>
      <w:r w:rsidRPr="004179BE">
        <w:t>exemption énoncée au paragraphe 6.2.8 ne devrait pas s</w:t>
      </w:r>
      <w:r w:rsidR="00A1555B">
        <w:t>’</w:t>
      </w:r>
      <w:r w:rsidRPr="004179BE">
        <w:t>appliquer aux pièces faites de vitrage en plastique, qui devraient donc être soumises aux essais.</w:t>
      </w:r>
    </w:p>
    <w:p w14:paraId="498DF233" w14:textId="2718E558" w:rsidR="00AA2F18" w:rsidRPr="004179BE" w:rsidRDefault="00AA2F18" w:rsidP="00E526DB">
      <w:pPr>
        <w:pStyle w:val="SingleTxtG"/>
      </w:pPr>
      <w:r w:rsidRPr="004179BE">
        <w:t>10.</w:t>
      </w:r>
      <w:r w:rsidRPr="004179BE">
        <w:tab/>
        <w:t xml:space="preserve">Il est proposé </w:t>
      </w:r>
      <w:r>
        <w:t>de</w:t>
      </w:r>
      <w:r w:rsidRPr="004179BE">
        <w:t xml:space="preserve"> précis</w:t>
      </w:r>
      <w:r w:rsidR="00956518">
        <w:t>er</w:t>
      </w:r>
      <w:r w:rsidRPr="004179BE">
        <w:t xml:space="preserve"> </w:t>
      </w:r>
      <w:r>
        <w:t xml:space="preserve">cela </w:t>
      </w:r>
      <w:r w:rsidRPr="004179BE">
        <w:t>dans le Règlement ONU n</w:t>
      </w:r>
      <w:r w:rsidRPr="00192BCE">
        <w:rPr>
          <w:vertAlign w:val="superscript"/>
        </w:rPr>
        <w:t>o</w:t>
      </w:r>
      <w:r>
        <w:t> </w:t>
      </w:r>
      <w:r w:rsidRPr="004179BE">
        <w:t>118 afin d</w:t>
      </w:r>
      <w:r w:rsidR="00A1555B">
        <w:t>’</w:t>
      </w:r>
      <w:r w:rsidRPr="004179BE">
        <w:t>éviter toute interprétation erronée pouvant donner lieu à des exemptions</w:t>
      </w:r>
      <w:r>
        <w:t xml:space="preserve"> </w:t>
      </w:r>
      <w:r w:rsidRPr="00CB5D0C">
        <w:t>et donc créer un risque en matière de</w:t>
      </w:r>
      <w:r w:rsidRPr="004179BE">
        <w:t xml:space="preserve"> sécurité.</w:t>
      </w:r>
    </w:p>
    <w:p w14:paraId="3CD07A31" w14:textId="35E28FCF" w:rsidR="00F9573C" w:rsidRDefault="00AA2F18" w:rsidP="00E526DB">
      <w:pPr>
        <w:pStyle w:val="SingleTxtG"/>
      </w:pPr>
      <w:r w:rsidRPr="004179BE">
        <w:t>11.</w:t>
      </w:r>
      <w:r w:rsidRPr="004179BE">
        <w:tab/>
        <w:t>Il est également proposé d</w:t>
      </w:r>
      <w:r w:rsidR="00A1555B">
        <w:t>’</w:t>
      </w:r>
      <w:r w:rsidRPr="004179BE">
        <w:t>ajouter, dans la deuxième partie du Règlement ONU n</w:t>
      </w:r>
      <w:r w:rsidRPr="00192BCE">
        <w:rPr>
          <w:vertAlign w:val="superscript"/>
        </w:rPr>
        <w:t>o</w:t>
      </w:r>
      <w:r>
        <w:t> </w:t>
      </w:r>
      <w:r w:rsidRPr="004179BE">
        <w:t>118, la définition du vitrage en plastique qui figure dans le Règlement ONU n</w:t>
      </w:r>
      <w:r w:rsidRPr="00192BCE">
        <w:rPr>
          <w:vertAlign w:val="superscript"/>
        </w:rPr>
        <w:t>o</w:t>
      </w:r>
      <w:r>
        <w:t> </w:t>
      </w:r>
      <w:r w:rsidRPr="004179BE">
        <w:t>43, afin de définir précisément les matériaux qui ne sont pas visés par le paragraphe 6.2.8.</w:t>
      </w:r>
    </w:p>
    <w:p w14:paraId="0A4F6D62" w14:textId="12178DA0" w:rsidR="00E62341" w:rsidRPr="00E62341" w:rsidRDefault="00E62341" w:rsidP="00E62341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62341" w:rsidRPr="00E62341" w:rsidSect="00AA2F1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D2510" w14:textId="77777777" w:rsidR="00FB1FDD" w:rsidRDefault="00FB1FDD" w:rsidP="00F95C08">
      <w:pPr>
        <w:spacing w:line="240" w:lineRule="auto"/>
      </w:pPr>
    </w:p>
  </w:endnote>
  <w:endnote w:type="continuationSeparator" w:id="0">
    <w:p w14:paraId="325742D7" w14:textId="77777777" w:rsidR="00FB1FDD" w:rsidRPr="00AC3823" w:rsidRDefault="00FB1FDD" w:rsidP="00AC3823">
      <w:pPr>
        <w:pStyle w:val="Pieddepage"/>
      </w:pPr>
    </w:p>
  </w:endnote>
  <w:endnote w:type="continuationNotice" w:id="1">
    <w:p w14:paraId="57C0FDB6" w14:textId="77777777" w:rsidR="00FB1FDD" w:rsidRDefault="00FB1FD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0207B" w14:textId="2821EAEB" w:rsidR="00AA2F18" w:rsidRPr="00AA2F18" w:rsidRDefault="00AA2F18" w:rsidP="00AA2F18">
    <w:pPr>
      <w:pStyle w:val="Pieddepage"/>
      <w:tabs>
        <w:tab w:val="right" w:pos="9638"/>
      </w:tabs>
    </w:pPr>
    <w:r w:rsidRPr="00AA2F18">
      <w:rPr>
        <w:b/>
        <w:sz w:val="18"/>
      </w:rPr>
      <w:fldChar w:fldCharType="begin"/>
    </w:r>
    <w:r w:rsidRPr="00AA2F18">
      <w:rPr>
        <w:b/>
        <w:sz w:val="18"/>
      </w:rPr>
      <w:instrText xml:space="preserve"> PAGE  \* MERGEFORMAT </w:instrText>
    </w:r>
    <w:r w:rsidRPr="00AA2F18">
      <w:rPr>
        <w:b/>
        <w:sz w:val="18"/>
      </w:rPr>
      <w:fldChar w:fldCharType="separate"/>
    </w:r>
    <w:r w:rsidRPr="00AA2F18">
      <w:rPr>
        <w:b/>
        <w:noProof/>
        <w:sz w:val="18"/>
      </w:rPr>
      <w:t>2</w:t>
    </w:r>
    <w:r w:rsidRPr="00AA2F18">
      <w:rPr>
        <w:b/>
        <w:sz w:val="18"/>
      </w:rPr>
      <w:fldChar w:fldCharType="end"/>
    </w:r>
    <w:r>
      <w:rPr>
        <w:b/>
        <w:sz w:val="18"/>
      </w:rPr>
      <w:tab/>
    </w:r>
    <w:r>
      <w:t>GE.22-00335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5F495" w14:textId="522FD7CF" w:rsidR="00AA2F18" w:rsidRPr="00AA2F18" w:rsidRDefault="00AA2F18" w:rsidP="00AA2F18">
    <w:pPr>
      <w:pStyle w:val="Pieddepage"/>
      <w:tabs>
        <w:tab w:val="right" w:pos="9638"/>
      </w:tabs>
      <w:rPr>
        <w:b/>
        <w:sz w:val="18"/>
      </w:rPr>
    </w:pPr>
    <w:r>
      <w:t>GE.22-00335</w:t>
    </w:r>
    <w:r>
      <w:tab/>
    </w:r>
    <w:r w:rsidRPr="00AA2F18">
      <w:rPr>
        <w:b/>
        <w:sz w:val="18"/>
      </w:rPr>
      <w:fldChar w:fldCharType="begin"/>
    </w:r>
    <w:r w:rsidRPr="00AA2F18">
      <w:rPr>
        <w:b/>
        <w:sz w:val="18"/>
      </w:rPr>
      <w:instrText xml:space="preserve"> PAGE  \* MERGEFORMAT </w:instrText>
    </w:r>
    <w:r w:rsidRPr="00AA2F18">
      <w:rPr>
        <w:b/>
        <w:sz w:val="18"/>
      </w:rPr>
      <w:fldChar w:fldCharType="separate"/>
    </w:r>
    <w:r w:rsidRPr="00AA2F18">
      <w:rPr>
        <w:b/>
        <w:noProof/>
        <w:sz w:val="18"/>
      </w:rPr>
      <w:t>3</w:t>
    </w:r>
    <w:r w:rsidRPr="00AA2F1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8E6DA" w14:textId="3046D788" w:rsidR="007F20FA" w:rsidRPr="00AA2F18" w:rsidRDefault="00AA2F18" w:rsidP="00AA2F18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474821C3" wp14:editId="5162B24F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22-00335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529A1FAB" wp14:editId="7A80B2F9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2DDA">
      <w:rPr>
        <w:sz w:val="20"/>
      </w:rPr>
      <w:t xml:space="preserve">    070222    070222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C0230" w14:textId="77777777" w:rsidR="00FB1FDD" w:rsidRPr="00AC3823" w:rsidRDefault="00FB1FDD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DD9A3F4" w14:textId="77777777" w:rsidR="00FB1FDD" w:rsidRPr="00AC3823" w:rsidRDefault="00FB1FDD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90A1FC2" w14:textId="77777777" w:rsidR="00FB1FDD" w:rsidRPr="00AC3823" w:rsidRDefault="00FB1FDD">
      <w:pPr>
        <w:spacing w:line="240" w:lineRule="auto"/>
        <w:rPr>
          <w:sz w:val="2"/>
          <w:szCs w:val="2"/>
        </w:rPr>
      </w:pPr>
    </w:p>
  </w:footnote>
  <w:footnote w:id="2">
    <w:p w14:paraId="19A1D6D6" w14:textId="32F8683F" w:rsidR="00AA2F18" w:rsidRPr="00AA2F18" w:rsidRDefault="00AA2F18">
      <w:pPr>
        <w:pStyle w:val="Notedebasdepage"/>
      </w:pPr>
      <w:r>
        <w:rPr>
          <w:rStyle w:val="Appelnotedebasdep"/>
        </w:rPr>
        <w:tab/>
      </w:r>
      <w:r w:rsidRPr="00AA2F18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Conformément au programme de travail du Comité des transports intérieurs pour 2022 tel qu’il figure dans le projet de budget-programme pour 2022 (A/76/6 (Sect. 20), par. 20.76),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4E077" w14:textId="7F827CB3" w:rsidR="00AA2F18" w:rsidRPr="00AA2F18" w:rsidRDefault="00AA2F18">
    <w:pPr>
      <w:pStyle w:val="En-tte"/>
    </w:pPr>
    <w:fldSimple w:instr=" TITLE  \* MERGEFORMAT ">
      <w:r w:rsidR="00897139">
        <w:t>ECE/TRANS/WP.29/GRSG/2022/2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249F6" w14:textId="55C27014" w:rsidR="00AA2F18" w:rsidRPr="00AA2F18" w:rsidRDefault="00AA2F18" w:rsidP="00AA2F18">
    <w:pPr>
      <w:pStyle w:val="En-tte"/>
      <w:jc w:val="right"/>
    </w:pPr>
    <w:fldSimple w:instr=" TITLE  \* MERGEFORMAT ">
      <w:r w:rsidR="00897139">
        <w:t>ECE/TRANS/WP.29/GRSG/2022/2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FDD"/>
    <w:rsid w:val="00007D66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61BC8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897139"/>
    <w:rsid w:val="008D5EF9"/>
    <w:rsid w:val="00942DDA"/>
    <w:rsid w:val="009446C0"/>
    <w:rsid w:val="00956518"/>
    <w:rsid w:val="009705C8"/>
    <w:rsid w:val="009C1CF4"/>
    <w:rsid w:val="009F6B74"/>
    <w:rsid w:val="00A1555B"/>
    <w:rsid w:val="00A3029F"/>
    <w:rsid w:val="00A30353"/>
    <w:rsid w:val="00AA2F18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D3439C"/>
    <w:rsid w:val="00D7622E"/>
    <w:rsid w:val="00DB1831"/>
    <w:rsid w:val="00DD3BFD"/>
    <w:rsid w:val="00DF6678"/>
    <w:rsid w:val="00E0299A"/>
    <w:rsid w:val="00E526DB"/>
    <w:rsid w:val="00E62341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  <w:rsid w:val="00FB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F5C448C"/>
  <w15:docId w15:val="{CCA6F52D-3246-45E8-BC77-0D669594F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,5_GR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,5_GR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</TotalTime>
  <Pages>3</Pages>
  <Words>744</Words>
  <Characters>5215</Characters>
  <Application>Microsoft Office Word</Application>
  <DocSecurity>0</DocSecurity>
  <Lines>434</Lines>
  <Paragraphs>238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ECE/TRANS/WP.29/GRSG/2022/2</vt:lpstr>
    </vt:vector>
  </TitlesOfParts>
  <Company>DCM</Company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ECE/TRANS/WP.29/GRSG/2022/2</dc:title>
  <dc:subject/>
  <dc:creator>Julien OKRZESIK</dc:creator>
  <cp:keywords/>
  <cp:lastModifiedBy>Julien Okrzesik</cp:lastModifiedBy>
  <cp:revision>3</cp:revision>
  <cp:lastPrinted>2022-02-07T08:53:00Z</cp:lastPrinted>
  <dcterms:created xsi:type="dcterms:W3CDTF">2022-02-07T08:53:00Z</dcterms:created>
  <dcterms:modified xsi:type="dcterms:W3CDTF">2022-02-07T08:53:00Z</dcterms:modified>
</cp:coreProperties>
</file>