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26A42809" w:rsidR="00BF25AD" w:rsidRPr="00AB7095" w:rsidRDefault="000323D3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0323D3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.20</w:t>
            </w:r>
          </w:p>
        </w:tc>
      </w:tr>
      <w:tr w:rsidR="00BF25AD" w14:paraId="3055F141" w14:textId="77777777" w:rsidTr="002319FD">
        <w:trPr>
          <w:cantSplit/>
          <w:trHeight w:hRule="exact" w:val="3840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500F686A" w14:textId="77777777" w:rsidR="00552545" w:rsidRDefault="00552545" w:rsidP="00552545">
            <w:r>
              <w:t>Item 5 (b) of the provisional agenda</w:t>
            </w:r>
          </w:p>
          <w:p w14:paraId="7A25829F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Proposals for amendments to the Regulations annexed to A</w:t>
            </w:r>
            <w:r>
              <w:rPr>
                <w:b/>
                <w:bCs/>
              </w:rPr>
              <w:t>DN</w:t>
            </w:r>
            <w:r w:rsidRPr="006C6006">
              <w:rPr>
                <w:b/>
                <w:bCs/>
              </w:rPr>
              <w:t>:</w:t>
            </w:r>
          </w:p>
          <w:p w14:paraId="0C10FEFB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other proposals</w:t>
            </w:r>
          </w:p>
          <w:p w14:paraId="7361D18A" w14:textId="0EB1ACD1" w:rsidR="006B79B3" w:rsidRPr="001945E9" w:rsidRDefault="006B79B3" w:rsidP="001713A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0C74FD8C" w:rsidR="00BF25AD" w:rsidRDefault="004A1D30" w:rsidP="00AB7095">
            <w:pPr>
              <w:spacing w:before="240" w:line="240" w:lineRule="exact"/>
            </w:pPr>
            <w:r>
              <w:t>21</w:t>
            </w:r>
            <w:r w:rsidR="00BF25AD">
              <w:t xml:space="preserve"> January 2022</w:t>
            </w:r>
          </w:p>
          <w:p w14:paraId="7E541A62" w14:textId="77777777" w:rsidR="00355F5B" w:rsidRDefault="00355F5B" w:rsidP="00AB7095">
            <w:pPr>
              <w:spacing w:before="240" w:line="240" w:lineRule="exact"/>
            </w:pP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3F185881" w14:textId="55C5323C" w:rsidR="002736E2" w:rsidRPr="00A71547" w:rsidRDefault="002319FD" w:rsidP="002736E2">
      <w:pPr>
        <w:pStyle w:val="HChG"/>
        <w:ind w:right="567"/>
        <w:rPr>
          <w:szCs w:val="28"/>
        </w:rPr>
      </w:pPr>
      <w:r>
        <w:rPr>
          <w:bCs/>
          <w:szCs w:val="28"/>
          <w:lang w:val="en-US"/>
        </w:rPr>
        <w:tab/>
      </w:r>
      <w:r>
        <w:rPr>
          <w:bCs/>
          <w:szCs w:val="28"/>
          <w:lang w:val="en-US"/>
        </w:rPr>
        <w:tab/>
      </w:r>
      <w:r w:rsidR="002736E2" w:rsidRPr="00A71547">
        <w:rPr>
          <w:bCs/>
          <w:szCs w:val="28"/>
          <w:lang w:val="en-US"/>
        </w:rPr>
        <w:t>Dangerous goods which are not detectable with a toximeter</w:t>
      </w:r>
    </w:p>
    <w:p w14:paraId="240822BC" w14:textId="77777777" w:rsidR="002736E2" w:rsidRPr="00F63DC3" w:rsidRDefault="002736E2" w:rsidP="002319FD">
      <w:pPr>
        <w:pStyle w:val="H1G"/>
        <w:rPr>
          <w:bCs/>
          <w:lang w:val="en-US"/>
        </w:rPr>
      </w:pPr>
      <w:bookmarkStart w:id="0" w:name="OLE_LINK1"/>
      <w:r>
        <w:rPr>
          <w:lang w:val="en-US"/>
        </w:rPr>
        <w:tab/>
      </w:r>
      <w:r>
        <w:rPr>
          <w:lang w:val="en-US"/>
        </w:rPr>
        <w:tab/>
      </w:r>
      <w:r w:rsidRPr="00F63DC3">
        <w:rPr>
          <w:lang w:val="en-US"/>
        </w:rPr>
        <w:t>Submitted by the European Chemical Industry Council (CEFIC)</w:t>
      </w:r>
      <w:r>
        <w:rPr>
          <w:lang w:val="en-US"/>
        </w:rPr>
        <w:t>,</w:t>
      </w:r>
      <w:r w:rsidRPr="00F63DC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63DC3">
        <w:t>European Barge Union (EBU) and the European Skippers Organisation (ESO)</w:t>
      </w:r>
    </w:p>
    <w:p w14:paraId="67293FEA" w14:textId="061535B7" w:rsidR="002736E2" w:rsidRPr="006A40DA" w:rsidRDefault="002319FD" w:rsidP="002319FD">
      <w:pPr>
        <w:pStyle w:val="SingleTxtG"/>
        <w:rPr>
          <w:lang w:val="en-US"/>
        </w:rPr>
      </w:pPr>
      <w:r w:rsidRPr="002319FD">
        <w:rPr>
          <w:lang w:val="en-US"/>
        </w:rPr>
        <w:t>1.</w:t>
      </w:r>
      <w:r>
        <w:rPr>
          <w:lang w:val="en-US"/>
        </w:rPr>
        <w:tab/>
      </w:r>
      <w:r w:rsidR="002736E2" w:rsidRPr="006A40DA">
        <w:rPr>
          <w:lang w:val="en-US"/>
        </w:rPr>
        <w:t>Referring to INF-Document 14 from EBU / ESO of 17 January 2020 and Working Document 2020/31 of 29 May 2020 we would like to draw attention to the following.</w:t>
      </w:r>
    </w:p>
    <w:p w14:paraId="1022025F" w14:textId="09EADCBF" w:rsidR="002736E2" w:rsidRPr="00F16840" w:rsidRDefault="002319FD" w:rsidP="002319F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36E2" w:rsidRPr="00F16840">
        <w:rPr>
          <w:lang w:val="en-US"/>
        </w:rPr>
        <w:t>Introduction</w:t>
      </w:r>
    </w:p>
    <w:p w14:paraId="03C1BD19" w14:textId="77777777" w:rsidR="002736E2" w:rsidRPr="00F63DC3" w:rsidRDefault="002736E2" w:rsidP="002319FD">
      <w:pPr>
        <w:pStyle w:val="Bullet1G"/>
        <w:rPr>
          <w:lang w:val="en-US"/>
        </w:rPr>
      </w:pPr>
      <w:r w:rsidRPr="00F63DC3">
        <w:rPr>
          <w:lang w:val="en-US"/>
        </w:rPr>
        <w:t>Some transports of dangerous goods require a toximeter, but cannot be measured with a toximeter</w:t>
      </w:r>
    </w:p>
    <w:p w14:paraId="3A801F9B" w14:textId="77777777" w:rsidR="002736E2" w:rsidRPr="00F63DC3" w:rsidRDefault="002736E2" w:rsidP="002319FD">
      <w:pPr>
        <w:pStyle w:val="Bullet1G"/>
        <w:rPr>
          <w:lang w:val="en-US"/>
        </w:rPr>
      </w:pPr>
      <w:r w:rsidRPr="00F63DC3">
        <w:rPr>
          <w:lang w:val="en-US"/>
        </w:rPr>
        <w:t>An example is TiCl4, for which some alternative solutions could be found</w:t>
      </w:r>
    </w:p>
    <w:p w14:paraId="604947A3" w14:textId="421CE73E" w:rsidR="002736E2" w:rsidRPr="00DC1CB1" w:rsidRDefault="002736E2" w:rsidP="002319FD">
      <w:pPr>
        <w:pStyle w:val="Bullet1G"/>
        <w:rPr>
          <w:lang w:val="en-US"/>
        </w:rPr>
      </w:pPr>
      <w:r w:rsidRPr="00F63DC3">
        <w:rPr>
          <w:lang w:val="en-US"/>
        </w:rPr>
        <w:t xml:space="preserve">Cefic and EBU/ESO request the ADN </w:t>
      </w:r>
      <w:r w:rsidR="00C45C2C">
        <w:rPr>
          <w:lang w:val="en-US"/>
        </w:rPr>
        <w:t>S</w:t>
      </w:r>
      <w:r w:rsidR="00C45C2C" w:rsidRPr="00F63DC3">
        <w:rPr>
          <w:lang w:val="en-US"/>
        </w:rPr>
        <w:t xml:space="preserve">afety </w:t>
      </w:r>
      <w:r w:rsidR="00C45C2C">
        <w:rPr>
          <w:lang w:val="en-US"/>
        </w:rPr>
        <w:t>C</w:t>
      </w:r>
      <w:r w:rsidR="00C45C2C" w:rsidRPr="00F63DC3">
        <w:rPr>
          <w:lang w:val="en-US"/>
        </w:rPr>
        <w:t xml:space="preserve">ommittee </w:t>
      </w:r>
      <w:r w:rsidRPr="00F63DC3">
        <w:rPr>
          <w:lang w:val="en-US"/>
        </w:rPr>
        <w:t>to mandate the informal working group substance to investigate and propose solutions for dangerous goods which cannot be measured with a toximeter.</w:t>
      </w:r>
    </w:p>
    <w:bookmarkEnd w:id="0"/>
    <w:p w14:paraId="764E193E" w14:textId="6EED7DF3" w:rsidR="002736E2" w:rsidRPr="00F16840" w:rsidRDefault="00BB3728" w:rsidP="00BB3728">
      <w:pPr>
        <w:pStyle w:val="SingleTxtG"/>
        <w:rPr>
          <w:b/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2736E2" w:rsidRPr="00F16840">
        <w:rPr>
          <w:lang w:val="en-US"/>
        </w:rPr>
        <w:t xml:space="preserve">Dangerous goods for which a toximeter is required in ADN 3.2.1 Table A column 9 and 3.2.3 </w:t>
      </w:r>
      <w:r w:rsidR="00C45C2C" w:rsidRPr="00F16840">
        <w:rPr>
          <w:lang w:val="en-US"/>
        </w:rPr>
        <w:t xml:space="preserve">ADN </w:t>
      </w:r>
      <w:r w:rsidR="002736E2" w:rsidRPr="00F16840">
        <w:rPr>
          <w:lang w:val="en-US"/>
        </w:rPr>
        <w:t>Table C column 18, but which cannot be measured with a toximeter, may not be transported by inland waterway.</w:t>
      </w:r>
    </w:p>
    <w:p w14:paraId="754EC584" w14:textId="5D55331C" w:rsidR="002736E2" w:rsidRDefault="00BB3728" w:rsidP="00BB3728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2736E2" w:rsidRPr="006A40DA">
        <w:rPr>
          <w:lang w:val="en-US"/>
        </w:rPr>
        <w:t xml:space="preserve">It should be noted that, for these reasons, a “reverse modal shift” has taken place. Transports carried out in the past by barges, will again take place by road (from water to road). </w:t>
      </w:r>
      <w:r w:rsidR="002736E2">
        <w:rPr>
          <w:lang w:val="en-US"/>
        </w:rPr>
        <w:t>T</w:t>
      </w:r>
      <w:r w:rsidR="002736E2" w:rsidRPr="006A40DA">
        <w:rPr>
          <w:lang w:val="en-US"/>
        </w:rPr>
        <w:t xml:space="preserve">his is not in line with the </w:t>
      </w:r>
      <w:r w:rsidR="002736E2">
        <w:rPr>
          <w:lang w:val="en-US"/>
        </w:rPr>
        <w:t xml:space="preserve">EU ambitions for modal shift from road to rail and inland waterways.  </w:t>
      </w:r>
    </w:p>
    <w:p w14:paraId="10F2457C" w14:textId="32923FEF" w:rsidR="002736E2" w:rsidRDefault="00BB3728" w:rsidP="00BB3728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2736E2" w:rsidRPr="006A40DA">
        <w:rPr>
          <w:lang w:val="en-US"/>
        </w:rPr>
        <w:t>This problem could be solved by extending the requirements of the ADN so that a substance must not only be measured directly, but also the determination of secondary products would be allowed with the help of measuring devices approved for the secondary products.</w:t>
      </w:r>
    </w:p>
    <w:p w14:paraId="39606B22" w14:textId="497A1BF6" w:rsidR="002736E2" w:rsidRPr="006A40DA" w:rsidRDefault="00BB3728" w:rsidP="00BB3728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2736E2" w:rsidRPr="006A40DA">
        <w:rPr>
          <w:lang w:val="en-US"/>
        </w:rPr>
        <w:t>A practical example is the transport of titanium tetrachloride TiCl4, which was transported in tank containers on barges, is now being moved again by road (about 8000 tons / year). No toximeters are required for road transport (ADR/RID).</w:t>
      </w:r>
    </w:p>
    <w:p w14:paraId="282FF964" w14:textId="362D06C0" w:rsidR="002736E2" w:rsidRPr="006A40DA" w:rsidRDefault="00BB3728" w:rsidP="00BB3728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2736E2" w:rsidRPr="006A40DA">
        <w:rPr>
          <w:lang w:val="en-US"/>
        </w:rPr>
        <w:t xml:space="preserve">This </w:t>
      </w:r>
      <w:proofErr w:type="gramStart"/>
      <w:r w:rsidR="002736E2" w:rsidRPr="006A40DA">
        <w:rPr>
          <w:lang w:val="en-US"/>
        </w:rPr>
        <w:t>particular product</w:t>
      </w:r>
      <w:proofErr w:type="gramEnd"/>
      <w:r w:rsidR="002736E2" w:rsidRPr="006A40DA">
        <w:rPr>
          <w:lang w:val="en-US"/>
        </w:rPr>
        <w:t xml:space="preserve"> cannot be measured with the toximeters required by ADN because no corresponding toximeter is available for this substance.</w:t>
      </w:r>
    </w:p>
    <w:p w14:paraId="556802CF" w14:textId="254F184B" w:rsidR="002736E2" w:rsidRPr="006A40DA" w:rsidRDefault="00BB3728" w:rsidP="00BB3728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2736E2" w:rsidRPr="006A40DA">
        <w:rPr>
          <w:lang w:val="en-US"/>
        </w:rPr>
        <w:t>Since titanium tetrachloride hydrolyzes in the presence of water (humidity) and forms hydrogen chloride, a detection of titanium tetrachloride is possible indirectly via the hydrogen chloride formed by using a measuring device that detects HCl.</w:t>
      </w:r>
    </w:p>
    <w:p w14:paraId="6ADB9C53" w14:textId="77777777" w:rsidR="002736E2" w:rsidRPr="005D74E4" w:rsidRDefault="002736E2" w:rsidP="006D283D">
      <w:pPr>
        <w:pStyle w:val="SingleTxtG"/>
        <w:rPr>
          <w:rFonts w:ascii="Calibri" w:hAnsi="Calibri" w:cs="Calibri"/>
          <w:lang w:val="en-US"/>
        </w:rPr>
      </w:pPr>
      <w:r w:rsidRPr="005D74E4">
        <w:rPr>
          <w:szCs w:val="24"/>
          <w:lang w:val="en-US"/>
        </w:rPr>
        <w:lastRenderedPageBreak/>
        <w:t xml:space="preserve">Example: </w:t>
      </w:r>
      <w:r w:rsidRPr="005D74E4">
        <w:rPr>
          <w:szCs w:val="24"/>
          <w:lang w:val="en-US"/>
        </w:rPr>
        <w:tab/>
      </w:r>
      <w:r w:rsidRPr="005D74E4">
        <w:rPr>
          <w:lang w:val="en-US"/>
        </w:rPr>
        <w:t>TiCl4 (l) + 2 H2O (l) → TiO2 (s) + 4 HCl (aq)</w:t>
      </w:r>
    </w:p>
    <w:p w14:paraId="25584EFB" w14:textId="77777777" w:rsidR="002736E2" w:rsidRPr="005D74E4" w:rsidRDefault="002736E2" w:rsidP="006D283D">
      <w:pPr>
        <w:pStyle w:val="SingleTxtG"/>
        <w:rPr>
          <w:szCs w:val="24"/>
          <w:lang w:val="en-US"/>
        </w:rPr>
      </w:pPr>
      <w:r w:rsidRPr="005D74E4">
        <w:rPr>
          <w:szCs w:val="24"/>
          <w:lang w:val="en-US"/>
        </w:rPr>
        <w:t xml:space="preserve">Molar mass TiCl4 </w:t>
      </w:r>
      <w:r w:rsidRPr="005D74E4">
        <w:rPr>
          <w:szCs w:val="24"/>
          <w:lang w:val="en-US"/>
        </w:rPr>
        <w:tab/>
      </w:r>
      <w:r w:rsidRPr="005D74E4">
        <w:rPr>
          <w:szCs w:val="24"/>
          <w:lang w:val="en-US"/>
        </w:rPr>
        <w:tab/>
        <w:t>= 189,69 g/mol</w:t>
      </w:r>
    </w:p>
    <w:p w14:paraId="47DAA8FB" w14:textId="6B4DC8BD" w:rsidR="002736E2" w:rsidRPr="005D74E4" w:rsidRDefault="002736E2" w:rsidP="006D283D">
      <w:pPr>
        <w:pStyle w:val="SingleTxtG"/>
        <w:rPr>
          <w:szCs w:val="24"/>
          <w:lang w:val="en-US"/>
        </w:rPr>
      </w:pPr>
      <w:r w:rsidRPr="005D74E4">
        <w:rPr>
          <w:szCs w:val="24"/>
          <w:lang w:val="en-US"/>
        </w:rPr>
        <w:tab/>
        <w:t xml:space="preserve">Molar mass HCl </w:t>
      </w:r>
      <w:r w:rsidRPr="005D74E4">
        <w:rPr>
          <w:szCs w:val="24"/>
          <w:lang w:val="en-US"/>
        </w:rPr>
        <w:tab/>
      </w:r>
      <w:r w:rsidRPr="005D74E4">
        <w:rPr>
          <w:szCs w:val="24"/>
          <w:lang w:val="en-US"/>
        </w:rPr>
        <w:tab/>
        <w:t>= 36.46 g/mol</w:t>
      </w:r>
    </w:p>
    <w:p w14:paraId="2A918F0F" w14:textId="221AE9EE" w:rsidR="002736E2" w:rsidRPr="005D74E4" w:rsidRDefault="002736E2" w:rsidP="006D283D">
      <w:pPr>
        <w:pStyle w:val="SingleTxtG"/>
        <w:rPr>
          <w:szCs w:val="24"/>
          <w:lang w:val="en-US"/>
        </w:rPr>
      </w:pPr>
      <w:r w:rsidRPr="005D74E4">
        <w:rPr>
          <w:szCs w:val="24"/>
          <w:lang w:val="en-US"/>
        </w:rPr>
        <w:tab/>
      </w:r>
      <w:r w:rsidRPr="005D74E4">
        <w:rPr>
          <w:szCs w:val="24"/>
          <w:lang w:val="nl-BE"/>
        </w:rPr>
        <w:t>Measured 50ppm HCl</w:t>
      </w:r>
      <w:r w:rsidRPr="005D74E4">
        <w:rPr>
          <w:szCs w:val="24"/>
          <w:lang w:val="nl-BE"/>
        </w:rPr>
        <w:tab/>
        <w:t>= 50 x 189,</w:t>
      </w:r>
      <w:proofErr w:type="gramStart"/>
      <w:r w:rsidRPr="005D74E4">
        <w:rPr>
          <w:szCs w:val="24"/>
          <w:lang w:val="nl-BE"/>
        </w:rPr>
        <w:t>69 /</w:t>
      </w:r>
      <w:proofErr w:type="gramEnd"/>
      <w:r w:rsidRPr="005D74E4">
        <w:rPr>
          <w:szCs w:val="24"/>
          <w:lang w:val="nl-BE"/>
        </w:rPr>
        <w:t xml:space="preserve"> 36.46 = 260ppm TiCl4</w:t>
      </w:r>
    </w:p>
    <w:p w14:paraId="3F2F3B30" w14:textId="26EE2848" w:rsidR="002736E2" w:rsidRPr="00E4142F" w:rsidRDefault="005D74E4" w:rsidP="00E4142F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2736E2" w:rsidRPr="006A40DA">
        <w:rPr>
          <w:lang w:val="en-US"/>
        </w:rPr>
        <w:t>This would be an actionable solution for detecting leaks and the presence of a hazardous concentration of the leaking substance.</w:t>
      </w:r>
    </w:p>
    <w:p w14:paraId="696C758F" w14:textId="5117E2D6" w:rsidR="002736E2" w:rsidRPr="008F100E" w:rsidRDefault="005D74E4" w:rsidP="00E4142F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2736E2" w:rsidRPr="006A40DA">
        <w:rPr>
          <w:lang w:val="en-US"/>
        </w:rPr>
        <w:t>The measurement of the secondary product could be used as a possible solution for the products listed below (see table). We would like to ask the informal working group "Substances" to examine the implementation of this idea.</w:t>
      </w:r>
    </w:p>
    <w:p w14:paraId="34B3F0E3" w14:textId="354CF654" w:rsidR="002736E2" w:rsidRDefault="00E4142F" w:rsidP="00E4142F">
      <w:pPr>
        <w:pStyle w:val="HChG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lang w:val="en-US" w:eastAsia="zh-CN"/>
        </w:rPr>
        <w:tab/>
      </w:r>
      <w:r w:rsidR="002736E2" w:rsidRPr="00F16840">
        <w:rPr>
          <w:rFonts w:eastAsia="SimSun"/>
          <w:lang w:val="en-US" w:eastAsia="zh-CN"/>
        </w:rPr>
        <w:t>Proposal</w:t>
      </w:r>
    </w:p>
    <w:p w14:paraId="762D0071" w14:textId="6B0C9861" w:rsidR="002736E2" w:rsidRPr="00F16840" w:rsidRDefault="00E4142F" w:rsidP="00E4142F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36E2" w:rsidRPr="00F16840">
        <w:rPr>
          <w:lang w:val="en-US"/>
        </w:rPr>
        <w:t xml:space="preserve">Proposal 1: </w:t>
      </w:r>
    </w:p>
    <w:p w14:paraId="3776DB6F" w14:textId="60811CE2" w:rsidR="002736E2" w:rsidRPr="00F16840" w:rsidRDefault="00A50B12" w:rsidP="00395A60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2736E2" w:rsidRPr="00F16840">
        <w:rPr>
          <w:lang w:val="en-US"/>
        </w:rPr>
        <w:t>Insert SV804 in table A column 6:</w:t>
      </w:r>
    </w:p>
    <w:p w14:paraId="65CD149A" w14:textId="2816F188" w:rsidR="002736E2" w:rsidRPr="00F16840" w:rsidRDefault="00A50B12" w:rsidP="00EB503A">
      <w:pPr>
        <w:pStyle w:val="SingleTxtG"/>
        <w:ind w:left="1701"/>
        <w:rPr>
          <w:lang w:val="en-US"/>
        </w:rPr>
      </w:pPr>
      <w:r>
        <w:rPr>
          <w:lang w:val="en-US"/>
        </w:rPr>
        <w:tab/>
      </w:r>
      <w:r w:rsidR="002736E2" w:rsidRPr="00F16840">
        <w:rPr>
          <w:lang w:val="en-US"/>
        </w:rPr>
        <w:t xml:space="preserve">For substances (see Annex to </w:t>
      </w:r>
      <w:r w:rsidR="000B73F7">
        <w:rPr>
          <w:lang w:val="en-US"/>
        </w:rPr>
        <w:t>ECE/TRANS</w:t>
      </w:r>
      <w:r w:rsidR="002736E2" w:rsidRPr="00F16840">
        <w:rPr>
          <w:lang w:val="en-US"/>
        </w:rPr>
        <w:t xml:space="preserve">/WP.15/AC.2/2020/31) that </w:t>
      </w:r>
      <w:r w:rsidR="002736E2" w:rsidRPr="00F16840">
        <w:rPr>
          <w:u w:val="single"/>
          <w:lang w:val="en-US"/>
        </w:rPr>
        <w:t>cannot</w:t>
      </w:r>
      <w:r w:rsidR="002736E2" w:rsidRPr="00F16840">
        <w:rPr>
          <w:lang w:val="en-US"/>
        </w:rPr>
        <w:t xml:space="preserve"> be measured with a toximeter via direct measurement (e.B. TiCl4), it is permitted to use an equivalent indirect measurement method (in this case Cl-) and to calculate the content of TiCl4 mathematically. These measuring devices must be approved for the indirect measurement method of the specific substance.  National exposure limit values </w:t>
      </w:r>
      <w:proofErr w:type="gramStart"/>
      <w:r w:rsidR="002736E2" w:rsidRPr="00F16840">
        <w:rPr>
          <w:lang w:val="en-US"/>
        </w:rPr>
        <w:t>have to</w:t>
      </w:r>
      <w:proofErr w:type="gramEnd"/>
      <w:r w:rsidR="002736E2" w:rsidRPr="00F16840">
        <w:rPr>
          <w:lang w:val="en-US"/>
        </w:rPr>
        <w:t xml:space="preserve"> be respected during transport.</w:t>
      </w:r>
    </w:p>
    <w:p w14:paraId="120E7114" w14:textId="1F6B48D0" w:rsidR="002736E2" w:rsidRPr="00F16840" w:rsidRDefault="002736E2" w:rsidP="00A50B12">
      <w:pPr>
        <w:pStyle w:val="H1G"/>
        <w:rPr>
          <w:lang w:val="en-US"/>
        </w:rPr>
      </w:pPr>
      <w:r w:rsidRPr="00F16840">
        <w:rPr>
          <w:rFonts w:asciiTheme="majorBidi" w:hAnsiTheme="majorBidi" w:cstheme="majorBidi"/>
          <w:color w:val="000000" w:themeColor="text1"/>
          <w:lang w:val="en-US"/>
        </w:rPr>
        <w:t> </w:t>
      </w:r>
      <w:r w:rsidR="00A50B12">
        <w:rPr>
          <w:lang w:val="en-US"/>
        </w:rPr>
        <w:tab/>
      </w:r>
      <w:r w:rsidR="00A50B12">
        <w:rPr>
          <w:lang w:val="en-US"/>
        </w:rPr>
        <w:tab/>
      </w:r>
      <w:r w:rsidRPr="00F16840">
        <w:rPr>
          <w:lang w:val="en-US"/>
        </w:rPr>
        <w:t>Proposal 2: alternative to 1</w:t>
      </w:r>
    </w:p>
    <w:p w14:paraId="4F14BCF8" w14:textId="779173D7" w:rsidR="002736E2" w:rsidRPr="00F16840" w:rsidRDefault="007E1587" w:rsidP="00395A60">
      <w:pPr>
        <w:pStyle w:val="SingleTxtG"/>
        <w:rPr>
          <w:lang w:val="en-US"/>
        </w:rPr>
      </w:pPr>
      <w:r>
        <w:rPr>
          <w:lang w:val="en-US"/>
        </w:rPr>
        <w:t>1</w:t>
      </w:r>
      <w:r w:rsidR="00715424">
        <w:rPr>
          <w:lang w:val="en-US"/>
        </w:rPr>
        <w:t>1</w:t>
      </w:r>
      <w:r>
        <w:rPr>
          <w:lang w:val="en-US"/>
        </w:rPr>
        <w:t>.</w:t>
      </w:r>
      <w:r>
        <w:rPr>
          <w:lang w:val="en-US"/>
        </w:rPr>
        <w:tab/>
      </w:r>
      <w:r w:rsidR="002736E2" w:rsidRPr="00F16840">
        <w:rPr>
          <w:lang w:val="en-US"/>
        </w:rPr>
        <w:t>In Table A column 11 insert IN04:</w:t>
      </w:r>
    </w:p>
    <w:p w14:paraId="1343111A" w14:textId="0B345B0C" w:rsidR="002736E2" w:rsidRPr="00F16840" w:rsidRDefault="007E1587" w:rsidP="00134550">
      <w:pPr>
        <w:pStyle w:val="SingleTxtG"/>
        <w:ind w:left="1701"/>
        <w:rPr>
          <w:color w:val="000000" w:themeColor="text1"/>
          <w:lang w:val="en-US"/>
        </w:rPr>
      </w:pPr>
      <w:r>
        <w:rPr>
          <w:lang w:val="en-US"/>
        </w:rPr>
        <w:tab/>
      </w:r>
      <w:r w:rsidR="002736E2" w:rsidRPr="00F16840">
        <w:rPr>
          <w:lang w:val="en-US"/>
        </w:rPr>
        <w:t xml:space="preserve">For substances (see Annex to </w:t>
      </w:r>
      <w:r w:rsidR="00071431">
        <w:rPr>
          <w:lang w:val="en-US"/>
        </w:rPr>
        <w:t>ECE/TRANS</w:t>
      </w:r>
      <w:r w:rsidR="002736E2" w:rsidRPr="00F16840">
        <w:rPr>
          <w:lang w:val="en-US"/>
        </w:rPr>
        <w:t xml:space="preserve">/WP.15/AC.2/2020/31) that </w:t>
      </w:r>
      <w:r w:rsidR="002736E2" w:rsidRPr="00F16840">
        <w:rPr>
          <w:b/>
          <w:bCs/>
          <w:lang w:val="en-US"/>
        </w:rPr>
        <w:t>cannot</w:t>
      </w:r>
      <w:r w:rsidR="002736E2" w:rsidRPr="00F16840">
        <w:rPr>
          <w:lang w:val="en-US"/>
        </w:rPr>
        <w:t xml:space="preserve"> be measured with a toximeter via direct measurement (e.B. TiCl4), it is permitted to use an equivalent indirect measurement method (in this case Cl-) and to calculate the content of TiCl4 mathematically. These measuring devices must be approved for the indirect measurement method of the specific substance.  National exposure limit values </w:t>
      </w:r>
      <w:proofErr w:type="gramStart"/>
      <w:r w:rsidR="002736E2" w:rsidRPr="00F16840">
        <w:rPr>
          <w:lang w:val="en-US"/>
        </w:rPr>
        <w:t>have to</w:t>
      </w:r>
      <w:proofErr w:type="gramEnd"/>
      <w:r w:rsidR="002736E2" w:rsidRPr="00F16840">
        <w:rPr>
          <w:lang w:val="en-US"/>
        </w:rPr>
        <w:t xml:space="preserve"> be respected during transport.</w:t>
      </w:r>
      <w:r w:rsidR="002736E2" w:rsidRPr="00F16840">
        <w:rPr>
          <w:color w:val="000000" w:themeColor="text1"/>
          <w:lang w:val="en-US"/>
        </w:rPr>
        <w:t>  </w:t>
      </w:r>
    </w:p>
    <w:p w14:paraId="0EF3D2D0" w14:textId="2E366B23" w:rsidR="002736E2" w:rsidRPr="00F16840" w:rsidRDefault="007E1587" w:rsidP="007E1587">
      <w:pPr>
        <w:pStyle w:val="H1G"/>
        <w:rPr>
          <w:rFonts w:asciiTheme="majorBidi" w:hAnsiTheme="majorBidi" w:cstheme="majorBidi"/>
          <w:b w:val="0"/>
          <w:bCs/>
          <w:color w:val="000000" w:themeColor="text1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36E2" w:rsidRPr="007E1587">
        <w:rPr>
          <w:lang w:val="en-US"/>
        </w:rPr>
        <w:t>Proposal</w:t>
      </w:r>
      <w:r w:rsidR="002736E2" w:rsidRPr="00F16840">
        <w:rPr>
          <w:rFonts w:asciiTheme="majorBidi" w:hAnsiTheme="majorBidi" w:cstheme="majorBidi"/>
          <w:bCs/>
          <w:color w:val="000000" w:themeColor="text1"/>
          <w:lang w:val="en-US"/>
        </w:rPr>
        <w:t xml:space="preserve"> 3: alternative to 1 and 2</w:t>
      </w:r>
    </w:p>
    <w:p w14:paraId="3AEB2A2A" w14:textId="3FC2791A" w:rsidR="002736E2" w:rsidRPr="00F16840" w:rsidRDefault="007E1587" w:rsidP="00395A60">
      <w:pPr>
        <w:pStyle w:val="SingleTxtG"/>
        <w:rPr>
          <w:lang w:val="en-US"/>
        </w:rPr>
      </w:pPr>
      <w:r>
        <w:rPr>
          <w:lang w:val="en-US"/>
        </w:rPr>
        <w:t>1</w:t>
      </w:r>
      <w:r w:rsidR="00715424">
        <w:rPr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tab/>
      </w:r>
      <w:r w:rsidR="002736E2" w:rsidRPr="00F16840">
        <w:rPr>
          <w:lang w:val="en-US"/>
        </w:rPr>
        <w:t>Insert a remark in table A, column 13:</w:t>
      </w:r>
    </w:p>
    <w:p w14:paraId="6ABD545D" w14:textId="015C6B0C" w:rsidR="002736E2" w:rsidRPr="00F16840" w:rsidRDefault="007E1587" w:rsidP="00134550">
      <w:pPr>
        <w:pStyle w:val="SingleTxtG"/>
        <w:ind w:left="1701"/>
        <w:rPr>
          <w:lang w:val="en-US"/>
        </w:rPr>
      </w:pPr>
      <w:r>
        <w:rPr>
          <w:lang w:val="en-US"/>
        </w:rPr>
        <w:tab/>
      </w:r>
      <w:r w:rsidR="002736E2" w:rsidRPr="00F16840">
        <w:rPr>
          <w:lang w:val="en-US"/>
        </w:rPr>
        <w:t xml:space="preserve">Note 46 in ADN 3.2.3 Table C </w:t>
      </w:r>
      <w:proofErr w:type="gramStart"/>
      <w:r w:rsidR="002736E2" w:rsidRPr="00F16840">
        <w:rPr>
          <w:lang w:val="en-US"/>
        </w:rPr>
        <w:t>has to</w:t>
      </w:r>
      <w:proofErr w:type="gramEnd"/>
      <w:r w:rsidR="002736E2" w:rsidRPr="00F16840">
        <w:rPr>
          <w:lang w:val="en-US"/>
        </w:rPr>
        <w:t xml:space="preserve"> be followed.</w:t>
      </w:r>
    </w:p>
    <w:p w14:paraId="7C5A5C15" w14:textId="68DA49F7" w:rsidR="002736E2" w:rsidRPr="00F16840" w:rsidRDefault="007E1587" w:rsidP="007E1587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36E2" w:rsidRPr="00F16840">
        <w:rPr>
          <w:lang w:val="en-US"/>
        </w:rPr>
        <w:t>Proposal 4:</w:t>
      </w:r>
    </w:p>
    <w:p w14:paraId="318B8BD7" w14:textId="546DDEA2" w:rsidR="002736E2" w:rsidRPr="00F16840" w:rsidRDefault="007E1587" w:rsidP="00395A60">
      <w:pPr>
        <w:pStyle w:val="SingleTxtG"/>
        <w:rPr>
          <w:lang w:val="en-US"/>
        </w:rPr>
      </w:pPr>
      <w:r>
        <w:rPr>
          <w:lang w:val="en-US"/>
        </w:rPr>
        <w:t>1</w:t>
      </w:r>
      <w:r w:rsidR="00715424">
        <w:rPr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="002736E2" w:rsidRPr="00F16840">
        <w:rPr>
          <w:lang w:val="en-US"/>
        </w:rPr>
        <w:t>Use the following wording as a basis for the definition of Note 46:</w:t>
      </w:r>
    </w:p>
    <w:p w14:paraId="51807479" w14:textId="5959F1EE" w:rsidR="002736E2" w:rsidRPr="00F16840" w:rsidRDefault="002736E2" w:rsidP="00134550">
      <w:pPr>
        <w:pStyle w:val="SingleTxtG"/>
        <w:ind w:left="1701"/>
        <w:rPr>
          <w:lang w:val="en-US"/>
        </w:rPr>
      </w:pPr>
      <w:r w:rsidRPr="00F16840">
        <w:rPr>
          <w:lang w:val="en-US"/>
        </w:rPr>
        <w:t xml:space="preserve">For substances (see Annex to </w:t>
      </w:r>
      <w:r w:rsidR="00071431">
        <w:rPr>
          <w:lang w:val="en-US"/>
        </w:rPr>
        <w:t>ECE/TRANS</w:t>
      </w:r>
      <w:r w:rsidRPr="00F16840">
        <w:rPr>
          <w:lang w:val="en-US"/>
        </w:rPr>
        <w:t xml:space="preserve">/WP.15/AC.2/2020/31) that cannot be measured with a toximeter via direct measurement (e.B. TiCl4), it is permitted to use an equivalent indirect measurement method (in this case Cl-) and to calculate the content of TiCl4 mathematically. These measuring devices must be approved for the indirect measurement method of the specific substance. National exposure limit values </w:t>
      </w:r>
      <w:proofErr w:type="gramStart"/>
      <w:r w:rsidRPr="00F16840">
        <w:rPr>
          <w:lang w:val="en-US"/>
        </w:rPr>
        <w:t>have to</w:t>
      </w:r>
      <w:proofErr w:type="gramEnd"/>
      <w:r w:rsidRPr="00F16840">
        <w:rPr>
          <w:lang w:val="en-US"/>
        </w:rPr>
        <w:t xml:space="preserve"> be respected during transport.</w:t>
      </w:r>
    </w:p>
    <w:p w14:paraId="6CD1D66D" w14:textId="60F29CCC" w:rsidR="002736E2" w:rsidRPr="00F16840" w:rsidRDefault="007E1587" w:rsidP="007E1587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36E2" w:rsidRPr="00F16840">
        <w:rPr>
          <w:lang w:val="en-US"/>
        </w:rPr>
        <w:t>Proposal 5:</w:t>
      </w:r>
    </w:p>
    <w:p w14:paraId="491C1346" w14:textId="053992B5" w:rsidR="002736E2" w:rsidRPr="008F100E" w:rsidRDefault="007E1587" w:rsidP="00395A60">
      <w:pPr>
        <w:pStyle w:val="SingleTxtG"/>
        <w:rPr>
          <w:lang w:val="en-US"/>
        </w:rPr>
      </w:pPr>
      <w:r>
        <w:rPr>
          <w:rFonts w:asciiTheme="majorBidi" w:hAnsiTheme="majorBidi" w:cstheme="majorBidi"/>
          <w:lang w:val="en-US"/>
        </w:rPr>
        <w:t>1</w:t>
      </w:r>
      <w:r w:rsidR="00715424">
        <w:rPr>
          <w:rFonts w:asciiTheme="majorBidi" w:hAnsiTheme="majorBidi" w:cstheme="majorBidi"/>
          <w:lang w:val="en-US"/>
        </w:rPr>
        <w:t>4</w:t>
      </w:r>
      <w:r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ab/>
      </w:r>
      <w:r w:rsidR="002736E2" w:rsidRPr="00F16840">
        <w:rPr>
          <w:rFonts w:asciiTheme="majorBidi" w:hAnsiTheme="majorBidi" w:cstheme="majorBidi"/>
          <w:lang w:val="en-US"/>
        </w:rPr>
        <w:t>Insert</w:t>
      </w:r>
      <w:r w:rsidR="002736E2" w:rsidRPr="008F100E">
        <w:rPr>
          <w:lang w:val="en-US"/>
        </w:rPr>
        <w:t xml:space="preserve"> definition in 1.2.1: (first approach)</w:t>
      </w:r>
    </w:p>
    <w:p w14:paraId="475D7143" w14:textId="77777777" w:rsidR="00C74AB5" w:rsidRDefault="002736E2" w:rsidP="001F5BBB">
      <w:pPr>
        <w:pStyle w:val="SingleTxtG"/>
        <w:ind w:left="1701"/>
        <w:rPr>
          <w:rFonts w:asciiTheme="majorBidi" w:hAnsiTheme="majorBidi" w:cstheme="majorBidi"/>
          <w:lang w:val="en-US"/>
        </w:rPr>
      </w:pPr>
      <w:r w:rsidRPr="00F16840">
        <w:rPr>
          <w:rFonts w:asciiTheme="majorBidi" w:hAnsiTheme="majorBidi" w:cstheme="majorBidi"/>
          <w:b/>
          <w:bCs/>
          <w:lang w:val="en-US"/>
        </w:rPr>
        <w:lastRenderedPageBreak/>
        <w:t>Other measuring devices:</w:t>
      </w:r>
      <w:r w:rsidRPr="00F16840">
        <w:rPr>
          <w:rFonts w:asciiTheme="majorBidi" w:hAnsiTheme="majorBidi" w:cstheme="majorBidi"/>
          <w:lang w:val="en-US"/>
        </w:rPr>
        <w:t xml:space="preserve"> All approved measuring instruments for the determination of the nationally permissible exposure limit values when handling hazardous substances. </w:t>
      </w:r>
    </w:p>
    <w:p w14:paraId="3A848C99" w14:textId="2DD04ED2" w:rsidR="002736E2" w:rsidRPr="00F16840" w:rsidRDefault="00C74AB5" w:rsidP="00C74AB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E1587">
        <w:rPr>
          <w:lang w:val="en-US"/>
        </w:rPr>
        <w:tab/>
      </w:r>
      <w:r w:rsidR="002736E2" w:rsidRPr="00F16840">
        <w:rPr>
          <w:lang w:val="en-US"/>
        </w:rPr>
        <w:t>Proposal 6:</w:t>
      </w:r>
    </w:p>
    <w:p w14:paraId="0A129530" w14:textId="6AC31344" w:rsidR="002736E2" w:rsidRPr="00F16840" w:rsidRDefault="00C74AB5" w:rsidP="00395A60">
      <w:pPr>
        <w:pStyle w:val="SingleTxtG"/>
        <w:rPr>
          <w:lang w:val="en-US"/>
        </w:rPr>
      </w:pPr>
      <w:r>
        <w:rPr>
          <w:lang w:val="en-US"/>
        </w:rPr>
        <w:t>1</w:t>
      </w:r>
      <w:r w:rsidR="00715424">
        <w:rPr>
          <w:lang w:val="en-US"/>
        </w:rPr>
        <w:t>5</w:t>
      </w:r>
      <w:r>
        <w:rPr>
          <w:lang w:val="en-US"/>
        </w:rPr>
        <w:t>.</w:t>
      </w:r>
      <w:r>
        <w:rPr>
          <w:lang w:val="en-US"/>
        </w:rPr>
        <w:tab/>
      </w:r>
      <w:r w:rsidR="002736E2" w:rsidRPr="00F16840">
        <w:rPr>
          <w:lang w:val="en-US"/>
        </w:rPr>
        <w:t>Expand Chapter 8.2.1:</w:t>
      </w:r>
    </w:p>
    <w:p w14:paraId="05F2107B" w14:textId="40C7654D" w:rsidR="002736E2" w:rsidRDefault="002736E2" w:rsidP="000544A3">
      <w:pPr>
        <w:pStyle w:val="SingleTxtG"/>
        <w:ind w:left="1701"/>
        <w:rPr>
          <w:lang w:val="en-US"/>
        </w:rPr>
      </w:pPr>
      <w:r w:rsidRPr="00F16840">
        <w:rPr>
          <w:lang w:val="en-US"/>
        </w:rPr>
        <w:t>The training of the experts is to be extended to include these procedures.</w:t>
      </w:r>
    </w:p>
    <w:p w14:paraId="0DEFAEFA" w14:textId="042D92FD" w:rsidR="002736E2" w:rsidRDefault="002319FD" w:rsidP="002319FD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u w:val="single"/>
        </w:rPr>
      </w:pPr>
      <w:r>
        <w:rPr>
          <w:noProof/>
        </w:rPr>
        <w:drawing>
          <wp:inline distT="0" distB="0" distL="0" distR="0" wp14:anchorId="4C5C6A7E" wp14:editId="3A3B4724">
            <wp:extent cx="5539740" cy="42672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EB92" w14:textId="4DC80835" w:rsidR="00DD083F" w:rsidRDefault="00D720A0" w:rsidP="00F63532">
      <w:pPr>
        <w:spacing w:before="240"/>
        <w:jc w:val="center"/>
        <w:rPr>
          <w:u w:val="single"/>
          <w:lang w:val="en-US"/>
        </w:rPr>
      </w:pPr>
      <w:r w:rsidRPr="002724AB">
        <w:rPr>
          <w:u w:val="single"/>
        </w:rPr>
        <w:tab/>
      </w:r>
      <w:r w:rsidRPr="002724AB">
        <w:rPr>
          <w:u w:val="single"/>
        </w:rPr>
        <w:tab/>
      </w:r>
      <w:r w:rsidRPr="002724AB">
        <w:rPr>
          <w:u w:val="single"/>
        </w:rPr>
        <w:tab/>
      </w:r>
    </w:p>
    <w:sectPr w:rsidR="00DD083F" w:rsidSect="00355F5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72EA" w14:textId="77777777" w:rsidR="003C35A3" w:rsidRDefault="003C35A3"/>
  </w:endnote>
  <w:endnote w:type="continuationSeparator" w:id="0">
    <w:p w14:paraId="3FD7C4D5" w14:textId="77777777" w:rsidR="003C35A3" w:rsidRDefault="003C35A3"/>
  </w:endnote>
  <w:endnote w:type="continuationNotice" w:id="1">
    <w:p w14:paraId="4A0F4FDB" w14:textId="77777777" w:rsidR="003C35A3" w:rsidRDefault="003C3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827F22" w:rsidRPr="000571E2" w:rsidRDefault="00827F2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827F22" w:rsidRPr="000571E2" w:rsidRDefault="00827F2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827F22" w:rsidRPr="000571E2" w:rsidRDefault="00827F22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288F" w14:textId="77777777" w:rsidR="003C35A3" w:rsidRPr="000B175B" w:rsidRDefault="003C35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738AC" w14:textId="77777777" w:rsidR="003C35A3" w:rsidRPr="00FC68B7" w:rsidRDefault="003C35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B7EBFD" w14:textId="77777777" w:rsidR="003C35A3" w:rsidRDefault="003C3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52A338E5" w:rsidR="00827F22" w:rsidRPr="000571E2" w:rsidRDefault="000969BD">
    <w:pPr>
      <w:pStyle w:val="Header"/>
    </w:pPr>
    <w:fldSimple w:instr=" TITLE  \* MERGEFORMAT ">
      <w:r w:rsidR="00F77FC9">
        <w:t>INF.20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29AC5211" w:rsidR="00827F22" w:rsidRPr="000571E2" w:rsidRDefault="000969BD" w:rsidP="000571E2">
    <w:pPr>
      <w:pStyle w:val="Header"/>
      <w:jc w:val="right"/>
    </w:pPr>
    <w:fldSimple w:instr=" TITLE  \* MERGEFORMAT ">
      <w:r w:rsidR="00F77FC9">
        <w:t>INF.20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02333"/>
    <w:multiLevelType w:val="hybridMultilevel"/>
    <w:tmpl w:val="3D9634F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A874AE"/>
    <w:multiLevelType w:val="hybridMultilevel"/>
    <w:tmpl w:val="A4AA8B60"/>
    <w:lvl w:ilvl="0" w:tplc="47D2A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7138F"/>
    <w:multiLevelType w:val="hybridMultilevel"/>
    <w:tmpl w:val="1A242808"/>
    <w:lvl w:ilvl="0" w:tplc="B30A2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E035F9"/>
    <w:multiLevelType w:val="hybridMultilevel"/>
    <w:tmpl w:val="5FC0C9BE"/>
    <w:lvl w:ilvl="0" w:tplc="B79C6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186792"/>
    <w:multiLevelType w:val="hybridMultilevel"/>
    <w:tmpl w:val="39E428CE"/>
    <w:lvl w:ilvl="0" w:tplc="A0FA3E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24"/>
  </w:num>
  <w:num w:numId="18">
    <w:abstractNumId w:val="25"/>
  </w:num>
  <w:num w:numId="19">
    <w:abstractNumId w:val="11"/>
  </w:num>
  <w:num w:numId="20">
    <w:abstractNumId w:val="17"/>
  </w:num>
  <w:num w:numId="21">
    <w:abstractNumId w:val="13"/>
  </w:num>
  <w:num w:numId="22">
    <w:abstractNumId w:val="22"/>
  </w:num>
  <w:num w:numId="23">
    <w:abstractNumId w:val="20"/>
  </w:num>
  <w:num w:numId="24">
    <w:abstractNumId w:val="18"/>
  </w:num>
  <w:num w:numId="25">
    <w:abstractNumId w:val="12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nl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4CCB"/>
    <w:rsid w:val="00027624"/>
    <w:rsid w:val="000323D3"/>
    <w:rsid w:val="00034713"/>
    <w:rsid w:val="00050F6B"/>
    <w:rsid w:val="000544A3"/>
    <w:rsid w:val="000571E2"/>
    <w:rsid w:val="000678CD"/>
    <w:rsid w:val="00071431"/>
    <w:rsid w:val="00072C8C"/>
    <w:rsid w:val="00073AC9"/>
    <w:rsid w:val="0007734B"/>
    <w:rsid w:val="00081CE0"/>
    <w:rsid w:val="00084D30"/>
    <w:rsid w:val="00090320"/>
    <w:rsid w:val="000921DC"/>
    <w:rsid w:val="00092CB2"/>
    <w:rsid w:val="000931C0"/>
    <w:rsid w:val="000969BD"/>
    <w:rsid w:val="000A2E09"/>
    <w:rsid w:val="000B175B"/>
    <w:rsid w:val="000B3A0F"/>
    <w:rsid w:val="000B73F7"/>
    <w:rsid w:val="000E0415"/>
    <w:rsid w:val="000E427F"/>
    <w:rsid w:val="000F0F1D"/>
    <w:rsid w:val="000F7715"/>
    <w:rsid w:val="001060DF"/>
    <w:rsid w:val="00112EF6"/>
    <w:rsid w:val="00130C4E"/>
    <w:rsid w:val="00134550"/>
    <w:rsid w:val="00142F56"/>
    <w:rsid w:val="00156B99"/>
    <w:rsid w:val="0016099D"/>
    <w:rsid w:val="00166124"/>
    <w:rsid w:val="001713AC"/>
    <w:rsid w:val="00171911"/>
    <w:rsid w:val="00184DDA"/>
    <w:rsid w:val="001900CD"/>
    <w:rsid w:val="00191680"/>
    <w:rsid w:val="001945E9"/>
    <w:rsid w:val="001A0452"/>
    <w:rsid w:val="001B248E"/>
    <w:rsid w:val="001B4B04"/>
    <w:rsid w:val="001B533F"/>
    <w:rsid w:val="001B5875"/>
    <w:rsid w:val="001C1664"/>
    <w:rsid w:val="001C4B9C"/>
    <w:rsid w:val="001C6663"/>
    <w:rsid w:val="001C7895"/>
    <w:rsid w:val="001D26DF"/>
    <w:rsid w:val="001D6B5A"/>
    <w:rsid w:val="001E1BBF"/>
    <w:rsid w:val="001F1599"/>
    <w:rsid w:val="001F19C4"/>
    <w:rsid w:val="001F5BBB"/>
    <w:rsid w:val="002043F0"/>
    <w:rsid w:val="00211E0B"/>
    <w:rsid w:val="002319FD"/>
    <w:rsid w:val="00231A36"/>
    <w:rsid w:val="00232575"/>
    <w:rsid w:val="00247258"/>
    <w:rsid w:val="00257CAC"/>
    <w:rsid w:val="002679E8"/>
    <w:rsid w:val="00267E92"/>
    <w:rsid w:val="0027237A"/>
    <w:rsid w:val="002724AB"/>
    <w:rsid w:val="002736E2"/>
    <w:rsid w:val="00274B6E"/>
    <w:rsid w:val="00285C1D"/>
    <w:rsid w:val="002974E9"/>
    <w:rsid w:val="002A2AE6"/>
    <w:rsid w:val="002A5938"/>
    <w:rsid w:val="002A7F94"/>
    <w:rsid w:val="002B109A"/>
    <w:rsid w:val="002B1A7E"/>
    <w:rsid w:val="002C5DF7"/>
    <w:rsid w:val="002C6D45"/>
    <w:rsid w:val="002D1D2E"/>
    <w:rsid w:val="002D6E53"/>
    <w:rsid w:val="002E614D"/>
    <w:rsid w:val="002E6535"/>
    <w:rsid w:val="002E6AB8"/>
    <w:rsid w:val="002F046D"/>
    <w:rsid w:val="002F3023"/>
    <w:rsid w:val="00301764"/>
    <w:rsid w:val="0031704A"/>
    <w:rsid w:val="00317EE3"/>
    <w:rsid w:val="003229D8"/>
    <w:rsid w:val="003327B1"/>
    <w:rsid w:val="003335B5"/>
    <w:rsid w:val="00336C97"/>
    <w:rsid w:val="00337F88"/>
    <w:rsid w:val="00342432"/>
    <w:rsid w:val="00342EB4"/>
    <w:rsid w:val="0035223F"/>
    <w:rsid w:val="00352D4B"/>
    <w:rsid w:val="00355F5B"/>
    <w:rsid w:val="00356026"/>
    <w:rsid w:val="0035638C"/>
    <w:rsid w:val="00367C64"/>
    <w:rsid w:val="003713E7"/>
    <w:rsid w:val="00371ECB"/>
    <w:rsid w:val="003826BA"/>
    <w:rsid w:val="003877B0"/>
    <w:rsid w:val="00395A60"/>
    <w:rsid w:val="003A46BB"/>
    <w:rsid w:val="003A4EC7"/>
    <w:rsid w:val="003A7295"/>
    <w:rsid w:val="003B1F60"/>
    <w:rsid w:val="003B6A15"/>
    <w:rsid w:val="003C0732"/>
    <w:rsid w:val="003C2CC4"/>
    <w:rsid w:val="003C35A3"/>
    <w:rsid w:val="003D3839"/>
    <w:rsid w:val="003D4B23"/>
    <w:rsid w:val="003E278A"/>
    <w:rsid w:val="003F1B29"/>
    <w:rsid w:val="00413520"/>
    <w:rsid w:val="00414E9A"/>
    <w:rsid w:val="00415158"/>
    <w:rsid w:val="00415B47"/>
    <w:rsid w:val="00417410"/>
    <w:rsid w:val="00421300"/>
    <w:rsid w:val="00431832"/>
    <w:rsid w:val="004325CB"/>
    <w:rsid w:val="00440A07"/>
    <w:rsid w:val="00452859"/>
    <w:rsid w:val="00462880"/>
    <w:rsid w:val="00476F24"/>
    <w:rsid w:val="00492731"/>
    <w:rsid w:val="004A1D30"/>
    <w:rsid w:val="004A6359"/>
    <w:rsid w:val="004C029C"/>
    <w:rsid w:val="004C55B0"/>
    <w:rsid w:val="004C785D"/>
    <w:rsid w:val="004D18A9"/>
    <w:rsid w:val="004E1CDB"/>
    <w:rsid w:val="004E6ADB"/>
    <w:rsid w:val="004F6BA0"/>
    <w:rsid w:val="004F78FC"/>
    <w:rsid w:val="00503BEA"/>
    <w:rsid w:val="00521E35"/>
    <w:rsid w:val="0052499A"/>
    <w:rsid w:val="00533616"/>
    <w:rsid w:val="00535ABA"/>
    <w:rsid w:val="0053768B"/>
    <w:rsid w:val="00541F4A"/>
    <w:rsid w:val="005420F2"/>
    <w:rsid w:val="0054285C"/>
    <w:rsid w:val="00552545"/>
    <w:rsid w:val="00552DD6"/>
    <w:rsid w:val="00580A72"/>
    <w:rsid w:val="00584173"/>
    <w:rsid w:val="005940E8"/>
    <w:rsid w:val="00595520"/>
    <w:rsid w:val="00596C82"/>
    <w:rsid w:val="005A44B9"/>
    <w:rsid w:val="005B1BA0"/>
    <w:rsid w:val="005B1C78"/>
    <w:rsid w:val="005B3DB3"/>
    <w:rsid w:val="005D15CA"/>
    <w:rsid w:val="005D74E4"/>
    <w:rsid w:val="005E7404"/>
    <w:rsid w:val="005F08DF"/>
    <w:rsid w:val="005F3066"/>
    <w:rsid w:val="005F3E61"/>
    <w:rsid w:val="006010AF"/>
    <w:rsid w:val="006042B1"/>
    <w:rsid w:val="00604DDD"/>
    <w:rsid w:val="006115CC"/>
    <w:rsid w:val="00611FC4"/>
    <w:rsid w:val="006176FB"/>
    <w:rsid w:val="00623FFD"/>
    <w:rsid w:val="00627A5D"/>
    <w:rsid w:val="00630FCB"/>
    <w:rsid w:val="00633F72"/>
    <w:rsid w:val="00640B26"/>
    <w:rsid w:val="0065702B"/>
    <w:rsid w:val="0065766B"/>
    <w:rsid w:val="00664FDD"/>
    <w:rsid w:val="00673878"/>
    <w:rsid w:val="006770B2"/>
    <w:rsid w:val="00681D6B"/>
    <w:rsid w:val="00686A48"/>
    <w:rsid w:val="0069144D"/>
    <w:rsid w:val="006940E1"/>
    <w:rsid w:val="00697DF5"/>
    <w:rsid w:val="006A3524"/>
    <w:rsid w:val="006A3C72"/>
    <w:rsid w:val="006A7392"/>
    <w:rsid w:val="006A7C8B"/>
    <w:rsid w:val="006B03A1"/>
    <w:rsid w:val="006B1937"/>
    <w:rsid w:val="006B67D9"/>
    <w:rsid w:val="006B79B3"/>
    <w:rsid w:val="006C5535"/>
    <w:rsid w:val="006D0589"/>
    <w:rsid w:val="006D283D"/>
    <w:rsid w:val="006E1D02"/>
    <w:rsid w:val="006E55A9"/>
    <w:rsid w:val="006E564B"/>
    <w:rsid w:val="006E7154"/>
    <w:rsid w:val="007003CD"/>
    <w:rsid w:val="00703300"/>
    <w:rsid w:val="00705276"/>
    <w:rsid w:val="0070701E"/>
    <w:rsid w:val="00714CF5"/>
    <w:rsid w:val="00715424"/>
    <w:rsid w:val="00717FDA"/>
    <w:rsid w:val="0072632A"/>
    <w:rsid w:val="007358E8"/>
    <w:rsid w:val="00736ECE"/>
    <w:rsid w:val="007421E5"/>
    <w:rsid w:val="0074533B"/>
    <w:rsid w:val="00753905"/>
    <w:rsid w:val="007643BC"/>
    <w:rsid w:val="00780C68"/>
    <w:rsid w:val="0078773B"/>
    <w:rsid w:val="0079496A"/>
    <w:rsid w:val="007959FE"/>
    <w:rsid w:val="007A0CF1"/>
    <w:rsid w:val="007A20DB"/>
    <w:rsid w:val="007B6BA5"/>
    <w:rsid w:val="007C3390"/>
    <w:rsid w:val="007C42D8"/>
    <w:rsid w:val="007C4F4B"/>
    <w:rsid w:val="007D7362"/>
    <w:rsid w:val="007E1587"/>
    <w:rsid w:val="007F5CE2"/>
    <w:rsid w:val="007F6611"/>
    <w:rsid w:val="007F6858"/>
    <w:rsid w:val="007F7B08"/>
    <w:rsid w:val="00810BAC"/>
    <w:rsid w:val="00814F4C"/>
    <w:rsid w:val="008175E9"/>
    <w:rsid w:val="008242D7"/>
    <w:rsid w:val="0082577B"/>
    <w:rsid w:val="00827F22"/>
    <w:rsid w:val="008320F4"/>
    <w:rsid w:val="00845191"/>
    <w:rsid w:val="008510A9"/>
    <w:rsid w:val="00854FB9"/>
    <w:rsid w:val="008619FB"/>
    <w:rsid w:val="008628F0"/>
    <w:rsid w:val="00865AFE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3581"/>
    <w:rsid w:val="008879CB"/>
    <w:rsid w:val="00893D10"/>
    <w:rsid w:val="008979B1"/>
    <w:rsid w:val="008A6B25"/>
    <w:rsid w:val="008A6C4F"/>
    <w:rsid w:val="008B389E"/>
    <w:rsid w:val="008D045E"/>
    <w:rsid w:val="008D3F25"/>
    <w:rsid w:val="008D4D82"/>
    <w:rsid w:val="008D55B7"/>
    <w:rsid w:val="008D5B23"/>
    <w:rsid w:val="008E0E46"/>
    <w:rsid w:val="008E7116"/>
    <w:rsid w:val="008F143B"/>
    <w:rsid w:val="008F3882"/>
    <w:rsid w:val="008F4B5B"/>
    <w:rsid w:val="008F4B7C"/>
    <w:rsid w:val="009057D6"/>
    <w:rsid w:val="009074E9"/>
    <w:rsid w:val="009136FC"/>
    <w:rsid w:val="009159C4"/>
    <w:rsid w:val="00926414"/>
    <w:rsid w:val="00926E47"/>
    <w:rsid w:val="009372C8"/>
    <w:rsid w:val="00947162"/>
    <w:rsid w:val="009610D0"/>
    <w:rsid w:val="00962F86"/>
    <w:rsid w:val="0096375C"/>
    <w:rsid w:val="009662E6"/>
    <w:rsid w:val="0097095E"/>
    <w:rsid w:val="0097304B"/>
    <w:rsid w:val="0098592B"/>
    <w:rsid w:val="00985FC4"/>
    <w:rsid w:val="00990766"/>
    <w:rsid w:val="00991261"/>
    <w:rsid w:val="009964C4"/>
    <w:rsid w:val="009A6978"/>
    <w:rsid w:val="009A7B81"/>
    <w:rsid w:val="009C0704"/>
    <w:rsid w:val="009D01C0"/>
    <w:rsid w:val="009D6A08"/>
    <w:rsid w:val="009E0A16"/>
    <w:rsid w:val="009E6CB7"/>
    <w:rsid w:val="009E7970"/>
    <w:rsid w:val="009F2EAC"/>
    <w:rsid w:val="009F57E3"/>
    <w:rsid w:val="00A0529B"/>
    <w:rsid w:val="00A06A8B"/>
    <w:rsid w:val="00A10F4F"/>
    <w:rsid w:val="00A11067"/>
    <w:rsid w:val="00A16ED2"/>
    <w:rsid w:val="00A1704A"/>
    <w:rsid w:val="00A22A6C"/>
    <w:rsid w:val="00A41465"/>
    <w:rsid w:val="00A425EB"/>
    <w:rsid w:val="00A4514E"/>
    <w:rsid w:val="00A50B12"/>
    <w:rsid w:val="00A72F22"/>
    <w:rsid w:val="00A733BC"/>
    <w:rsid w:val="00A748A6"/>
    <w:rsid w:val="00A76A69"/>
    <w:rsid w:val="00A8202D"/>
    <w:rsid w:val="00A822A0"/>
    <w:rsid w:val="00A83ACE"/>
    <w:rsid w:val="00A879A4"/>
    <w:rsid w:val="00A9141B"/>
    <w:rsid w:val="00AA0FF8"/>
    <w:rsid w:val="00AA7971"/>
    <w:rsid w:val="00AB4A32"/>
    <w:rsid w:val="00AB7095"/>
    <w:rsid w:val="00AB757A"/>
    <w:rsid w:val="00AC0F2C"/>
    <w:rsid w:val="00AC3B6A"/>
    <w:rsid w:val="00AC502A"/>
    <w:rsid w:val="00AD6354"/>
    <w:rsid w:val="00AF58C1"/>
    <w:rsid w:val="00B04A3F"/>
    <w:rsid w:val="00B05E03"/>
    <w:rsid w:val="00B06643"/>
    <w:rsid w:val="00B15055"/>
    <w:rsid w:val="00B16019"/>
    <w:rsid w:val="00B20551"/>
    <w:rsid w:val="00B30179"/>
    <w:rsid w:val="00B33FC7"/>
    <w:rsid w:val="00B37B15"/>
    <w:rsid w:val="00B43DFC"/>
    <w:rsid w:val="00B45C02"/>
    <w:rsid w:val="00B531F8"/>
    <w:rsid w:val="00B65D12"/>
    <w:rsid w:val="00B70B63"/>
    <w:rsid w:val="00B72A1E"/>
    <w:rsid w:val="00B81E12"/>
    <w:rsid w:val="00B8306A"/>
    <w:rsid w:val="00BA1B00"/>
    <w:rsid w:val="00BA339B"/>
    <w:rsid w:val="00BB3728"/>
    <w:rsid w:val="00BB6A03"/>
    <w:rsid w:val="00BC1E7E"/>
    <w:rsid w:val="00BC74E9"/>
    <w:rsid w:val="00BD0D81"/>
    <w:rsid w:val="00BD17D7"/>
    <w:rsid w:val="00BD3456"/>
    <w:rsid w:val="00BE09B9"/>
    <w:rsid w:val="00BE36A9"/>
    <w:rsid w:val="00BE597C"/>
    <w:rsid w:val="00BE5B3F"/>
    <w:rsid w:val="00BE618E"/>
    <w:rsid w:val="00BE7BEC"/>
    <w:rsid w:val="00BF0A5A"/>
    <w:rsid w:val="00BF0E63"/>
    <w:rsid w:val="00BF12A3"/>
    <w:rsid w:val="00BF16D7"/>
    <w:rsid w:val="00BF2271"/>
    <w:rsid w:val="00BF2373"/>
    <w:rsid w:val="00BF25AD"/>
    <w:rsid w:val="00BF61C4"/>
    <w:rsid w:val="00C044E2"/>
    <w:rsid w:val="00C048CB"/>
    <w:rsid w:val="00C066F3"/>
    <w:rsid w:val="00C07845"/>
    <w:rsid w:val="00C11FF6"/>
    <w:rsid w:val="00C1721D"/>
    <w:rsid w:val="00C31C17"/>
    <w:rsid w:val="00C35F1E"/>
    <w:rsid w:val="00C41FBB"/>
    <w:rsid w:val="00C45C2C"/>
    <w:rsid w:val="00C463DD"/>
    <w:rsid w:val="00C611EC"/>
    <w:rsid w:val="00C745C3"/>
    <w:rsid w:val="00C74AB5"/>
    <w:rsid w:val="00C82175"/>
    <w:rsid w:val="00C978F5"/>
    <w:rsid w:val="00CA0FA6"/>
    <w:rsid w:val="00CA176C"/>
    <w:rsid w:val="00CA24A4"/>
    <w:rsid w:val="00CA2AAB"/>
    <w:rsid w:val="00CA78FA"/>
    <w:rsid w:val="00CB0FEA"/>
    <w:rsid w:val="00CB348D"/>
    <w:rsid w:val="00CB4F61"/>
    <w:rsid w:val="00CC0ABB"/>
    <w:rsid w:val="00CC1D0E"/>
    <w:rsid w:val="00CD46F5"/>
    <w:rsid w:val="00CE4A8F"/>
    <w:rsid w:val="00CE6F01"/>
    <w:rsid w:val="00CF071D"/>
    <w:rsid w:val="00D0001A"/>
    <w:rsid w:val="00D0123D"/>
    <w:rsid w:val="00D03983"/>
    <w:rsid w:val="00D056A9"/>
    <w:rsid w:val="00D150A7"/>
    <w:rsid w:val="00D15B04"/>
    <w:rsid w:val="00D2031B"/>
    <w:rsid w:val="00D21B7A"/>
    <w:rsid w:val="00D25836"/>
    <w:rsid w:val="00D25FE2"/>
    <w:rsid w:val="00D37DA9"/>
    <w:rsid w:val="00D406A7"/>
    <w:rsid w:val="00D43252"/>
    <w:rsid w:val="00D44D86"/>
    <w:rsid w:val="00D50B7D"/>
    <w:rsid w:val="00D52012"/>
    <w:rsid w:val="00D63A94"/>
    <w:rsid w:val="00D704E5"/>
    <w:rsid w:val="00D71C4D"/>
    <w:rsid w:val="00D720A0"/>
    <w:rsid w:val="00D72727"/>
    <w:rsid w:val="00D74552"/>
    <w:rsid w:val="00D752F4"/>
    <w:rsid w:val="00D770A8"/>
    <w:rsid w:val="00D9678C"/>
    <w:rsid w:val="00D978C6"/>
    <w:rsid w:val="00DA0956"/>
    <w:rsid w:val="00DA357F"/>
    <w:rsid w:val="00DA3E12"/>
    <w:rsid w:val="00DA5EA1"/>
    <w:rsid w:val="00DA7E6A"/>
    <w:rsid w:val="00DB37A2"/>
    <w:rsid w:val="00DB7E7D"/>
    <w:rsid w:val="00DC18AD"/>
    <w:rsid w:val="00DD083F"/>
    <w:rsid w:val="00DD2B56"/>
    <w:rsid w:val="00DD460F"/>
    <w:rsid w:val="00DD4D98"/>
    <w:rsid w:val="00DE01AA"/>
    <w:rsid w:val="00DF7CAE"/>
    <w:rsid w:val="00E034CF"/>
    <w:rsid w:val="00E07338"/>
    <w:rsid w:val="00E4142F"/>
    <w:rsid w:val="00E423C0"/>
    <w:rsid w:val="00E4591D"/>
    <w:rsid w:val="00E6414C"/>
    <w:rsid w:val="00E7260F"/>
    <w:rsid w:val="00E77970"/>
    <w:rsid w:val="00E8702D"/>
    <w:rsid w:val="00E872EB"/>
    <w:rsid w:val="00E905F4"/>
    <w:rsid w:val="00E916A9"/>
    <w:rsid w:val="00E916DE"/>
    <w:rsid w:val="00E925AD"/>
    <w:rsid w:val="00E946DE"/>
    <w:rsid w:val="00E96630"/>
    <w:rsid w:val="00EA3524"/>
    <w:rsid w:val="00EA5CD6"/>
    <w:rsid w:val="00EB134F"/>
    <w:rsid w:val="00EB503A"/>
    <w:rsid w:val="00EC1EE2"/>
    <w:rsid w:val="00ED18DC"/>
    <w:rsid w:val="00ED6201"/>
    <w:rsid w:val="00ED7A2A"/>
    <w:rsid w:val="00EE1890"/>
    <w:rsid w:val="00EF1D7F"/>
    <w:rsid w:val="00EF5854"/>
    <w:rsid w:val="00EF6757"/>
    <w:rsid w:val="00F0137E"/>
    <w:rsid w:val="00F21786"/>
    <w:rsid w:val="00F23D7D"/>
    <w:rsid w:val="00F3742B"/>
    <w:rsid w:val="00F41FDB"/>
    <w:rsid w:val="00F53401"/>
    <w:rsid w:val="00F56D63"/>
    <w:rsid w:val="00F609A9"/>
    <w:rsid w:val="00F63532"/>
    <w:rsid w:val="00F73B67"/>
    <w:rsid w:val="00F77FC9"/>
    <w:rsid w:val="00F80C99"/>
    <w:rsid w:val="00F867EC"/>
    <w:rsid w:val="00F91B2B"/>
    <w:rsid w:val="00FC03CD"/>
    <w:rsid w:val="00FC0646"/>
    <w:rsid w:val="00FC087D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60854B78-1DD8-4B0C-82A3-6DF1B20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uiPriority w:val="99"/>
    <w:qFormat/>
    <w:rsid w:val="00753905"/>
    <w:rPr>
      <w:lang w:val="en-GB"/>
    </w:rPr>
  </w:style>
  <w:style w:type="character" w:customStyle="1" w:styleId="HChGChar">
    <w:name w:val="_ H _Ch_G Char"/>
    <w:link w:val="HChG"/>
    <w:qFormat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67C64"/>
    <w:rPr>
      <w:b/>
      <w:sz w:val="24"/>
      <w:lang w:val="en-GB"/>
    </w:rPr>
  </w:style>
  <w:style w:type="paragraph" w:customStyle="1" w:styleId="Referentiegegevens">
    <w:name w:val="Referentiegegevens"/>
    <w:next w:val="Normal"/>
    <w:rsid w:val="00AB757A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">
    <w:name w:val="Afzendgegevens"/>
    <w:basedOn w:val="Normal"/>
    <w:next w:val="Normal"/>
    <w:rsid w:val="00DD460F"/>
    <w:pPr>
      <w:tabs>
        <w:tab w:val="left" w:pos="2267"/>
      </w:tabs>
      <w:suppressAutoHyphens w:val="0"/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cursief">
    <w:name w:val="Afzendgegevens cursief"/>
    <w:next w:val="Normal"/>
    <w:rsid w:val="00DD460F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i/>
      <w:color w:val="000000"/>
      <w:sz w:val="13"/>
      <w:szCs w:val="13"/>
      <w:lang w:val="nl-NL" w:eastAsia="nl-NL"/>
    </w:rPr>
  </w:style>
  <w:style w:type="paragraph" w:customStyle="1" w:styleId="AfzendgegevensKop">
    <w:name w:val="Afzendgegevens_Kop"/>
    <w:basedOn w:val="Afzendgegevens"/>
    <w:next w:val="Normal"/>
    <w:rsid w:val="00DD460F"/>
    <w:rPr>
      <w:b/>
    </w:rPr>
  </w:style>
  <w:style w:type="paragraph" w:customStyle="1" w:styleId="WitregelW1">
    <w:name w:val="Witregel W1"/>
    <w:next w:val="Normal"/>
    <w:rsid w:val="00DD460F"/>
    <w:pPr>
      <w:autoSpaceDN w:val="0"/>
      <w:spacing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356026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7"/>
      <w:szCs w:val="17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6026"/>
    <w:rPr>
      <w:rFonts w:ascii="Verdana" w:eastAsia="Verdana" w:hAnsi="Verdana" w:cs="Verdana"/>
      <w:sz w:val="17"/>
      <w:szCs w:val="17"/>
      <w:lang w:val="nl-NL" w:eastAsia="en-US"/>
    </w:rPr>
  </w:style>
  <w:style w:type="paragraph" w:styleId="Title">
    <w:name w:val="Title"/>
    <w:basedOn w:val="Normal"/>
    <w:link w:val="TitleChar"/>
    <w:uiPriority w:val="10"/>
    <w:qFormat/>
    <w:rsid w:val="00356026"/>
    <w:pPr>
      <w:widowControl w:val="0"/>
      <w:suppressAutoHyphens w:val="0"/>
      <w:autoSpaceDE w:val="0"/>
      <w:autoSpaceDN w:val="0"/>
      <w:spacing w:line="240" w:lineRule="auto"/>
      <w:ind w:left="605"/>
    </w:pPr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026"/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D7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0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70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0A8"/>
    <w:rPr>
      <w:b/>
      <w:bCs/>
      <w:lang w:val="en-GB"/>
    </w:rPr>
  </w:style>
  <w:style w:type="character" w:customStyle="1" w:styleId="SingleTxtGZchnZchn">
    <w:name w:val="_ Single Txt_G Zchn Zchn"/>
    <w:rsid w:val="00D720A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2F8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8628F0"/>
    <w:rPr>
      <w:lang w:val="en-GB"/>
    </w:rPr>
  </w:style>
  <w:style w:type="paragraph" w:styleId="ListParagraph">
    <w:name w:val="List Paragraph"/>
    <w:basedOn w:val="Normal"/>
    <w:uiPriority w:val="34"/>
    <w:qFormat/>
    <w:rsid w:val="002736E2"/>
    <w:pPr>
      <w:suppressAutoHyphens w:val="0"/>
      <w:spacing w:after="160" w:line="259" w:lineRule="auto"/>
      <w:ind w:left="720"/>
      <w:contextualSpacing/>
    </w:pPr>
    <w:rPr>
      <w:rFonts w:ascii="Arial" w:eastAsiaTheme="minorEastAsia" w:hAnsi="Arial" w:cs="Arial"/>
      <w:sz w:val="21"/>
      <w:szCs w:val="22"/>
      <w:lang w:val="de-DE" w:eastAsia="zh-CN"/>
    </w:rPr>
  </w:style>
  <w:style w:type="paragraph" w:customStyle="1" w:styleId="xxmsonormal">
    <w:name w:val="x_xmsonormal"/>
    <w:basedOn w:val="Normal"/>
    <w:rsid w:val="002736E2"/>
    <w:pPr>
      <w:suppressAutoHyphens w:val="0"/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A8CE612E-8B12-4337-BCB6-9315C4B6F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30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INF.17</vt:lpstr>
      <vt:lpstr/>
    </vt:vector>
  </TitlesOfParts>
  <Company>CSD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INF.20</dc:title>
  <dc:subject/>
  <dc:creator>Nadiya Dzyubynska</dc:creator>
  <cp:keywords/>
  <cp:lastModifiedBy>Nadiya Dzyubynska</cp:lastModifiedBy>
  <cp:revision>32</cp:revision>
  <cp:lastPrinted>2022-01-21T16:15:00Z</cp:lastPrinted>
  <dcterms:created xsi:type="dcterms:W3CDTF">2022-01-21T05:57:00Z</dcterms:created>
  <dcterms:modified xsi:type="dcterms:W3CDTF">2022-01-21T16:15:00Z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