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BF25AD" w14:paraId="059C57C4" w14:textId="77777777" w:rsidTr="00C1721D">
        <w:trPr>
          <w:cantSplit/>
          <w:trHeight w:hRule="exact" w:val="851"/>
        </w:trPr>
        <w:tc>
          <w:tcPr>
            <w:tcW w:w="9639" w:type="dxa"/>
            <w:gridSpan w:val="2"/>
            <w:tcBorders>
              <w:bottom w:val="single" w:sz="4" w:space="0" w:color="auto"/>
            </w:tcBorders>
            <w:vAlign w:val="bottom"/>
          </w:tcPr>
          <w:p w14:paraId="2368C6B8" w14:textId="04BD1A92" w:rsidR="00BF25AD" w:rsidRPr="00AB7095" w:rsidRDefault="002D1D2E" w:rsidP="000571E2">
            <w:pPr>
              <w:jc w:val="right"/>
              <w:rPr>
                <w:b/>
                <w:bCs/>
                <w:sz w:val="40"/>
                <w:szCs w:val="40"/>
              </w:rPr>
            </w:pPr>
            <w:r w:rsidRPr="002D1D2E">
              <w:rPr>
                <w:b/>
                <w:bCs/>
                <w:sz w:val="40"/>
                <w:szCs w:val="40"/>
              </w:rPr>
              <w:t>INF</w:t>
            </w:r>
            <w:r>
              <w:rPr>
                <w:b/>
                <w:bCs/>
                <w:sz w:val="40"/>
                <w:szCs w:val="40"/>
              </w:rPr>
              <w:t>.13</w:t>
            </w:r>
          </w:p>
        </w:tc>
      </w:tr>
      <w:tr w:rsidR="00BF25AD" w14:paraId="3055F141" w14:textId="77777777" w:rsidTr="00C07845">
        <w:trPr>
          <w:cantSplit/>
          <w:trHeight w:hRule="exact" w:val="3694"/>
        </w:trPr>
        <w:tc>
          <w:tcPr>
            <w:tcW w:w="6804" w:type="dxa"/>
            <w:tcBorders>
              <w:top w:val="single" w:sz="4" w:space="0" w:color="auto"/>
              <w:bottom w:val="single" w:sz="12" w:space="0" w:color="auto"/>
            </w:tcBorders>
          </w:tcPr>
          <w:p w14:paraId="3331B088" w14:textId="77777777" w:rsidR="007F7B08" w:rsidRDefault="007F7B08" w:rsidP="007F7B08">
            <w:pPr>
              <w:spacing w:before="120"/>
              <w:rPr>
                <w:b/>
                <w:sz w:val="28"/>
                <w:szCs w:val="28"/>
              </w:rPr>
            </w:pPr>
            <w:r w:rsidRPr="00832334">
              <w:rPr>
                <w:b/>
                <w:sz w:val="28"/>
                <w:szCs w:val="28"/>
              </w:rPr>
              <w:t>Economic Commission for Europe</w:t>
            </w:r>
          </w:p>
          <w:p w14:paraId="144E26AD" w14:textId="77777777" w:rsidR="007F7B08" w:rsidRPr="008F31D2" w:rsidRDefault="007F7B08" w:rsidP="007F7B08">
            <w:pPr>
              <w:spacing w:before="120"/>
              <w:rPr>
                <w:sz w:val="28"/>
                <w:szCs w:val="28"/>
              </w:rPr>
            </w:pPr>
            <w:r>
              <w:rPr>
                <w:sz w:val="28"/>
                <w:szCs w:val="28"/>
              </w:rPr>
              <w:t>Inland Transport Committee</w:t>
            </w:r>
          </w:p>
          <w:p w14:paraId="152E8973" w14:textId="77777777" w:rsidR="007F7B08" w:rsidRDefault="007F7B08" w:rsidP="007F7B08">
            <w:pPr>
              <w:spacing w:before="120"/>
              <w:rPr>
                <w:b/>
                <w:sz w:val="24"/>
                <w:szCs w:val="24"/>
              </w:rPr>
            </w:pPr>
            <w:r>
              <w:rPr>
                <w:b/>
                <w:sz w:val="24"/>
                <w:szCs w:val="24"/>
              </w:rPr>
              <w:t>Working Party on the Transport of Dangerous Goods</w:t>
            </w:r>
          </w:p>
          <w:p w14:paraId="355BC902" w14:textId="77777777" w:rsidR="007F7B08" w:rsidRPr="008F31D2" w:rsidRDefault="007F7B08" w:rsidP="007F7B08">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1D3B2F77" w14:textId="77777777" w:rsidR="007F7B08" w:rsidRPr="008D7010" w:rsidRDefault="007F7B08" w:rsidP="007F7B08">
            <w:pPr>
              <w:spacing w:before="120"/>
              <w:rPr>
                <w:b/>
              </w:rPr>
            </w:pPr>
            <w:r>
              <w:rPr>
                <w:b/>
              </w:rPr>
              <w:t xml:space="preserve">Thirty-ninth </w:t>
            </w:r>
            <w:r w:rsidRPr="008D7010">
              <w:rPr>
                <w:b/>
              </w:rPr>
              <w:t>session</w:t>
            </w:r>
          </w:p>
          <w:p w14:paraId="0298A4A0" w14:textId="77777777" w:rsidR="007F7B08" w:rsidRPr="00C25DCF" w:rsidRDefault="007F7B08" w:rsidP="007F7B08">
            <w:r w:rsidRPr="00C25DCF">
              <w:t>Geneva, 2</w:t>
            </w:r>
            <w:r>
              <w:t>4</w:t>
            </w:r>
            <w:r w:rsidRPr="00C25DCF">
              <w:t>–2</w:t>
            </w:r>
            <w:r>
              <w:t>8</w:t>
            </w:r>
            <w:r w:rsidRPr="00C25DCF">
              <w:t xml:space="preserve"> </w:t>
            </w:r>
            <w:r>
              <w:t>January</w:t>
            </w:r>
            <w:r w:rsidRPr="00C25DCF">
              <w:t xml:space="preserve"> 202</w:t>
            </w:r>
            <w:r>
              <w:t>2</w:t>
            </w:r>
          </w:p>
          <w:p w14:paraId="34F05109" w14:textId="3EAD2370" w:rsidR="007F7B08" w:rsidRDefault="007F7B08" w:rsidP="007F7B08">
            <w:r w:rsidRPr="00914E80">
              <w:t xml:space="preserve">Item </w:t>
            </w:r>
            <w:r w:rsidR="00BB6A03">
              <w:t>5</w:t>
            </w:r>
            <w:r w:rsidRPr="00914E80">
              <w:t xml:space="preserve"> (b) of the provisional agenda</w:t>
            </w:r>
          </w:p>
          <w:p w14:paraId="0A346744" w14:textId="77777777" w:rsidR="00C07845" w:rsidRPr="00C07845" w:rsidRDefault="00C07845" w:rsidP="00C07845">
            <w:pPr>
              <w:spacing w:line="240" w:lineRule="auto"/>
              <w:rPr>
                <w:b/>
                <w:lang w:val="en-US"/>
              </w:rPr>
            </w:pPr>
            <w:r w:rsidRPr="00C07845">
              <w:rPr>
                <w:b/>
                <w:lang w:val="en-US"/>
              </w:rPr>
              <w:t>Proposals for amendments to the Regulations annexed to ADN:</w:t>
            </w:r>
          </w:p>
          <w:p w14:paraId="176A437E" w14:textId="77777777" w:rsidR="00C07845" w:rsidRPr="00C07845" w:rsidRDefault="00C07845" w:rsidP="00C07845">
            <w:pPr>
              <w:spacing w:line="240" w:lineRule="auto"/>
              <w:rPr>
                <w:b/>
                <w:lang w:val="en-US"/>
              </w:rPr>
            </w:pPr>
            <w:r w:rsidRPr="00C07845">
              <w:rPr>
                <w:b/>
                <w:lang w:val="en-US"/>
              </w:rPr>
              <w:t>other proposals</w:t>
            </w:r>
          </w:p>
          <w:p w14:paraId="7361D18A" w14:textId="133564B2" w:rsidR="00BF25AD" w:rsidRPr="001945E9" w:rsidRDefault="00BF25AD" w:rsidP="00DD2B56">
            <w:pPr>
              <w:rPr>
                <w:b/>
                <w:bCs/>
              </w:rPr>
            </w:pPr>
          </w:p>
        </w:tc>
        <w:tc>
          <w:tcPr>
            <w:tcW w:w="2835" w:type="dxa"/>
            <w:tcBorders>
              <w:top w:val="single" w:sz="4" w:space="0" w:color="auto"/>
              <w:bottom w:val="single" w:sz="12" w:space="0" w:color="auto"/>
            </w:tcBorders>
          </w:tcPr>
          <w:p w14:paraId="304D15AA" w14:textId="77777777" w:rsidR="00BF25AD" w:rsidRDefault="00BF25AD" w:rsidP="00AB7095">
            <w:pPr>
              <w:spacing w:before="240" w:line="240" w:lineRule="exact"/>
            </w:pPr>
          </w:p>
          <w:p w14:paraId="165664C2" w14:textId="5A4AB023" w:rsidR="00BF25AD" w:rsidRDefault="00355F5B" w:rsidP="00AB7095">
            <w:pPr>
              <w:spacing w:before="240" w:line="240" w:lineRule="exact"/>
            </w:pPr>
            <w:r>
              <w:t>13</w:t>
            </w:r>
            <w:r w:rsidR="00BF25AD">
              <w:t xml:space="preserve"> January 2022</w:t>
            </w:r>
          </w:p>
          <w:p w14:paraId="7E541A62" w14:textId="77777777" w:rsidR="00355F5B" w:rsidRDefault="00355F5B" w:rsidP="00AB7095">
            <w:pPr>
              <w:spacing w:before="240" w:line="240" w:lineRule="exact"/>
            </w:pPr>
          </w:p>
          <w:p w14:paraId="0AB0811D" w14:textId="31F8584A" w:rsidR="00BF25AD" w:rsidRDefault="00BF25AD" w:rsidP="000571E2">
            <w:pPr>
              <w:spacing w:line="240" w:lineRule="exact"/>
            </w:pPr>
            <w:r>
              <w:t>English</w:t>
            </w:r>
          </w:p>
        </w:tc>
      </w:tr>
    </w:tbl>
    <w:p w14:paraId="03C13A5D" w14:textId="1D438094" w:rsidR="00A91925" w:rsidRPr="002406E2" w:rsidRDefault="00A91925" w:rsidP="00A91925">
      <w:pPr>
        <w:pStyle w:val="HChG"/>
        <w:rPr>
          <w:lang w:val="en-US"/>
        </w:rPr>
      </w:pPr>
      <w:r>
        <w:rPr>
          <w:lang w:val="en-US"/>
        </w:rPr>
        <w:tab/>
      </w:r>
      <w:r>
        <w:rPr>
          <w:lang w:val="en-US"/>
        </w:rPr>
        <w:tab/>
      </w:r>
      <w:r w:rsidRPr="002406E2">
        <w:rPr>
          <w:lang w:val="en-US"/>
        </w:rPr>
        <w:t>Language inconsistency in 3.3.1 ADN, Special Provision 651</w:t>
      </w:r>
    </w:p>
    <w:p w14:paraId="26E8B45D" w14:textId="638A047B" w:rsidR="00A91925" w:rsidRPr="002406E2" w:rsidRDefault="00A91925" w:rsidP="00A91925">
      <w:pPr>
        <w:pStyle w:val="H1G"/>
        <w:rPr>
          <w:bCs/>
          <w:lang w:val="en-US"/>
        </w:rPr>
      </w:pPr>
      <w:bookmarkStart w:id="0" w:name="OLE_LINK1"/>
      <w:r>
        <w:rPr>
          <w:lang w:val="en-US"/>
        </w:rPr>
        <w:tab/>
      </w:r>
      <w:r>
        <w:rPr>
          <w:lang w:val="en-US"/>
        </w:rPr>
        <w:tab/>
      </w:r>
      <w:r w:rsidRPr="002406E2">
        <w:rPr>
          <w:lang w:val="en-US"/>
        </w:rPr>
        <w:t>Submitted by the Central Commission for the Navigation of the Rhine (CCNR)</w:t>
      </w:r>
    </w:p>
    <w:p w14:paraId="485C1E90" w14:textId="77777777" w:rsidR="00A91925" w:rsidRPr="002406E2" w:rsidRDefault="00A91925" w:rsidP="00A91925">
      <w:pPr>
        <w:pStyle w:val="HChG"/>
        <w:rPr>
          <w:lang w:val="en-US"/>
        </w:rPr>
      </w:pPr>
      <w:r w:rsidRPr="002406E2">
        <w:rPr>
          <w:lang w:val="en-US"/>
        </w:rPr>
        <w:tab/>
      </w:r>
      <w:r w:rsidRPr="002406E2">
        <w:rPr>
          <w:lang w:val="en-US"/>
        </w:rPr>
        <w:tab/>
        <w:t>I.</w:t>
      </w:r>
      <w:r w:rsidRPr="002406E2">
        <w:rPr>
          <w:lang w:val="en-US"/>
        </w:rPr>
        <w:tab/>
        <w:t>Introduction</w:t>
      </w:r>
      <w:bookmarkStart w:id="1" w:name="_Hlk83902369"/>
      <w:bookmarkEnd w:id="1"/>
    </w:p>
    <w:p w14:paraId="110D5ECB" w14:textId="77777777" w:rsidR="00A91925" w:rsidRPr="002406E2" w:rsidRDefault="00A91925" w:rsidP="00A91925">
      <w:pPr>
        <w:pStyle w:val="SingleTxtG"/>
        <w:numPr>
          <w:ilvl w:val="0"/>
          <w:numId w:val="20"/>
        </w:numPr>
        <w:ind w:left="1134" w:firstLine="0"/>
        <w:rPr>
          <w:rFonts w:eastAsia="SimSun"/>
          <w:lang w:val="en-US" w:eastAsia="zh-CN"/>
        </w:rPr>
      </w:pPr>
      <w:r w:rsidRPr="002406E2">
        <w:rPr>
          <w:rFonts w:eastAsia="SimSun"/>
          <w:lang w:val="en-US" w:eastAsia="zh-CN"/>
        </w:rPr>
        <w:t xml:space="preserve">The CCNR Secretariat would like to draw the attention of the ADN Safety Committee to a </w:t>
      </w:r>
      <w:bookmarkStart w:id="2" w:name="_Hlk88740019"/>
      <w:r w:rsidRPr="002406E2">
        <w:rPr>
          <w:rFonts w:eastAsia="SimSun"/>
          <w:lang w:val="en-US" w:eastAsia="zh-CN"/>
        </w:rPr>
        <w:t xml:space="preserve">language inconsistency </w:t>
      </w:r>
      <w:bookmarkEnd w:id="2"/>
      <w:r w:rsidRPr="002406E2">
        <w:rPr>
          <w:rFonts w:eastAsia="SimSun"/>
          <w:lang w:val="en-US" w:eastAsia="zh-CN"/>
        </w:rPr>
        <w:t>between the German text on the one side and the English and French text of 3.3.1 ADN, special provision 651 on the other side.</w:t>
      </w:r>
    </w:p>
    <w:p w14:paraId="48FA5B7A" w14:textId="77777777" w:rsidR="00A91925" w:rsidRPr="002406E2" w:rsidRDefault="00A91925" w:rsidP="00A91925">
      <w:pPr>
        <w:pStyle w:val="HChG"/>
        <w:rPr>
          <w:lang w:val="en-US"/>
        </w:rPr>
      </w:pPr>
      <w:r w:rsidRPr="002406E2">
        <w:rPr>
          <w:lang w:val="en-US"/>
        </w:rPr>
        <w:tab/>
      </w:r>
      <w:r w:rsidRPr="002406E2">
        <w:rPr>
          <w:lang w:val="en-US"/>
        </w:rPr>
        <w:tab/>
        <w:t>II.</w:t>
      </w:r>
      <w:r w:rsidRPr="002406E2">
        <w:rPr>
          <w:lang w:val="en-US"/>
        </w:rPr>
        <w:tab/>
        <w:t>Content of ADR 2021</w:t>
      </w:r>
    </w:p>
    <w:p w14:paraId="479426F8" w14:textId="77777777" w:rsidR="00A91925" w:rsidRPr="002406E2" w:rsidRDefault="00A91925" w:rsidP="00A91925">
      <w:pPr>
        <w:pStyle w:val="SingleTxtG"/>
        <w:rPr>
          <w:rFonts w:eastAsia="SimSun"/>
          <w:lang w:val="en-US" w:eastAsia="zh-CN"/>
        </w:rPr>
      </w:pPr>
      <w:r w:rsidRPr="002406E2">
        <w:rPr>
          <w:rFonts w:eastAsia="SimSun"/>
          <w:lang w:val="en-US" w:eastAsia="zh-CN"/>
        </w:rPr>
        <w:t>2.</w:t>
      </w:r>
      <w:r w:rsidRPr="002406E2">
        <w:rPr>
          <w:rFonts w:eastAsia="SimSun"/>
          <w:lang w:val="en-US" w:eastAsia="zh-CN"/>
        </w:rPr>
        <w:tab/>
        <w:t>The text of 3.3.1 ADR, special provision 651 is harmonized between the three language versions of ADR:</w:t>
      </w:r>
    </w:p>
    <w:tbl>
      <w:tblPr>
        <w:tblStyle w:val="Tabelraster1"/>
        <w:tblW w:w="7734"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551"/>
        <w:gridCol w:w="2631"/>
      </w:tblGrid>
      <w:tr w:rsidR="00A91925" w:rsidRPr="002406E2" w14:paraId="3C4585FD" w14:textId="77777777" w:rsidTr="00E836D8">
        <w:trPr>
          <w:trHeight w:val="362"/>
          <w:tblHeader/>
        </w:trPr>
        <w:tc>
          <w:tcPr>
            <w:tcW w:w="2552" w:type="dxa"/>
            <w:tcBorders>
              <w:top w:val="single" w:sz="4" w:space="0" w:color="auto"/>
              <w:bottom w:val="single" w:sz="12" w:space="0" w:color="auto"/>
            </w:tcBorders>
          </w:tcPr>
          <w:p w14:paraId="19A7D528" w14:textId="77777777" w:rsidR="00A91925" w:rsidRPr="002406E2" w:rsidRDefault="00A91925" w:rsidP="00E836D8">
            <w:pPr>
              <w:suppressAutoHyphens w:val="0"/>
              <w:spacing w:before="80" w:after="80" w:line="200" w:lineRule="exact"/>
              <w:ind w:right="113"/>
              <w:rPr>
                <w:i/>
                <w:sz w:val="16"/>
                <w:lang w:val="en-US"/>
              </w:rPr>
            </w:pPr>
            <w:r w:rsidRPr="002406E2">
              <w:rPr>
                <w:i/>
                <w:sz w:val="16"/>
                <w:lang w:val="en-US"/>
              </w:rPr>
              <w:t>English</w:t>
            </w:r>
          </w:p>
        </w:tc>
        <w:tc>
          <w:tcPr>
            <w:tcW w:w="2551" w:type="dxa"/>
            <w:tcBorders>
              <w:top w:val="single" w:sz="4" w:space="0" w:color="auto"/>
              <w:bottom w:val="single" w:sz="12" w:space="0" w:color="auto"/>
            </w:tcBorders>
            <w:shd w:val="clear" w:color="auto" w:fill="auto"/>
            <w:vAlign w:val="bottom"/>
          </w:tcPr>
          <w:p w14:paraId="56A929EF" w14:textId="77777777" w:rsidR="00A91925" w:rsidRPr="002406E2" w:rsidRDefault="00A91925" w:rsidP="00E836D8">
            <w:pPr>
              <w:suppressAutoHyphens w:val="0"/>
              <w:spacing w:before="80" w:after="80" w:line="200" w:lineRule="exact"/>
              <w:ind w:right="113"/>
              <w:rPr>
                <w:i/>
                <w:sz w:val="16"/>
                <w:lang w:val="en-US"/>
              </w:rPr>
            </w:pPr>
            <w:r w:rsidRPr="002406E2">
              <w:rPr>
                <w:i/>
                <w:sz w:val="16"/>
                <w:lang w:val="en-US"/>
              </w:rPr>
              <w:t>French</w:t>
            </w:r>
          </w:p>
        </w:tc>
        <w:tc>
          <w:tcPr>
            <w:tcW w:w="2631" w:type="dxa"/>
            <w:tcBorders>
              <w:top w:val="single" w:sz="4" w:space="0" w:color="auto"/>
              <w:bottom w:val="single" w:sz="12" w:space="0" w:color="auto"/>
            </w:tcBorders>
            <w:shd w:val="clear" w:color="auto" w:fill="auto"/>
            <w:vAlign w:val="bottom"/>
          </w:tcPr>
          <w:p w14:paraId="32BA9DD3" w14:textId="77777777" w:rsidR="00A91925" w:rsidRPr="002406E2" w:rsidRDefault="00A91925" w:rsidP="00E836D8">
            <w:pPr>
              <w:suppressAutoHyphens w:val="0"/>
              <w:spacing w:before="80" w:after="80" w:line="200" w:lineRule="exact"/>
              <w:ind w:right="113"/>
              <w:rPr>
                <w:i/>
                <w:sz w:val="16"/>
                <w:lang w:val="en-US"/>
              </w:rPr>
            </w:pPr>
            <w:r w:rsidRPr="002406E2">
              <w:rPr>
                <w:i/>
                <w:sz w:val="16"/>
                <w:lang w:val="en-US"/>
              </w:rPr>
              <w:t>German</w:t>
            </w:r>
          </w:p>
        </w:tc>
      </w:tr>
      <w:tr w:rsidR="00A91925" w:rsidRPr="002406E2" w14:paraId="189F32B5" w14:textId="77777777" w:rsidTr="00E836D8">
        <w:trPr>
          <w:trHeight w:hRule="exact" w:val="113"/>
        </w:trPr>
        <w:tc>
          <w:tcPr>
            <w:tcW w:w="2552" w:type="dxa"/>
            <w:tcBorders>
              <w:top w:val="single" w:sz="12" w:space="0" w:color="auto"/>
            </w:tcBorders>
          </w:tcPr>
          <w:p w14:paraId="523208AF" w14:textId="77777777" w:rsidR="00A91925" w:rsidRPr="002406E2" w:rsidRDefault="00A91925" w:rsidP="00E836D8">
            <w:pPr>
              <w:suppressAutoHyphens w:val="0"/>
              <w:spacing w:before="40" w:after="120" w:line="220" w:lineRule="exact"/>
              <w:ind w:right="113"/>
              <w:rPr>
                <w:lang w:val="en-US"/>
              </w:rPr>
            </w:pPr>
          </w:p>
        </w:tc>
        <w:tc>
          <w:tcPr>
            <w:tcW w:w="2551" w:type="dxa"/>
            <w:tcBorders>
              <w:top w:val="single" w:sz="12" w:space="0" w:color="auto"/>
            </w:tcBorders>
            <w:shd w:val="clear" w:color="auto" w:fill="auto"/>
          </w:tcPr>
          <w:p w14:paraId="6484103E" w14:textId="77777777" w:rsidR="00A91925" w:rsidRPr="002406E2" w:rsidRDefault="00A91925" w:rsidP="00E836D8">
            <w:pPr>
              <w:suppressAutoHyphens w:val="0"/>
              <w:spacing w:before="40" w:after="120" w:line="220" w:lineRule="exact"/>
              <w:ind w:right="113"/>
              <w:rPr>
                <w:lang w:val="en-US"/>
              </w:rPr>
            </w:pPr>
          </w:p>
        </w:tc>
        <w:tc>
          <w:tcPr>
            <w:tcW w:w="2631" w:type="dxa"/>
            <w:tcBorders>
              <w:top w:val="single" w:sz="12" w:space="0" w:color="auto"/>
            </w:tcBorders>
            <w:shd w:val="clear" w:color="auto" w:fill="auto"/>
          </w:tcPr>
          <w:p w14:paraId="396FFF3A" w14:textId="77777777" w:rsidR="00A91925" w:rsidRPr="002406E2" w:rsidRDefault="00A91925" w:rsidP="00E836D8">
            <w:pPr>
              <w:suppressAutoHyphens w:val="0"/>
              <w:spacing w:before="40" w:after="120" w:line="220" w:lineRule="exact"/>
              <w:ind w:right="113"/>
              <w:rPr>
                <w:lang w:val="en-US"/>
              </w:rPr>
            </w:pPr>
          </w:p>
        </w:tc>
      </w:tr>
      <w:tr w:rsidR="00A91925" w:rsidRPr="002406E2" w14:paraId="77976088" w14:textId="77777777" w:rsidTr="00E836D8">
        <w:trPr>
          <w:trHeight w:val="2157"/>
        </w:trPr>
        <w:tc>
          <w:tcPr>
            <w:tcW w:w="2552" w:type="dxa"/>
          </w:tcPr>
          <w:p w14:paraId="2E690D0A" w14:textId="77777777" w:rsidR="00A91925" w:rsidRPr="002406E2" w:rsidRDefault="00A91925" w:rsidP="00A91925">
            <w:pPr>
              <w:suppressAutoHyphens w:val="0"/>
              <w:spacing w:before="40" w:after="120" w:line="220" w:lineRule="exact"/>
              <w:ind w:right="113"/>
              <w:rPr>
                <w:lang w:val="en-US"/>
              </w:rPr>
            </w:pPr>
            <w:r w:rsidRPr="002406E2">
              <w:rPr>
                <w:lang w:val="en-US"/>
              </w:rPr>
              <w:t>Special provision V2 (1) does not apply if the net explosive mass per transport unit does not exceed 4 000 kg, provided that the net explosive mass per vehicle does not exceed 3 000 kg.</w:t>
            </w:r>
          </w:p>
        </w:tc>
        <w:tc>
          <w:tcPr>
            <w:tcW w:w="2551" w:type="dxa"/>
            <w:shd w:val="clear" w:color="auto" w:fill="auto"/>
          </w:tcPr>
          <w:p w14:paraId="0F2616D2" w14:textId="77777777" w:rsidR="00A91925" w:rsidRPr="002406E2" w:rsidRDefault="00A91925" w:rsidP="00A91925">
            <w:pPr>
              <w:suppressAutoHyphens w:val="0"/>
              <w:spacing w:before="40" w:after="120" w:line="220" w:lineRule="exact"/>
              <w:ind w:right="113"/>
              <w:rPr>
                <w:lang w:val="en-US"/>
              </w:rPr>
            </w:pPr>
            <w:r w:rsidRPr="002406E2">
              <w:rPr>
                <w:lang w:val="en-US"/>
              </w:rPr>
              <w:t xml:space="preserve">La disposition </w:t>
            </w:r>
            <w:proofErr w:type="spellStart"/>
            <w:r w:rsidRPr="002406E2">
              <w:rPr>
                <w:lang w:val="en-US"/>
              </w:rPr>
              <w:t>spéciale</w:t>
            </w:r>
            <w:proofErr w:type="spellEnd"/>
            <w:r w:rsidRPr="002406E2">
              <w:rPr>
                <w:lang w:val="en-US"/>
              </w:rPr>
              <w:t xml:space="preserve"> V2 (1) </w:t>
            </w:r>
            <w:proofErr w:type="spellStart"/>
            <w:r w:rsidRPr="002406E2">
              <w:rPr>
                <w:lang w:val="en-US"/>
              </w:rPr>
              <w:t>n’est</w:t>
            </w:r>
            <w:proofErr w:type="spellEnd"/>
            <w:r w:rsidRPr="002406E2">
              <w:rPr>
                <w:lang w:val="en-US"/>
              </w:rPr>
              <w:t xml:space="preserve"> pas applicable </w:t>
            </w:r>
            <w:proofErr w:type="spellStart"/>
            <w:r w:rsidRPr="002406E2">
              <w:rPr>
                <w:lang w:val="en-US"/>
              </w:rPr>
              <w:t>si</w:t>
            </w:r>
            <w:proofErr w:type="spellEnd"/>
            <w:r w:rsidRPr="002406E2">
              <w:rPr>
                <w:lang w:val="en-US"/>
              </w:rPr>
              <w:t xml:space="preserve"> la masse </w:t>
            </w:r>
            <w:proofErr w:type="spellStart"/>
            <w:r w:rsidRPr="002406E2">
              <w:rPr>
                <w:lang w:val="en-US"/>
              </w:rPr>
              <w:t>nette</w:t>
            </w:r>
            <w:proofErr w:type="spellEnd"/>
            <w:r w:rsidRPr="002406E2">
              <w:rPr>
                <w:lang w:val="en-US"/>
              </w:rPr>
              <w:t xml:space="preserve"> de matières </w:t>
            </w:r>
            <w:proofErr w:type="spellStart"/>
            <w:r w:rsidRPr="002406E2">
              <w:rPr>
                <w:lang w:val="en-US"/>
              </w:rPr>
              <w:t>explosibles</w:t>
            </w:r>
            <w:proofErr w:type="spellEnd"/>
            <w:r w:rsidRPr="002406E2">
              <w:rPr>
                <w:lang w:val="en-US"/>
              </w:rPr>
              <w:t xml:space="preserve"> par </w:t>
            </w:r>
            <w:proofErr w:type="spellStart"/>
            <w:r w:rsidRPr="002406E2">
              <w:rPr>
                <w:lang w:val="en-US"/>
              </w:rPr>
              <w:t>unité</w:t>
            </w:r>
            <w:proofErr w:type="spellEnd"/>
            <w:r w:rsidRPr="002406E2">
              <w:rPr>
                <w:lang w:val="en-US"/>
              </w:rPr>
              <w:t xml:space="preserve"> de transport ne </w:t>
            </w:r>
            <w:proofErr w:type="spellStart"/>
            <w:r w:rsidRPr="002406E2">
              <w:rPr>
                <w:lang w:val="en-US"/>
              </w:rPr>
              <w:t>dépasse</w:t>
            </w:r>
            <w:proofErr w:type="spellEnd"/>
            <w:r w:rsidRPr="002406E2">
              <w:rPr>
                <w:lang w:val="en-US"/>
              </w:rPr>
              <w:t xml:space="preserve"> pas 4000 kg, sous </w:t>
            </w:r>
            <w:proofErr w:type="spellStart"/>
            <w:r w:rsidRPr="002406E2">
              <w:rPr>
                <w:lang w:val="en-US"/>
              </w:rPr>
              <w:t>réserve</w:t>
            </w:r>
            <w:proofErr w:type="spellEnd"/>
            <w:r w:rsidRPr="002406E2">
              <w:rPr>
                <w:lang w:val="en-US"/>
              </w:rPr>
              <w:t xml:space="preserve"> que la masse </w:t>
            </w:r>
            <w:proofErr w:type="spellStart"/>
            <w:r w:rsidRPr="002406E2">
              <w:rPr>
                <w:lang w:val="en-US"/>
              </w:rPr>
              <w:t>nette</w:t>
            </w:r>
            <w:proofErr w:type="spellEnd"/>
            <w:r w:rsidRPr="002406E2">
              <w:rPr>
                <w:lang w:val="en-US"/>
              </w:rPr>
              <w:t xml:space="preserve"> de matières </w:t>
            </w:r>
            <w:proofErr w:type="spellStart"/>
            <w:r w:rsidRPr="002406E2">
              <w:rPr>
                <w:lang w:val="en-US"/>
              </w:rPr>
              <w:t>explosibles</w:t>
            </w:r>
            <w:proofErr w:type="spellEnd"/>
            <w:r w:rsidRPr="002406E2">
              <w:rPr>
                <w:lang w:val="en-US"/>
              </w:rPr>
              <w:t xml:space="preserve"> par </w:t>
            </w:r>
            <w:proofErr w:type="spellStart"/>
            <w:r w:rsidRPr="002406E2">
              <w:rPr>
                <w:lang w:val="en-US"/>
              </w:rPr>
              <w:t>véhicule</w:t>
            </w:r>
            <w:proofErr w:type="spellEnd"/>
            <w:r w:rsidRPr="002406E2">
              <w:rPr>
                <w:lang w:val="en-US"/>
              </w:rPr>
              <w:t xml:space="preserve"> ne </w:t>
            </w:r>
            <w:proofErr w:type="spellStart"/>
            <w:r w:rsidRPr="002406E2">
              <w:rPr>
                <w:lang w:val="en-US"/>
              </w:rPr>
              <w:t>dépasse</w:t>
            </w:r>
            <w:proofErr w:type="spellEnd"/>
            <w:r w:rsidRPr="002406E2">
              <w:rPr>
                <w:lang w:val="en-US"/>
              </w:rPr>
              <w:t xml:space="preserve"> pas 3000 kg.</w:t>
            </w:r>
          </w:p>
        </w:tc>
        <w:tc>
          <w:tcPr>
            <w:tcW w:w="2631" w:type="dxa"/>
            <w:shd w:val="clear" w:color="auto" w:fill="auto"/>
          </w:tcPr>
          <w:p w14:paraId="43463621" w14:textId="77777777" w:rsidR="00A91925" w:rsidRPr="002406E2" w:rsidRDefault="00A91925" w:rsidP="00A91925">
            <w:pPr>
              <w:suppressAutoHyphens w:val="0"/>
              <w:spacing w:before="40" w:after="120" w:line="220" w:lineRule="exact"/>
              <w:ind w:right="113"/>
              <w:rPr>
                <w:lang w:val="en-US"/>
              </w:rPr>
            </w:pPr>
            <w:r w:rsidRPr="002406E2">
              <w:rPr>
                <w:lang w:val="en-US"/>
              </w:rPr>
              <w:t xml:space="preserve">Die </w:t>
            </w:r>
            <w:proofErr w:type="spellStart"/>
            <w:r w:rsidRPr="002406E2">
              <w:rPr>
                <w:lang w:val="en-US"/>
              </w:rPr>
              <w:t>Sondervorschrift</w:t>
            </w:r>
            <w:proofErr w:type="spellEnd"/>
            <w:r w:rsidRPr="002406E2">
              <w:rPr>
                <w:lang w:val="en-US"/>
              </w:rPr>
              <w:t xml:space="preserve"> V 2 (1) </w:t>
            </w:r>
            <w:proofErr w:type="spellStart"/>
            <w:r w:rsidRPr="002406E2">
              <w:rPr>
                <w:lang w:val="en-US"/>
              </w:rPr>
              <w:t>ist</w:t>
            </w:r>
            <w:proofErr w:type="spellEnd"/>
            <w:r w:rsidRPr="002406E2">
              <w:rPr>
                <w:lang w:val="en-US"/>
              </w:rPr>
              <w:t xml:space="preserve"> </w:t>
            </w:r>
            <w:proofErr w:type="spellStart"/>
            <w:r w:rsidRPr="002406E2">
              <w:rPr>
                <w:lang w:val="en-US"/>
              </w:rPr>
              <w:t>nicht</w:t>
            </w:r>
            <w:proofErr w:type="spellEnd"/>
            <w:r w:rsidRPr="002406E2">
              <w:rPr>
                <w:lang w:val="en-US"/>
              </w:rPr>
              <w:t xml:space="preserve"> </w:t>
            </w:r>
            <w:proofErr w:type="spellStart"/>
            <w:r w:rsidRPr="002406E2">
              <w:rPr>
                <w:lang w:val="en-US"/>
              </w:rPr>
              <w:t>anwendbar</w:t>
            </w:r>
            <w:proofErr w:type="spellEnd"/>
            <w:r w:rsidRPr="002406E2">
              <w:rPr>
                <w:lang w:val="en-US"/>
              </w:rPr>
              <w:t xml:space="preserve">, </w:t>
            </w:r>
            <w:proofErr w:type="spellStart"/>
            <w:r w:rsidRPr="002406E2">
              <w:rPr>
                <w:lang w:val="en-US"/>
              </w:rPr>
              <w:t>wenn</w:t>
            </w:r>
            <w:proofErr w:type="spellEnd"/>
            <w:r w:rsidRPr="002406E2">
              <w:rPr>
                <w:lang w:val="en-US"/>
              </w:rPr>
              <w:t xml:space="preserve"> die </w:t>
            </w:r>
            <w:proofErr w:type="spellStart"/>
            <w:r w:rsidRPr="002406E2">
              <w:rPr>
                <w:lang w:val="en-US"/>
              </w:rPr>
              <w:t>Nettoexplosivstoffmasse</w:t>
            </w:r>
            <w:proofErr w:type="spellEnd"/>
            <w:r w:rsidRPr="002406E2">
              <w:rPr>
                <w:lang w:val="en-US"/>
              </w:rPr>
              <w:t xml:space="preserve"> je </w:t>
            </w:r>
            <w:proofErr w:type="spellStart"/>
            <w:r w:rsidRPr="002406E2">
              <w:rPr>
                <w:lang w:val="en-US"/>
              </w:rPr>
              <w:t>Beförderungseinheit</w:t>
            </w:r>
            <w:proofErr w:type="spellEnd"/>
            <w:r w:rsidRPr="002406E2">
              <w:rPr>
                <w:lang w:val="en-US"/>
              </w:rPr>
              <w:t xml:space="preserve"> </w:t>
            </w:r>
            <w:proofErr w:type="spellStart"/>
            <w:r w:rsidRPr="002406E2">
              <w:rPr>
                <w:lang w:val="en-US"/>
              </w:rPr>
              <w:t>nicht</w:t>
            </w:r>
            <w:proofErr w:type="spellEnd"/>
            <w:r w:rsidRPr="002406E2">
              <w:rPr>
                <w:lang w:val="en-US"/>
              </w:rPr>
              <w:t xml:space="preserve"> </w:t>
            </w:r>
            <w:proofErr w:type="spellStart"/>
            <w:r w:rsidRPr="002406E2">
              <w:rPr>
                <w:lang w:val="en-US"/>
              </w:rPr>
              <w:t>höher</w:t>
            </w:r>
            <w:proofErr w:type="spellEnd"/>
            <w:r w:rsidRPr="002406E2">
              <w:rPr>
                <w:lang w:val="en-US"/>
              </w:rPr>
              <w:t xml:space="preserve"> </w:t>
            </w:r>
            <w:proofErr w:type="spellStart"/>
            <w:r w:rsidRPr="002406E2">
              <w:rPr>
                <w:lang w:val="en-US"/>
              </w:rPr>
              <w:t>ist</w:t>
            </w:r>
            <w:proofErr w:type="spellEnd"/>
            <w:r w:rsidRPr="002406E2">
              <w:rPr>
                <w:lang w:val="en-US"/>
              </w:rPr>
              <w:t xml:space="preserve"> </w:t>
            </w:r>
            <w:proofErr w:type="spellStart"/>
            <w:r w:rsidRPr="002406E2">
              <w:rPr>
                <w:lang w:val="en-US"/>
              </w:rPr>
              <w:t>als</w:t>
            </w:r>
            <w:proofErr w:type="spellEnd"/>
            <w:r w:rsidRPr="002406E2">
              <w:rPr>
                <w:lang w:val="en-US"/>
              </w:rPr>
              <w:t xml:space="preserve"> 4000 kg, </w:t>
            </w:r>
            <w:proofErr w:type="spellStart"/>
            <w:r w:rsidRPr="002406E2">
              <w:rPr>
                <w:lang w:val="en-US"/>
              </w:rPr>
              <w:t>vorausgesetzt</w:t>
            </w:r>
            <w:proofErr w:type="spellEnd"/>
            <w:r w:rsidRPr="002406E2">
              <w:rPr>
                <w:lang w:val="en-US"/>
              </w:rPr>
              <w:t xml:space="preserve"> die </w:t>
            </w:r>
            <w:proofErr w:type="spellStart"/>
            <w:r w:rsidRPr="002406E2">
              <w:rPr>
                <w:lang w:val="en-US"/>
              </w:rPr>
              <w:t>Nettoexplosivstoffmasse</w:t>
            </w:r>
            <w:proofErr w:type="spellEnd"/>
            <w:r w:rsidRPr="002406E2">
              <w:rPr>
                <w:lang w:val="en-US"/>
              </w:rPr>
              <w:t xml:space="preserve"> je </w:t>
            </w:r>
            <w:proofErr w:type="spellStart"/>
            <w:r w:rsidRPr="002406E2">
              <w:rPr>
                <w:lang w:val="en-US"/>
              </w:rPr>
              <w:t>Fahrzeug</w:t>
            </w:r>
            <w:proofErr w:type="spellEnd"/>
            <w:r w:rsidRPr="002406E2">
              <w:rPr>
                <w:lang w:val="en-US"/>
              </w:rPr>
              <w:t xml:space="preserve"> </w:t>
            </w:r>
            <w:proofErr w:type="spellStart"/>
            <w:r w:rsidRPr="002406E2">
              <w:rPr>
                <w:lang w:val="en-US"/>
              </w:rPr>
              <w:t>ist</w:t>
            </w:r>
            <w:proofErr w:type="spellEnd"/>
            <w:r w:rsidRPr="002406E2">
              <w:rPr>
                <w:lang w:val="en-US"/>
              </w:rPr>
              <w:t xml:space="preserve"> </w:t>
            </w:r>
            <w:proofErr w:type="spellStart"/>
            <w:r w:rsidRPr="002406E2">
              <w:rPr>
                <w:lang w:val="en-US"/>
              </w:rPr>
              <w:t>nicht</w:t>
            </w:r>
            <w:proofErr w:type="spellEnd"/>
            <w:r w:rsidRPr="002406E2">
              <w:rPr>
                <w:lang w:val="en-US"/>
              </w:rPr>
              <w:t xml:space="preserve"> </w:t>
            </w:r>
            <w:proofErr w:type="spellStart"/>
            <w:r w:rsidRPr="002406E2">
              <w:rPr>
                <w:lang w:val="en-US"/>
              </w:rPr>
              <w:t>höher</w:t>
            </w:r>
            <w:proofErr w:type="spellEnd"/>
            <w:r w:rsidRPr="002406E2">
              <w:rPr>
                <w:lang w:val="en-US"/>
              </w:rPr>
              <w:t xml:space="preserve"> </w:t>
            </w:r>
            <w:proofErr w:type="spellStart"/>
            <w:r w:rsidRPr="002406E2">
              <w:rPr>
                <w:lang w:val="en-US"/>
              </w:rPr>
              <w:t>als</w:t>
            </w:r>
            <w:proofErr w:type="spellEnd"/>
            <w:r w:rsidRPr="002406E2">
              <w:rPr>
                <w:lang w:val="en-US"/>
              </w:rPr>
              <w:t xml:space="preserve"> 3000 kg.</w:t>
            </w:r>
          </w:p>
        </w:tc>
      </w:tr>
    </w:tbl>
    <w:p w14:paraId="055F4BBA" w14:textId="77777777" w:rsidR="00A91925" w:rsidRPr="002406E2" w:rsidRDefault="00A91925" w:rsidP="00A91925">
      <w:pPr>
        <w:tabs>
          <w:tab w:val="left" w:pos="1701"/>
          <w:tab w:val="left" w:pos="2268"/>
        </w:tabs>
        <w:spacing w:after="120"/>
        <w:ind w:left="1134" w:right="1134"/>
        <w:jc w:val="both"/>
        <w:rPr>
          <w:rFonts w:eastAsia="SimSun"/>
          <w:lang w:val="en-US" w:eastAsia="zh-CN"/>
        </w:rPr>
      </w:pPr>
    </w:p>
    <w:p w14:paraId="33E8DE09" w14:textId="77777777" w:rsidR="00A91925" w:rsidRPr="002406E2" w:rsidRDefault="00A91925" w:rsidP="00A91925">
      <w:pPr>
        <w:suppressAutoHyphens w:val="0"/>
        <w:spacing w:line="240" w:lineRule="auto"/>
        <w:rPr>
          <w:b/>
          <w:sz w:val="28"/>
          <w:lang w:val="en-US"/>
        </w:rPr>
      </w:pPr>
      <w:r w:rsidRPr="002406E2">
        <w:rPr>
          <w:b/>
          <w:sz w:val="28"/>
          <w:lang w:val="en-US"/>
        </w:rPr>
        <w:br w:type="page"/>
      </w:r>
    </w:p>
    <w:p w14:paraId="079AD358" w14:textId="77777777" w:rsidR="00A91925" w:rsidRPr="002406E2" w:rsidRDefault="00A91925" w:rsidP="00A2567F">
      <w:pPr>
        <w:pStyle w:val="HChG"/>
        <w:rPr>
          <w:lang w:val="en-US"/>
        </w:rPr>
      </w:pPr>
      <w:r w:rsidRPr="002406E2">
        <w:rPr>
          <w:lang w:val="en-US"/>
        </w:rPr>
        <w:lastRenderedPageBreak/>
        <w:tab/>
      </w:r>
      <w:r w:rsidRPr="002406E2">
        <w:rPr>
          <w:lang w:val="en-US"/>
        </w:rPr>
        <w:tab/>
        <w:t>III.</w:t>
      </w:r>
      <w:r w:rsidRPr="002406E2">
        <w:rPr>
          <w:lang w:val="en-US"/>
        </w:rPr>
        <w:tab/>
        <w:t>Content of ADN 2021</w:t>
      </w:r>
    </w:p>
    <w:p w14:paraId="59AA82CD" w14:textId="77777777" w:rsidR="00A91925" w:rsidRPr="002406E2" w:rsidRDefault="00A91925" w:rsidP="00A2567F">
      <w:pPr>
        <w:pStyle w:val="SingleTxtG"/>
        <w:rPr>
          <w:rFonts w:eastAsia="SimSun"/>
          <w:lang w:val="en-US" w:eastAsia="zh-CN"/>
        </w:rPr>
      </w:pPr>
      <w:r w:rsidRPr="002406E2">
        <w:rPr>
          <w:rFonts w:eastAsia="SimSun"/>
          <w:lang w:val="en-US" w:eastAsia="zh-CN"/>
        </w:rPr>
        <w:t>3.</w:t>
      </w:r>
      <w:r w:rsidRPr="002406E2">
        <w:rPr>
          <w:rFonts w:eastAsia="SimSun"/>
          <w:lang w:val="en-US" w:eastAsia="zh-CN"/>
        </w:rPr>
        <w:tab/>
        <w:t>The text of 3.3.1 ADN, special provision 651 in the German ADN versions follows the wording of 3.3.1 ADR, special provision 651. In French and English, a different wording is used:</w:t>
      </w:r>
    </w:p>
    <w:tbl>
      <w:tblPr>
        <w:tblStyle w:val="Tabelraster1"/>
        <w:tblW w:w="7734"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551"/>
        <w:gridCol w:w="2631"/>
      </w:tblGrid>
      <w:tr w:rsidR="00A91925" w:rsidRPr="002406E2" w14:paraId="05704401" w14:textId="77777777" w:rsidTr="00E836D8">
        <w:trPr>
          <w:trHeight w:val="362"/>
          <w:tblHeader/>
        </w:trPr>
        <w:tc>
          <w:tcPr>
            <w:tcW w:w="2552" w:type="dxa"/>
            <w:tcBorders>
              <w:top w:val="single" w:sz="4" w:space="0" w:color="auto"/>
              <w:bottom w:val="single" w:sz="12" w:space="0" w:color="auto"/>
            </w:tcBorders>
          </w:tcPr>
          <w:p w14:paraId="7D68D646" w14:textId="77777777" w:rsidR="00A91925" w:rsidRPr="002406E2" w:rsidRDefault="00A91925" w:rsidP="00E836D8">
            <w:pPr>
              <w:suppressAutoHyphens w:val="0"/>
              <w:spacing w:before="80" w:after="80" w:line="200" w:lineRule="exact"/>
              <w:ind w:right="113"/>
              <w:rPr>
                <w:i/>
                <w:sz w:val="16"/>
                <w:lang w:val="en-US"/>
              </w:rPr>
            </w:pPr>
            <w:r w:rsidRPr="002406E2">
              <w:rPr>
                <w:i/>
                <w:sz w:val="16"/>
                <w:lang w:val="en-US"/>
              </w:rPr>
              <w:t>English</w:t>
            </w:r>
          </w:p>
        </w:tc>
        <w:tc>
          <w:tcPr>
            <w:tcW w:w="2551" w:type="dxa"/>
            <w:tcBorders>
              <w:top w:val="single" w:sz="4" w:space="0" w:color="auto"/>
              <w:bottom w:val="single" w:sz="12" w:space="0" w:color="auto"/>
            </w:tcBorders>
            <w:shd w:val="clear" w:color="auto" w:fill="auto"/>
            <w:vAlign w:val="bottom"/>
          </w:tcPr>
          <w:p w14:paraId="39F13989" w14:textId="77777777" w:rsidR="00A91925" w:rsidRPr="002406E2" w:rsidRDefault="00A91925" w:rsidP="00E836D8">
            <w:pPr>
              <w:suppressAutoHyphens w:val="0"/>
              <w:spacing w:before="80" w:after="80" w:line="200" w:lineRule="exact"/>
              <w:ind w:right="113"/>
              <w:rPr>
                <w:i/>
                <w:sz w:val="16"/>
                <w:lang w:val="en-US"/>
              </w:rPr>
            </w:pPr>
            <w:r w:rsidRPr="002406E2">
              <w:rPr>
                <w:i/>
                <w:sz w:val="16"/>
                <w:lang w:val="en-US"/>
              </w:rPr>
              <w:t>French</w:t>
            </w:r>
          </w:p>
        </w:tc>
        <w:tc>
          <w:tcPr>
            <w:tcW w:w="2631" w:type="dxa"/>
            <w:tcBorders>
              <w:top w:val="single" w:sz="4" w:space="0" w:color="auto"/>
              <w:bottom w:val="single" w:sz="12" w:space="0" w:color="auto"/>
            </w:tcBorders>
            <w:shd w:val="clear" w:color="auto" w:fill="auto"/>
            <w:vAlign w:val="bottom"/>
          </w:tcPr>
          <w:p w14:paraId="76390B37" w14:textId="77777777" w:rsidR="00A91925" w:rsidRPr="002406E2" w:rsidRDefault="00A91925" w:rsidP="00E836D8">
            <w:pPr>
              <w:suppressAutoHyphens w:val="0"/>
              <w:spacing w:before="80" w:after="80" w:line="200" w:lineRule="exact"/>
              <w:ind w:right="113"/>
              <w:rPr>
                <w:i/>
                <w:sz w:val="16"/>
                <w:lang w:val="en-US"/>
              </w:rPr>
            </w:pPr>
            <w:r w:rsidRPr="002406E2">
              <w:rPr>
                <w:i/>
                <w:sz w:val="16"/>
                <w:lang w:val="en-US"/>
              </w:rPr>
              <w:t>German</w:t>
            </w:r>
          </w:p>
        </w:tc>
      </w:tr>
      <w:tr w:rsidR="00A91925" w:rsidRPr="002406E2" w14:paraId="40B95A0E" w14:textId="77777777" w:rsidTr="00E836D8">
        <w:trPr>
          <w:trHeight w:hRule="exact" w:val="113"/>
        </w:trPr>
        <w:tc>
          <w:tcPr>
            <w:tcW w:w="2552" w:type="dxa"/>
            <w:tcBorders>
              <w:top w:val="single" w:sz="12" w:space="0" w:color="auto"/>
            </w:tcBorders>
          </w:tcPr>
          <w:p w14:paraId="3EED9A21" w14:textId="77777777" w:rsidR="00A91925" w:rsidRPr="002406E2" w:rsidRDefault="00A91925" w:rsidP="00E836D8">
            <w:pPr>
              <w:suppressAutoHyphens w:val="0"/>
              <w:spacing w:before="40" w:after="120" w:line="220" w:lineRule="exact"/>
              <w:ind w:right="113"/>
              <w:rPr>
                <w:lang w:val="en-US"/>
              </w:rPr>
            </w:pPr>
          </w:p>
        </w:tc>
        <w:tc>
          <w:tcPr>
            <w:tcW w:w="2551" w:type="dxa"/>
            <w:tcBorders>
              <w:top w:val="single" w:sz="12" w:space="0" w:color="auto"/>
            </w:tcBorders>
            <w:shd w:val="clear" w:color="auto" w:fill="auto"/>
          </w:tcPr>
          <w:p w14:paraId="3C3EAD92" w14:textId="77777777" w:rsidR="00A91925" w:rsidRPr="002406E2" w:rsidRDefault="00A91925" w:rsidP="00E836D8">
            <w:pPr>
              <w:suppressAutoHyphens w:val="0"/>
              <w:spacing w:before="40" w:after="120" w:line="220" w:lineRule="exact"/>
              <w:ind w:right="113"/>
              <w:rPr>
                <w:lang w:val="en-US"/>
              </w:rPr>
            </w:pPr>
          </w:p>
        </w:tc>
        <w:tc>
          <w:tcPr>
            <w:tcW w:w="2631" w:type="dxa"/>
            <w:tcBorders>
              <w:top w:val="single" w:sz="12" w:space="0" w:color="auto"/>
            </w:tcBorders>
            <w:shd w:val="clear" w:color="auto" w:fill="auto"/>
          </w:tcPr>
          <w:p w14:paraId="4B957BC0" w14:textId="77777777" w:rsidR="00A91925" w:rsidRPr="002406E2" w:rsidRDefault="00A91925" w:rsidP="00E836D8">
            <w:pPr>
              <w:suppressAutoHyphens w:val="0"/>
              <w:spacing w:before="40" w:after="120" w:line="220" w:lineRule="exact"/>
              <w:ind w:right="113"/>
              <w:rPr>
                <w:lang w:val="en-US"/>
              </w:rPr>
            </w:pPr>
          </w:p>
        </w:tc>
      </w:tr>
      <w:tr w:rsidR="00A91925" w:rsidRPr="002406E2" w14:paraId="42BCF082" w14:textId="77777777" w:rsidTr="00E836D8">
        <w:trPr>
          <w:trHeight w:val="2157"/>
        </w:trPr>
        <w:tc>
          <w:tcPr>
            <w:tcW w:w="2552" w:type="dxa"/>
          </w:tcPr>
          <w:p w14:paraId="21C094BE" w14:textId="77777777" w:rsidR="00A91925" w:rsidRPr="002406E2" w:rsidRDefault="00A91925" w:rsidP="00E836D8">
            <w:pPr>
              <w:rPr>
                <w:lang w:val="en-US"/>
              </w:rPr>
            </w:pPr>
            <w:r w:rsidRPr="002406E2">
              <w:rPr>
                <w:lang w:val="en-US"/>
              </w:rPr>
              <w:t>Special provision V2 (1) of ADR is only applicable for a net explosive content of more than 3,000 kg (4,000 kg with trailer).</w:t>
            </w:r>
          </w:p>
        </w:tc>
        <w:tc>
          <w:tcPr>
            <w:tcW w:w="2551" w:type="dxa"/>
            <w:shd w:val="clear" w:color="auto" w:fill="auto"/>
          </w:tcPr>
          <w:p w14:paraId="741705B3" w14:textId="77777777" w:rsidR="00A91925" w:rsidRPr="002406E2" w:rsidRDefault="00A91925" w:rsidP="00E836D8">
            <w:pPr>
              <w:suppressAutoHyphens w:val="0"/>
              <w:spacing w:before="40" w:after="120" w:line="220" w:lineRule="exact"/>
              <w:ind w:left="161" w:right="113"/>
              <w:rPr>
                <w:lang w:val="en-US"/>
              </w:rPr>
            </w:pPr>
            <w:r w:rsidRPr="002406E2">
              <w:rPr>
                <w:lang w:val="en-US"/>
              </w:rPr>
              <w:t xml:space="preserve">La disposition </w:t>
            </w:r>
            <w:proofErr w:type="spellStart"/>
            <w:r w:rsidRPr="002406E2">
              <w:rPr>
                <w:lang w:val="en-US"/>
              </w:rPr>
              <w:t>spéciale</w:t>
            </w:r>
            <w:proofErr w:type="spellEnd"/>
            <w:r w:rsidRPr="002406E2">
              <w:rPr>
                <w:lang w:val="en-US"/>
              </w:rPr>
              <w:t xml:space="preserve"> V2 (1) </w:t>
            </w:r>
            <w:bookmarkStart w:id="3" w:name="_Hlk92813242"/>
            <w:r w:rsidRPr="002406E2">
              <w:rPr>
                <w:lang w:val="en-US"/>
              </w:rPr>
              <w:t xml:space="preserve">de </w:t>
            </w:r>
            <w:proofErr w:type="spellStart"/>
            <w:r w:rsidRPr="002406E2">
              <w:rPr>
                <w:lang w:val="en-US"/>
              </w:rPr>
              <w:t>l’ADR</w:t>
            </w:r>
            <w:proofErr w:type="spellEnd"/>
            <w:r w:rsidRPr="002406E2">
              <w:rPr>
                <w:lang w:val="en-US"/>
              </w:rPr>
              <w:t xml:space="preserve"> </w:t>
            </w:r>
            <w:bookmarkEnd w:id="3"/>
            <w:proofErr w:type="spellStart"/>
            <w:r w:rsidRPr="002406E2">
              <w:rPr>
                <w:lang w:val="en-US"/>
              </w:rPr>
              <w:t>s’applique</w:t>
            </w:r>
            <w:proofErr w:type="spellEnd"/>
            <w:r w:rsidRPr="002406E2">
              <w:rPr>
                <w:lang w:val="en-US"/>
              </w:rPr>
              <w:t xml:space="preserve"> </w:t>
            </w:r>
            <w:proofErr w:type="spellStart"/>
            <w:r w:rsidRPr="002406E2">
              <w:rPr>
                <w:lang w:val="en-US"/>
              </w:rPr>
              <w:t>seulement</w:t>
            </w:r>
            <w:proofErr w:type="spellEnd"/>
            <w:r w:rsidRPr="002406E2">
              <w:rPr>
                <w:lang w:val="en-US"/>
              </w:rPr>
              <w:t xml:space="preserve"> </w:t>
            </w:r>
            <w:proofErr w:type="spellStart"/>
            <w:r w:rsidRPr="002406E2">
              <w:rPr>
                <w:lang w:val="en-US"/>
              </w:rPr>
              <w:t>lorsque</w:t>
            </w:r>
            <w:proofErr w:type="spellEnd"/>
            <w:r w:rsidRPr="002406E2">
              <w:rPr>
                <w:lang w:val="en-US"/>
              </w:rPr>
              <w:t xml:space="preserve"> le </w:t>
            </w:r>
            <w:proofErr w:type="spellStart"/>
            <w:r w:rsidRPr="002406E2">
              <w:rPr>
                <w:lang w:val="en-US"/>
              </w:rPr>
              <w:t>contenu</w:t>
            </w:r>
            <w:proofErr w:type="spellEnd"/>
            <w:r w:rsidRPr="002406E2">
              <w:rPr>
                <w:lang w:val="en-US"/>
              </w:rPr>
              <w:t xml:space="preserve"> net de matière explosible </w:t>
            </w:r>
            <w:proofErr w:type="spellStart"/>
            <w:r w:rsidRPr="002406E2">
              <w:rPr>
                <w:lang w:val="en-US"/>
              </w:rPr>
              <w:t>dépasse</w:t>
            </w:r>
            <w:proofErr w:type="spellEnd"/>
            <w:r w:rsidRPr="002406E2">
              <w:rPr>
                <w:lang w:val="en-US"/>
              </w:rPr>
              <w:t xml:space="preserve"> 3 000 kg (4 000 kg avec </w:t>
            </w:r>
            <w:proofErr w:type="spellStart"/>
            <w:r w:rsidRPr="002406E2">
              <w:rPr>
                <w:lang w:val="en-US"/>
              </w:rPr>
              <w:t>remorque</w:t>
            </w:r>
            <w:proofErr w:type="spellEnd"/>
            <w:r w:rsidRPr="002406E2">
              <w:rPr>
                <w:lang w:val="en-US"/>
              </w:rPr>
              <w:t>).</w:t>
            </w:r>
          </w:p>
        </w:tc>
        <w:tc>
          <w:tcPr>
            <w:tcW w:w="2631" w:type="dxa"/>
            <w:shd w:val="clear" w:color="auto" w:fill="auto"/>
          </w:tcPr>
          <w:p w14:paraId="3242AB93" w14:textId="77777777" w:rsidR="00A91925" w:rsidRPr="002406E2" w:rsidRDefault="00A91925" w:rsidP="00E836D8">
            <w:pPr>
              <w:rPr>
                <w:lang w:val="en-US"/>
              </w:rPr>
            </w:pPr>
            <w:r w:rsidRPr="002406E2">
              <w:rPr>
                <w:lang w:val="en-US"/>
              </w:rPr>
              <w:t xml:space="preserve">Die </w:t>
            </w:r>
            <w:proofErr w:type="spellStart"/>
            <w:r w:rsidRPr="002406E2">
              <w:rPr>
                <w:lang w:val="en-US"/>
              </w:rPr>
              <w:t>Sondervorschrift</w:t>
            </w:r>
            <w:proofErr w:type="spellEnd"/>
            <w:r w:rsidRPr="002406E2">
              <w:rPr>
                <w:lang w:val="en-US"/>
              </w:rPr>
              <w:t xml:space="preserve"> V 2 (1) des ADR </w:t>
            </w:r>
            <w:proofErr w:type="spellStart"/>
            <w:r w:rsidRPr="002406E2">
              <w:rPr>
                <w:lang w:val="en-US"/>
              </w:rPr>
              <w:t>ist</w:t>
            </w:r>
            <w:proofErr w:type="spellEnd"/>
            <w:r w:rsidRPr="002406E2">
              <w:rPr>
                <w:lang w:val="en-US"/>
              </w:rPr>
              <w:t xml:space="preserve"> </w:t>
            </w:r>
            <w:proofErr w:type="spellStart"/>
            <w:r w:rsidRPr="002406E2">
              <w:rPr>
                <w:lang w:val="en-US"/>
              </w:rPr>
              <w:t>nicht</w:t>
            </w:r>
            <w:proofErr w:type="spellEnd"/>
            <w:r w:rsidRPr="002406E2">
              <w:rPr>
                <w:lang w:val="en-US"/>
              </w:rPr>
              <w:t xml:space="preserve"> </w:t>
            </w:r>
            <w:proofErr w:type="spellStart"/>
            <w:r w:rsidRPr="002406E2">
              <w:rPr>
                <w:lang w:val="en-US"/>
              </w:rPr>
              <w:t>anwendbar</w:t>
            </w:r>
            <w:proofErr w:type="spellEnd"/>
            <w:r w:rsidRPr="002406E2">
              <w:rPr>
                <w:lang w:val="en-US"/>
              </w:rPr>
              <w:t xml:space="preserve">, </w:t>
            </w:r>
            <w:proofErr w:type="spellStart"/>
            <w:r w:rsidRPr="002406E2">
              <w:rPr>
                <w:lang w:val="en-US"/>
              </w:rPr>
              <w:t>wenn</w:t>
            </w:r>
            <w:proofErr w:type="spellEnd"/>
            <w:r w:rsidRPr="002406E2">
              <w:rPr>
                <w:lang w:val="en-US"/>
              </w:rPr>
              <w:t xml:space="preserve"> die </w:t>
            </w:r>
            <w:proofErr w:type="spellStart"/>
            <w:r w:rsidRPr="002406E2">
              <w:rPr>
                <w:lang w:val="en-US"/>
              </w:rPr>
              <w:t>Nettoexplosivstoffmasse</w:t>
            </w:r>
            <w:proofErr w:type="spellEnd"/>
            <w:r w:rsidRPr="002406E2">
              <w:rPr>
                <w:lang w:val="en-US"/>
              </w:rPr>
              <w:t xml:space="preserve"> je </w:t>
            </w:r>
            <w:proofErr w:type="spellStart"/>
            <w:r w:rsidRPr="002406E2">
              <w:rPr>
                <w:lang w:val="en-US"/>
              </w:rPr>
              <w:t>Beförderungseinheit</w:t>
            </w:r>
            <w:proofErr w:type="spellEnd"/>
            <w:r w:rsidRPr="002406E2">
              <w:rPr>
                <w:lang w:val="en-US"/>
              </w:rPr>
              <w:t xml:space="preserve"> </w:t>
            </w:r>
            <w:proofErr w:type="spellStart"/>
            <w:r w:rsidRPr="002406E2">
              <w:rPr>
                <w:lang w:val="en-US"/>
              </w:rPr>
              <w:t>nicht</w:t>
            </w:r>
            <w:proofErr w:type="spellEnd"/>
            <w:r w:rsidRPr="002406E2">
              <w:rPr>
                <w:lang w:val="en-US"/>
              </w:rPr>
              <w:t xml:space="preserve"> </w:t>
            </w:r>
            <w:proofErr w:type="spellStart"/>
            <w:r w:rsidRPr="002406E2">
              <w:rPr>
                <w:lang w:val="en-US"/>
              </w:rPr>
              <w:t>höher</w:t>
            </w:r>
            <w:proofErr w:type="spellEnd"/>
            <w:r w:rsidRPr="002406E2">
              <w:rPr>
                <w:lang w:val="en-US"/>
              </w:rPr>
              <w:t xml:space="preserve"> </w:t>
            </w:r>
            <w:proofErr w:type="spellStart"/>
            <w:r w:rsidRPr="002406E2">
              <w:rPr>
                <w:lang w:val="en-US"/>
              </w:rPr>
              <w:t>ist</w:t>
            </w:r>
            <w:proofErr w:type="spellEnd"/>
            <w:r w:rsidRPr="002406E2">
              <w:rPr>
                <w:lang w:val="en-US"/>
              </w:rPr>
              <w:t xml:space="preserve"> </w:t>
            </w:r>
            <w:proofErr w:type="spellStart"/>
            <w:r w:rsidRPr="002406E2">
              <w:rPr>
                <w:lang w:val="en-US"/>
              </w:rPr>
              <w:t>als</w:t>
            </w:r>
            <w:proofErr w:type="spellEnd"/>
            <w:r w:rsidRPr="002406E2">
              <w:rPr>
                <w:lang w:val="en-US"/>
              </w:rPr>
              <w:t xml:space="preserve"> 4000 kg, </w:t>
            </w:r>
            <w:proofErr w:type="spellStart"/>
            <w:r w:rsidRPr="002406E2">
              <w:rPr>
                <w:lang w:val="en-US"/>
              </w:rPr>
              <w:t>vorausgesetzt</w:t>
            </w:r>
            <w:proofErr w:type="spellEnd"/>
            <w:r w:rsidRPr="002406E2">
              <w:rPr>
                <w:lang w:val="en-US"/>
              </w:rPr>
              <w:t xml:space="preserve"> die </w:t>
            </w:r>
            <w:proofErr w:type="spellStart"/>
            <w:r w:rsidRPr="002406E2">
              <w:rPr>
                <w:lang w:val="en-US"/>
              </w:rPr>
              <w:t>Nettoexplosivstoffmasse</w:t>
            </w:r>
            <w:proofErr w:type="spellEnd"/>
            <w:r w:rsidRPr="002406E2">
              <w:rPr>
                <w:lang w:val="en-US"/>
              </w:rPr>
              <w:t xml:space="preserve"> je </w:t>
            </w:r>
            <w:proofErr w:type="spellStart"/>
            <w:r w:rsidRPr="002406E2">
              <w:rPr>
                <w:lang w:val="en-US"/>
              </w:rPr>
              <w:t>Fahrzeug</w:t>
            </w:r>
            <w:proofErr w:type="spellEnd"/>
            <w:r w:rsidRPr="002406E2">
              <w:rPr>
                <w:lang w:val="en-US"/>
              </w:rPr>
              <w:t xml:space="preserve"> </w:t>
            </w:r>
            <w:proofErr w:type="spellStart"/>
            <w:r w:rsidRPr="002406E2">
              <w:rPr>
                <w:lang w:val="en-US"/>
              </w:rPr>
              <w:t>ist</w:t>
            </w:r>
            <w:proofErr w:type="spellEnd"/>
            <w:r w:rsidRPr="002406E2">
              <w:rPr>
                <w:lang w:val="en-US"/>
              </w:rPr>
              <w:t xml:space="preserve"> </w:t>
            </w:r>
            <w:proofErr w:type="spellStart"/>
            <w:r w:rsidRPr="002406E2">
              <w:rPr>
                <w:lang w:val="en-US"/>
              </w:rPr>
              <w:t>nicht</w:t>
            </w:r>
            <w:proofErr w:type="spellEnd"/>
            <w:r w:rsidRPr="002406E2">
              <w:rPr>
                <w:lang w:val="en-US"/>
              </w:rPr>
              <w:t xml:space="preserve"> </w:t>
            </w:r>
            <w:proofErr w:type="spellStart"/>
            <w:r w:rsidRPr="002406E2">
              <w:rPr>
                <w:lang w:val="en-US"/>
              </w:rPr>
              <w:t>höher</w:t>
            </w:r>
            <w:proofErr w:type="spellEnd"/>
            <w:r w:rsidRPr="002406E2">
              <w:rPr>
                <w:lang w:val="en-US"/>
              </w:rPr>
              <w:t xml:space="preserve"> </w:t>
            </w:r>
            <w:proofErr w:type="spellStart"/>
            <w:r w:rsidRPr="002406E2">
              <w:rPr>
                <w:lang w:val="en-US"/>
              </w:rPr>
              <w:t>als</w:t>
            </w:r>
            <w:proofErr w:type="spellEnd"/>
            <w:r w:rsidRPr="002406E2">
              <w:rPr>
                <w:lang w:val="en-US"/>
              </w:rPr>
              <w:t xml:space="preserve"> 3000 kg.</w:t>
            </w:r>
          </w:p>
        </w:tc>
      </w:tr>
    </w:tbl>
    <w:p w14:paraId="33E6A684" w14:textId="77777777" w:rsidR="00A91925" w:rsidRPr="00843080" w:rsidRDefault="00A91925" w:rsidP="00843080">
      <w:pPr>
        <w:pStyle w:val="SingleTxtG"/>
        <w:spacing w:before="120"/>
        <w:rPr>
          <w:rFonts w:eastAsia="SimSun"/>
        </w:rPr>
      </w:pPr>
      <w:r w:rsidRPr="00843080">
        <w:rPr>
          <w:rFonts w:eastAsia="SimSun"/>
        </w:rPr>
        <w:t>4.</w:t>
      </w:r>
      <w:r w:rsidRPr="00843080">
        <w:rPr>
          <w:rFonts w:eastAsia="SimSun"/>
        </w:rPr>
        <w:tab/>
        <w:t xml:space="preserve">The CCNR Secretariat </w:t>
      </w:r>
      <w:proofErr w:type="gramStart"/>
      <w:r w:rsidRPr="00843080">
        <w:rPr>
          <w:rFonts w:eastAsia="SimSun"/>
        </w:rPr>
        <w:t>came to the conclusion</w:t>
      </w:r>
      <w:proofErr w:type="gramEnd"/>
      <w:r w:rsidRPr="00843080">
        <w:rPr>
          <w:rFonts w:eastAsia="SimSun"/>
        </w:rPr>
        <w:t xml:space="preserve"> that the German version of the text is correct and that the French and English versions could be adapted for better consistency.</w:t>
      </w:r>
    </w:p>
    <w:p w14:paraId="2E89C7D4" w14:textId="730E7513" w:rsidR="00A91925" w:rsidRPr="002406E2" w:rsidRDefault="00843080" w:rsidP="00843080">
      <w:pPr>
        <w:pStyle w:val="HChG"/>
        <w:rPr>
          <w:lang w:val="en-US"/>
        </w:rPr>
      </w:pPr>
      <w:r>
        <w:rPr>
          <w:lang w:val="en-US"/>
        </w:rPr>
        <w:tab/>
      </w:r>
      <w:r w:rsidR="00A91925" w:rsidRPr="002406E2">
        <w:rPr>
          <w:lang w:val="en-US"/>
        </w:rPr>
        <w:t>IV.</w:t>
      </w:r>
      <w:r w:rsidR="00A91925" w:rsidRPr="002406E2">
        <w:rPr>
          <w:lang w:val="en-US"/>
        </w:rPr>
        <w:tab/>
        <w:t>Proposal</w:t>
      </w:r>
    </w:p>
    <w:p w14:paraId="51AACDDD" w14:textId="77777777" w:rsidR="00A91925" w:rsidRPr="002406E2" w:rsidRDefault="00A91925" w:rsidP="00843080">
      <w:pPr>
        <w:pStyle w:val="SingleTxtG"/>
        <w:rPr>
          <w:rFonts w:eastAsia="SimSun"/>
          <w:lang w:val="en-US" w:eastAsia="zh-CN"/>
        </w:rPr>
      </w:pPr>
      <w:r w:rsidRPr="002406E2">
        <w:rPr>
          <w:rFonts w:eastAsia="SimSun"/>
          <w:lang w:val="en-US" w:eastAsia="zh-CN"/>
        </w:rPr>
        <w:t>5.</w:t>
      </w:r>
      <w:r w:rsidRPr="002406E2">
        <w:rPr>
          <w:rFonts w:eastAsia="SimSun"/>
          <w:lang w:val="en-US" w:eastAsia="zh-CN"/>
        </w:rPr>
        <w:tab/>
        <w:t>The ADN Safety Committee could discuss whether special provision 651 needs to remain in ADN. If deemed unnecessary the Safety Committee could decide to delete it from ADN.</w:t>
      </w:r>
    </w:p>
    <w:p w14:paraId="7A7899BD" w14:textId="77777777" w:rsidR="00A91925" w:rsidRPr="002406E2" w:rsidRDefault="00A91925" w:rsidP="00843080">
      <w:pPr>
        <w:pStyle w:val="SingleTxtG"/>
        <w:rPr>
          <w:rFonts w:eastAsia="SimSun"/>
          <w:lang w:val="en-US" w:eastAsia="zh-CN"/>
        </w:rPr>
      </w:pPr>
      <w:r w:rsidRPr="002406E2">
        <w:rPr>
          <w:rFonts w:eastAsia="SimSun"/>
          <w:lang w:val="en-US" w:eastAsia="zh-CN"/>
        </w:rPr>
        <w:t>6.</w:t>
      </w:r>
      <w:r w:rsidRPr="002406E2">
        <w:rPr>
          <w:rFonts w:eastAsia="SimSun"/>
          <w:lang w:val="en-US" w:eastAsia="zh-CN"/>
        </w:rPr>
        <w:tab/>
        <w:t>If special provision 651 shall remain in ADN, the French text could be amended to read as:</w:t>
      </w:r>
    </w:p>
    <w:p w14:paraId="7FAEF100" w14:textId="77777777" w:rsidR="00A91925" w:rsidRPr="002406E2" w:rsidRDefault="00A91925" w:rsidP="00843080">
      <w:pPr>
        <w:pStyle w:val="SingleTxtG"/>
        <w:rPr>
          <w:rFonts w:eastAsia="SimSun"/>
          <w:lang w:val="fr-FR" w:eastAsia="zh-CN"/>
        </w:rPr>
      </w:pPr>
      <w:r>
        <w:rPr>
          <w:rFonts w:eastAsia="SimSun"/>
          <w:lang w:val="fr-FR" w:eastAsia="zh-CN"/>
        </w:rPr>
        <w:t>« </w:t>
      </w:r>
      <w:r w:rsidRPr="002406E2">
        <w:rPr>
          <w:rFonts w:eastAsia="SimSun"/>
          <w:lang w:val="fr-FR" w:eastAsia="zh-CN"/>
        </w:rPr>
        <w:t>La disposition spéciale V2 (1)</w:t>
      </w:r>
      <w:r w:rsidRPr="002406E2">
        <w:rPr>
          <w:lang w:val="fr-FR"/>
        </w:rPr>
        <w:t xml:space="preserve"> </w:t>
      </w:r>
      <w:r w:rsidRPr="002406E2">
        <w:rPr>
          <w:rFonts w:eastAsia="SimSun"/>
          <w:lang w:val="fr-FR" w:eastAsia="zh-CN"/>
        </w:rPr>
        <w:t>de l’ADR n’est pas applicable si la masse nette de matières explosibles par unité de transport ne dépasse pas 4000 kg, sous réserve que la masse nette de matières explosibles par véhicule ne dépasse pas 3000 kg.</w:t>
      </w:r>
      <w:r>
        <w:rPr>
          <w:rFonts w:eastAsia="SimSun"/>
          <w:lang w:val="fr-FR" w:eastAsia="zh-CN"/>
        </w:rPr>
        <w:t> ».</w:t>
      </w:r>
    </w:p>
    <w:p w14:paraId="75608B40" w14:textId="77777777" w:rsidR="00A91925" w:rsidRPr="002406E2" w:rsidRDefault="00A91925" w:rsidP="00843080">
      <w:pPr>
        <w:pStyle w:val="SingleTxtG"/>
        <w:rPr>
          <w:rFonts w:eastAsia="SimSun"/>
          <w:lang w:val="en-US" w:eastAsia="zh-CN"/>
        </w:rPr>
      </w:pPr>
      <w:r w:rsidRPr="002406E2">
        <w:rPr>
          <w:rFonts w:eastAsia="SimSun"/>
          <w:lang w:val="en-US" w:eastAsia="zh-CN"/>
        </w:rPr>
        <w:t xml:space="preserve">and the English text could be amended to read as: </w:t>
      </w:r>
    </w:p>
    <w:p w14:paraId="13CB1901" w14:textId="77777777" w:rsidR="00A91925" w:rsidRPr="002406E2" w:rsidRDefault="00A91925" w:rsidP="00843080">
      <w:pPr>
        <w:pStyle w:val="SingleTxtG"/>
        <w:rPr>
          <w:rFonts w:eastAsia="SimSun"/>
          <w:lang w:val="en-US" w:eastAsia="zh-CN"/>
        </w:rPr>
      </w:pPr>
      <w:r>
        <w:rPr>
          <w:rFonts w:eastAsia="SimSun"/>
          <w:lang w:val="en-US" w:eastAsia="zh-CN"/>
        </w:rPr>
        <w:t>“</w:t>
      </w:r>
      <w:r w:rsidRPr="002406E2">
        <w:rPr>
          <w:rFonts w:eastAsia="SimSun"/>
          <w:lang w:val="en-US" w:eastAsia="zh-CN"/>
        </w:rPr>
        <w:t>Special provision V2 (1) of ADR does not apply if the net explosive mass per transport unit does not exceed 4 000 kg, provided that the net explosive mass per vehicle does not exceed 3 000 kg.</w:t>
      </w:r>
      <w:r>
        <w:rPr>
          <w:rFonts w:eastAsia="SimSun"/>
          <w:lang w:val="en-US" w:eastAsia="zh-CN"/>
        </w:rPr>
        <w:t>”.</w:t>
      </w:r>
    </w:p>
    <w:bookmarkEnd w:id="0"/>
    <w:p w14:paraId="40ED0290" w14:textId="597407B5" w:rsidR="00AB757A" w:rsidRPr="00843080" w:rsidRDefault="00843080" w:rsidP="00843080">
      <w:pPr>
        <w:spacing w:before="240"/>
        <w:jc w:val="center"/>
        <w:rPr>
          <w:u w:val="single"/>
          <w:lang w:val="en-US"/>
        </w:rPr>
      </w:pPr>
      <w:r>
        <w:rPr>
          <w:u w:val="single"/>
          <w:lang w:val="en-US"/>
        </w:rPr>
        <w:tab/>
      </w:r>
      <w:r>
        <w:rPr>
          <w:u w:val="single"/>
          <w:lang w:val="en-US"/>
        </w:rPr>
        <w:tab/>
      </w:r>
      <w:r>
        <w:rPr>
          <w:u w:val="single"/>
          <w:lang w:val="en-US"/>
        </w:rPr>
        <w:tab/>
      </w:r>
    </w:p>
    <w:sectPr w:rsidR="00AB757A" w:rsidRPr="00843080" w:rsidSect="00355F5B">
      <w:headerReference w:type="even" r:id="rId10"/>
      <w:headerReference w:type="default" r:id="rId11"/>
      <w:footerReference w:type="even" r:id="rId12"/>
      <w:footerReference w:type="defaul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CC7E0" w14:textId="77777777" w:rsidR="00DD730C" w:rsidRDefault="00DD730C"/>
  </w:endnote>
  <w:endnote w:type="continuationSeparator" w:id="0">
    <w:p w14:paraId="1D83743C" w14:textId="77777777" w:rsidR="00DD730C" w:rsidRDefault="00DD730C"/>
  </w:endnote>
  <w:endnote w:type="continuationNotice" w:id="1">
    <w:p w14:paraId="70CD9C71" w14:textId="77777777" w:rsidR="00DD730C" w:rsidRDefault="00DD73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6D13B" w14:textId="004327B7" w:rsidR="000571E2" w:rsidRPr="000571E2" w:rsidRDefault="000571E2" w:rsidP="000571E2">
    <w:pPr>
      <w:pStyle w:val="Footer"/>
      <w:tabs>
        <w:tab w:val="right" w:pos="9638"/>
      </w:tabs>
      <w:rPr>
        <w:sz w:val="18"/>
      </w:rPr>
    </w:pPr>
    <w:r w:rsidRPr="000571E2">
      <w:rPr>
        <w:b/>
        <w:sz w:val="18"/>
      </w:rPr>
      <w:fldChar w:fldCharType="begin"/>
    </w:r>
    <w:r w:rsidRPr="000571E2">
      <w:rPr>
        <w:b/>
        <w:sz w:val="18"/>
      </w:rPr>
      <w:instrText xml:space="preserve"> PAGE  \* MERGEFORMAT </w:instrText>
    </w:r>
    <w:r w:rsidRPr="000571E2">
      <w:rPr>
        <w:b/>
        <w:sz w:val="18"/>
      </w:rPr>
      <w:fldChar w:fldCharType="separate"/>
    </w:r>
    <w:r w:rsidRPr="000571E2">
      <w:rPr>
        <w:b/>
        <w:noProof/>
        <w:sz w:val="18"/>
      </w:rPr>
      <w:t>2</w:t>
    </w:r>
    <w:r w:rsidRPr="000571E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5EF56" w14:textId="5B6043EC" w:rsidR="000571E2" w:rsidRPr="000571E2" w:rsidRDefault="000571E2" w:rsidP="000571E2">
    <w:pPr>
      <w:pStyle w:val="Footer"/>
      <w:tabs>
        <w:tab w:val="right" w:pos="9638"/>
      </w:tabs>
      <w:rPr>
        <w:b/>
        <w:sz w:val="18"/>
      </w:rPr>
    </w:pPr>
    <w:r>
      <w:tab/>
    </w:r>
    <w:r w:rsidRPr="000571E2">
      <w:rPr>
        <w:b/>
        <w:sz w:val="18"/>
      </w:rPr>
      <w:fldChar w:fldCharType="begin"/>
    </w:r>
    <w:r w:rsidRPr="000571E2">
      <w:rPr>
        <w:b/>
        <w:sz w:val="18"/>
      </w:rPr>
      <w:instrText xml:space="preserve"> PAGE  \* MERGEFORMAT </w:instrText>
    </w:r>
    <w:r w:rsidRPr="000571E2">
      <w:rPr>
        <w:b/>
        <w:sz w:val="18"/>
      </w:rPr>
      <w:fldChar w:fldCharType="separate"/>
    </w:r>
    <w:r w:rsidRPr="000571E2">
      <w:rPr>
        <w:b/>
        <w:noProof/>
        <w:sz w:val="18"/>
      </w:rPr>
      <w:t>3</w:t>
    </w:r>
    <w:r w:rsidRPr="000571E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F61DD" w14:textId="77777777" w:rsidR="0035223F" w:rsidRPr="000571E2" w:rsidRDefault="00686A48">
    <w:pPr>
      <w:pStyle w:val="Footer"/>
      <w:rPr>
        <w:sz w:val="20"/>
      </w:rPr>
    </w:pPr>
    <w:r>
      <w:rPr>
        <w:noProof/>
        <w:lang w:val="fr-CH" w:eastAsia="fr-CH"/>
      </w:rPr>
      <w:drawing>
        <wp:anchor distT="0" distB="0" distL="114300" distR="114300" simplePos="0" relativeHeight="251658240" behindDoc="0" locked="1" layoutInCell="1" allowOverlap="1" wp14:anchorId="02A3ED98" wp14:editId="65DE93B1">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5E15E" w14:textId="77777777" w:rsidR="00DD730C" w:rsidRPr="000B175B" w:rsidRDefault="00DD730C" w:rsidP="000B175B">
      <w:pPr>
        <w:tabs>
          <w:tab w:val="right" w:pos="2155"/>
        </w:tabs>
        <w:spacing w:after="80"/>
        <w:ind w:left="680"/>
        <w:rPr>
          <w:u w:val="single"/>
        </w:rPr>
      </w:pPr>
      <w:r>
        <w:rPr>
          <w:u w:val="single"/>
        </w:rPr>
        <w:tab/>
      </w:r>
    </w:p>
  </w:footnote>
  <w:footnote w:type="continuationSeparator" w:id="0">
    <w:p w14:paraId="5EAC01DB" w14:textId="77777777" w:rsidR="00DD730C" w:rsidRPr="00FC68B7" w:rsidRDefault="00DD730C" w:rsidP="00FC68B7">
      <w:pPr>
        <w:tabs>
          <w:tab w:val="left" w:pos="2155"/>
        </w:tabs>
        <w:spacing w:after="80"/>
        <w:ind w:left="680"/>
        <w:rPr>
          <w:u w:val="single"/>
        </w:rPr>
      </w:pPr>
      <w:r>
        <w:rPr>
          <w:u w:val="single"/>
        </w:rPr>
        <w:tab/>
      </w:r>
    </w:p>
  </w:footnote>
  <w:footnote w:type="continuationNotice" w:id="1">
    <w:p w14:paraId="55A7E2A7" w14:textId="77777777" w:rsidR="00DD730C" w:rsidRDefault="00DD73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AABDC" w14:textId="277E297B" w:rsidR="000571E2" w:rsidRPr="000571E2" w:rsidRDefault="00DD730C">
    <w:pPr>
      <w:pStyle w:val="Header"/>
    </w:pPr>
    <w:r>
      <w:fldChar w:fldCharType="begin"/>
    </w:r>
    <w:r>
      <w:instrText xml:space="preserve"> TITLE  \* MERGEFORMAT </w:instrText>
    </w:r>
    <w:r>
      <w:fldChar w:fldCharType="separate"/>
    </w:r>
    <w:r w:rsidR="00836592">
      <w:t>INF.13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BDAA0" w14:textId="540EC70E" w:rsidR="000571E2" w:rsidRPr="000571E2" w:rsidRDefault="00DD730C" w:rsidP="000571E2">
    <w:pPr>
      <w:pStyle w:val="Header"/>
      <w:jc w:val="right"/>
    </w:pPr>
    <w:r>
      <w:fldChar w:fldCharType="begin"/>
    </w:r>
    <w:r>
      <w:instrText xml:space="preserve"> TITLE  \* MERGEFORMAT </w:instrText>
    </w:r>
    <w:r>
      <w:fldChar w:fldCharType="separate"/>
    </w:r>
    <w:r w:rsidR="00836592">
      <w:t>INF.13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926908"/>
    <w:multiLevelType w:val="hybridMultilevel"/>
    <w:tmpl w:val="60A88ACE"/>
    <w:lvl w:ilvl="0" w:tplc="91667A5A">
      <w:start w:val="2"/>
      <w:numFmt w:val="bullet"/>
      <w:lvlText w:val="-"/>
      <w:lvlJc w:val="left"/>
      <w:pPr>
        <w:ind w:left="1069" w:hanging="360"/>
      </w:pPr>
      <w:rPr>
        <w:rFonts w:ascii="Times New Roman" w:eastAsia="TimesNewRomanPSMT" w:hAnsi="Times New Roman" w:cs="Times New Roman" w:hint="default"/>
      </w:rPr>
    </w:lvl>
    <w:lvl w:ilvl="1" w:tplc="04130003">
      <w:start w:val="1"/>
      <w:numFmt w:val="bullet"/>
      <w:lvlText w:val="o"/>
      <w:lvlJc w:val="left"/>
      <w:pPr>
        <w:ind w:left="1789" w:hanging="360"/>
      </w:pPr>
      <w:rPr>
        <w:rFonts w:ascii="Courier New" w:hAnsi="Courier New" w:cs="Courier New" w:hint="default"/>
      </w:rPr>
    </w:lvl>
    <w:lvl w:ilvl="2" w:tplc="04130005">
      <w:start w:val="1"/>
      <w:numFmt w:val="bullet"/>
      <w:lvlText w:val=""/>
      <w:lvlJc w:val="left"/>
      <w:pPr>
        <w:ind w:left="2509" w:hanging="360"/>
      </w:pPr>
      <w:rPr>
        <w:rFonts w:ascii="Wingdings" w:hAnsi="Wingdings" w:hint="default"/>
      </w:rPr>
    </w:lvl>
    <w:lvl w:ilvl="3" w:tplc="04130001">
      <w:start w:val="1"/>
      <w:numFmt w:val="bullet"/>
      <w:lvlText w:val=""/>
      <w:lvlJc w:val="left"/>
      <w:pPr>
        <w:ind w:left="3229" w:hanging="360"/>
      </w:pPr>
      <w:rPr>
        <w:rFonts w:ascii="Symbol" w:hAnsi="Symbol" w:hint="default"/>
      </w:rPr>
    </w:lvl>
    <w:lvl w:ilvl="4" w:tplc="04130003">
      <w:start w:val="1"/>
      <w:numFmt w:val="bullet"/>
      <w:lvlText w:val="o"/>
      <w:lvlJc w:val="left"/>
      <w:pPr>
        <w:ind w:left="3949" w:hanging="360"/>
      </w:pPr>
      <w:rPr>
        <w:rFonts w:ascii="Courier New" w:hAnsi="Courier New" w:cs="Courier New" w:hint="default"/>
      </w:rPr>
    </w:lvl>
    <w:lvl w:ilvl="5" w:tplc="04130005">
      <w:start w:val="1"/>
      <w:numFmt w:val="bullet"/>
      <w:lvlText w:val=""/>
      <w:lvlJc w:val="left"/>
      <w:pPr>
        <w:ind w:left="4669" w:hanging="360"/>
      </w:pPr>
      <w:rPr>
        <w:rFonts w:ascii="Wingdings" w:hAnsi="Wingdings" w:hint="default"/>
      </w:rPr>
    </w:lvl>
    <w:lvl w:ilvl="6" w:tplc="04130001">
      <w:start w:val="1"/>
      <w:numFmt w:val="bullet"/>
      <w:lvlText w:val=""/>
      <w:lvlJc w:val="left"/>
      <w:pPr>
        <w:ind w:left="5389" w:hanging="360"/>
      </w:pPr>
      <w:rPr>
        <w:rFonts w:ascii="Symbol" w:hAnsi="Symbol" w:hint="default"/>
      </w:rPr>
    </w:lvl>
    <w:lvl w:ilvl="7" w:tplc="04130003">
      <w:start w:val="1"/>
      <w:numFmt w:val="bullet"/>
      <w:lvlText w:val="o"/>
      <w:lvlJc w:val="left"/>
      <w:pPr>
        <w:ind w:left="6109" w:hanging="360"/>
      </w:pPr>
      <w:rPr>
        <w:rFonts w:ascii="Courier New" w:hAnsi="Courier New" w:cs="Courier New" w:hint="default"/>
      </w:rPr>
    </w:lvl>
    <w:lvl w:ilvl="8" w:tplc="04130005">
      <w:start w:val="1"/>
      <w:numFmt w:val="bullet"/>
      <w:lvlText w:val=""/>
      <w:lvlJc w:val="left"/>
      <w:pPr>
        <w:ind w:left="6829" w:hanging="360"/>
      </w:pPr>
      <w:rPr>
        <w:rFonts w:ascii="Wingdings" w:hAnsi="Wingdings" w:hint="default"/>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777F30"/>
    <w:multiLevelType w:val="hybridMultilevel"/>
    <w:tmpl w:val="3902541E"/>
    <w:lvl w:ilvl="0" w:tplc="8E781C98">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8"/>
  </w:num>
  <w:num w:numId="16">
    <w:abstractNumId w:val="14"/>
  </w:num>
  <w:num w:numId="17">
    <w:abstractNumId w:val="19"/>
  </w:num>
  <w:num w:numId="18">
    <w:abstractNumId w:val="20"/>
  </w:num>
  <w:num w:numId="19">
    <w:abstractNumId w:val="11"/>
  </w:num>
  <w:num w:numId="20">
    <w:abstractNumId w:val="16"/>
  </w:num>
  <w:num w:numId="2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nl-NL" w:vendorID="64" w:dllVersion="0" w:nlCheck="1" w:checkStyle="0"/>
  <w:activeWritingStyle w:appName="MSWord" w:lang="es-E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1E2"/>
    <w:rsid w:val="00002A7D"/>
    <w:rsid w:val="000038A8"/>
    <w:rsid w:val="00006790"/>
    <w:rsid w:val="00024CCB"/>
    <w:rsid w:val="00027624"/>
    <w:rsid w:val="00034713"/>
    <w:rsid w:val="00050F6B"/>
    <w:rsid w:val="000571E2"/>
    <w:rsid w:val="000678CD"/>
    <w:rsid w:val="00072C8C"/>
    <w:rsid w:val="00073AC9"/>
    <w:rsid w:val="0007734B"/>
    <w:rsid w:val="00081CE0"/>
    <w:rsid w:val="00084D30"/>
    <w:rsid w:val="00090320"/>
    <w:rsid w:val="00092CB2"/>
    <w:rsid w:val="000931C0"/>
    <w:rsid w:val="000A2E09"/>
    <w:rsid w:val="000B175B"/>
    <w:rsid w:val="000B3A0F"/>
    <w:rsid w:val="000E0415"/>
    <w:rsid w:val="000F0F1D"/>
    <w:rsid w:val="000F7715"/>
    <w:rsid w:val="00112EF6"/>
    <w:rsid w:val="00142F56"/>
    <w:rsid w:val="00156B99"/>
    <w:rsid w:val="00166124"/>
    <w:rsid w:val="00184DDA"/>
    <w:rsid w:val="001900CD"/>
    <w:rsid w:val="001945E9"/>
    <w:rsid w:val="001A0452"/>
    <w:rsid w:val="001B248E"/>
    <w:rsid w:val="001B4B04"/>
    <w:rsid w:val="001B5875"/>
    <w:rsid w:val="001C1664"/>
    <w:rsid w:val="001C4B9C"/>
    <w:rsid w:val="001C6663"/>
    <w:rsid w:val="001C7895"/>
    <w:rsid w:val="001D26DF"/>
    <w:rsid w:val="001F1599"/>
    <w:rsid w:val="001F19C4"/>
    <w:rsid w:val="002043F0"/>
    <w:rsid w:val="00211E0B"/>
    <w:rsid w:val="00231A36"/>
    <w:rsid w:val="00232575"/>
    <w:rsid w:val="00247258"/>
    <w:rsid w:val="00257CAC"/>
    <w:rsid w:val="002679E8"/>
    <w:rsid w:val="0027237A"/>
    <w:rsid w:val="00285C1D"/>
    <w:rsid w:val="002974E9"/>
    <w:rsid w:val="002A5938"/>
    <w:rsid w:val="002A7F94"/>
    <w:rsid w:val="002B109A"/>
    <w:rsid w:val="002B1A7E"/>
    <w:rsid w:val="002C5DF7"/>
    <w:rsid w:val="002C6D45"/>
    <w:rsid w:val="002D1D2E"/>
    <w:rsid w:val="002D6E53"/>
    <w:rsid w:val="002E614D"/>
    <w:rsid w:val="002E6AB8"/>
    <w:rsid w:val="002F046D"/>
    <w:rsid w:val="002F3023"/>
    <w:rsid w:val="00301764"/>
    <w:rsid w:val="003229D8"/>
    <w:rsid w:val="00336C97"/>
    <w:rsid w:val="00337F88"/>
    <w:rsid w:val="00342432"/>
    <w:rsid w:val="00342EB4"/>
    <w:rsid w:val="0035223F"/>
    <w:rsid w:val="00352D4B"/>
    <w:rsid w:val="00355F5B"/>
    <w:rsid w:val="00356026"/>
    <w:rsid w:val="0035638C"/>
    <w:rsid w:val="00367C64"/>
    <w:rsid w:val="00371ECB"/>
    <w:rsid w:val="003877B0"/>
    <w:rsid w:val="003A46BB"/>
    <w:rsid w:val="003A4EC7"/>
    <w:rsid w:val="003A7295"/>
    <w:rsid w:val="003B1F60"/>
    <w:rsid w:val="003B6A15"/>
    <w:rsid w:val="003C2CC4"/>
    <w:rsid w:val="003D4B23"/>
    <w:rsid w:val="003E278A"/>
    <w:rsid w:val="00413520"/>
    <w:rsid w:val="00415158"/>
    <w:rsid w:val="00415B47"/>
    <w:rsid w:val="00421300"/>
    <w:rsid w:val="004325CB"/>
    <w:rsid w:val="00440A07"/>
    <w:rsid w:val="00462880"/>
    <w:rsid w:val="00476F24"/>
    <w:rsid w:val="004A6359"/>
    <w:rsid w:val="004C029C"/>
    <w:rsid w:val="004C55B0"/>
    <w:rsid w:val="004E1CDB"/>
    <w:rsid w:val="004F6BA0"/>
    <w:rsid w:val="004F78FC"/>
    <w:rsid w:val="00503BEA"/>
    <w:rsid w:val="0052499A"/>
    <w:rsid w:val="00533616"/>
    <w:rsid w:val="00535ABA"/>
    <w:rsid w:val="0053768B"/>
    <w:rsid w:val="00541F4A"/>
    <w:rsid w:val="005420F2"/>
    <w:rsid w:val="0054285C"/>
    <w:rsid w:val="00552DD6"/>
    <w:rsid w:val="00580A72"/>
    <w:rsid w:val="00584173"/>
    <w:rsid w:val="005940E8"/>
    <w:rsid w:val="00595520"/>
    <w:rsid w:val="005A44B9"/>
    <w:rsid w:val="005B1BA0"/>
    <w:rsid w:val="005B1C78"/>
    <w:rsid w:val="005B3DB3"/>
    <w:rsid w:val="005D15CA"/>
    <w:rsid w:val="005E7404"/>
    <w:rsid w:val="005F08DF"/>
    <w:rsid w:val="005F3066"/>
    <w:rsid w:val="005F3E61"/>
    <w:rsid w:val="006042B1"/>
    <w:rsid w:val="00604DDD"/>
    <w:rsid w:val="006115CC"/>
    <w:rsid w:val="00611FC4"/>
    <w:rsid w:val="006176FB"/>
    <w:rsid w:val="00627A5D"/>
    <w:rsid w:val="00630FCB"/>
    <w:rsid w:val="00640B26"/>
    <w:rsid w:val="0065702B"/>
    <w:rsid w:val="0065766B"/>
    <w:rsid w:val="00673878"/>
    <w:rsid w:val="006770B2"/>
    <w:rsid w:val="00681D6B"/>
    <w:rsid w:val="00686A48"/>
    <w:rsid w:val="0069144D"/>
    <w:rsid w:val="006940E1"/>
    <w:rsid w:val="00697DF5"/>
    <w:rsid w:val="006A3C72"/>
    <w:rsid w:val="006A7392"/>
    <w:rsid w:val="006B03A1"/>
    <w:rsid w:val="006B1937"/>
    <w:rsid w:val="006B67D9"/>
    <w:rsid w:val="006C5535"/>
    <w:rsid w:val="006D0589"/>
    <w:rsid w:val="006E1D02"/>
    <w:rsid w:val="006E564B"/>
    <w:rsid w:val="006E7154"/>
    <w:rsid w:val="007003CD"/>
    <w:rsid w:val="00703300"/>
    <w:rsid w:val="0070701E"/>
    <w:rsid w:val="00714CF5"/>
    <w:rsid w:val="00717FDA"/>
    <w:rsid w:val="0072632A"/>
    <w:rsid w:val="007358E8"/>
    <w:rsid w:val="00736ECE"/>
    <w:rsid w:val="0074533B"/>
    <w:rsid w:val="00753905"/>
    <w:rsid w:val="007643BC"/>
    <w:rsid w:val="00780C68"/>
    <w:rsid w:val="0079496A"/>
    <w:rsid w:val="007959FE"/>
    <w:rsid w:val="007A0CF1"/>
    <w:rsid w:val="007A20DB"/>
    <w:rsid w:val="007B6BA5"/>
    <w:rsid w:val="007C3390"/>
    <w:rsid w:val="007C42D8"/>
    <w:rsid w:val="007C4F4B"/>
    <w:rsid w:val="007D7362"/>
    <w:rsid w:val="007F5CE2"/>
    <w:rsid w:val="007F6611"/>
    <w:rsid w:val="007F6858"/>
    <w:rsid w:val="007F7B08"/>
    <w:rsid w:val="00810BAC"/>
    <w:rsid w:val="00814F4C"/>
    <w:rsid w:val="008175E9"/>
    <w:rsid w:val="008242D7"/>
    <w:rsid w:val="0082577B"/>
    <w:rsid w:val="008320F4"/>
    <w:rsid w:val="00836592"/>
    <w:rsid w:val="00843080"/>
    <w:rsid w:val="00866893"/>
    <w:rsid w:val="00866F02"/>
    <w:rsid w:val="00867D18"/>
    <w:rsid w:val="00871F9A"/>
    <w:rsid w:val="00871FD5"/>
    <w:rsid w:val="008762F3"/>
    <w:rsid w:val="00876D3A"/>
    <w:rsid w:val="0088172E"/>
    <w:rsid w:val="00881EFA"/>
    <w:rsid w:val="00883581"/>
    <w:rsid w:val="008879CB"/>
    <w:rsid w:val="008979B1"/>
    <w:rsid w:val="008A6B25"/>
    <w:rsid w:val="008A6C4F"/>
    <w:rsid w:val="008B389E"/>
    <w:rsid w:val="008D045E"/>
    <w:rsid w:val="008D3F25"/>
    <w:rsid w:val="008D4D82"/>
    <w:rsid w:val="008D55B7"/>
    <w:rsid w:val="008E0E46"/>
    <w:rsid w:val="008E7116"/>
    <w:rsid w:val="008F143B"/>
    <w:rsid w:val="008F3882"/>
    <w:rsid w:val="008F4B7C"/>
    <w:rsid w:val="009057D6"/>
    <w:rsid w:val="009159C4"/>
    <w:rsid w:val="00926414"/>
    <w:rsid w:val="00926E47"/>
    <w:rsid w:val="00947162"/>
    <w:rsid w:val="0094786F"/>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06A8B"/>
    <w:rsid w:val="00A10F4F"/>
    <w:rsid w:val="00A11067"/>
    <w:rsid w:val="00A16ED2"/>
    <w:rsid w:val="00A1704A"/>
    <w:rsid w:val="00A22A6C"/>
    <w:rsid w:val="00A2567F"/>
    <w:rsid w:val="00A41465"/>
    <w:rsid w:val="00A425EB"/>
    <w:rsid w:val="00A4514E"/>
    <w:rsid w:val="00A72F22"/>
    <w:rsid w:val="00A733BC"/>
    <w:rsid w:val="00A748A6"/>
    <w:rsid w:val="00A76A69"/>
    <w:rsid w:val="00A879A4"/>
    <w:rsid w:val="00A9141B"/>
    <w:rsid w:val="00A91925"/>
    <w:rsid w:val="00AA0FF8"/>
    <w:rsid w:val="00AA7971"/>
    <w:rsid w:val="00AB4A32"/>
    <w:rsid w:val="00AB7095"/>
    <w:rsid w:val="00AB757A"/>
    <w:rsid w:val="00AC0F2C"/>
    <w:rsid w:val="00AC502A"/>
    <w:rsid w:val="00AD6354"/>
    <w:rsid w:val="00AF58C1"/>
    <w:rsid w:val="00B04A3F"/>
    <w:rsid w:val="00B06643"/>
    <w:rsid w:val="00B15055"/>
    <w:rsid w:val="00B20551"/>
    <w:rsid w:val="00B30179"/>
    <w:rsid w:val="00B33FC7"/>
    <w:rsid w:val="00B37B15"/>
    <w:rsid w:val="00B43DFC"/>
    <w:rsid w:val="00B45C02"/>
    <w:rsid w:val="00B70B63"/>
    <w:rsid w:val="00B72A1E"/>
    <w:rsid w:val="00B81E12"/>
    <w:rsid w:val="00B8306A"/>
    <w:rsid w:val="00BA339B"/>
    <w:rsid w:val="00BB6A03"/>
    <w:rsid w:val="00BC1E7E"/>
    <w:rsid w:val="00BC74E9"/>
    <w:rsid w:val="00BE36A9"/>
    <w:rsid w:val="00BE43BD"/>
    <w:rsid w:val="00BE5B3F"/>
    <w:rsid w:val="00BE618E"/>
    <w:rsid w:val="00BE7BEC"/>
    <w:rsid w:val="00BF0A5A"/>
    <w:rsid w:val="00BF0E63"/>
    <w:rsid w:val="00BF12A3"/>
    <w:rsid w:val="00BF16D7"/>
    <w:rsid w:val="00BF2373"/>
    <w:rsid w:val="00BF25AD"/>
    <w:rsid w:val="00BF61C4"/>
    <w:rsid w:val="00C044E2"/>
    <w:rsid w:val="00C048CB"/>
    <w:rsid w:val="00C066F3"/>
    <w:rsid w:val="00C07845"/>
    <w:rsid w:val="00C1721D"/>
    <w:rsid w:val="00C31C17"/>
    <w:rsid w:val="00C463DD"/>
    <w:rsid w:val="00C745C3"/>
    <w:rsid w:val="00C82175"/>
    <w:rsid w:val="00C978F5"/>
    <w:rsid w:val="00CA176C"/>
    <w:rsid w:val="00CA24A4"/>
    <w:rsid w:val="00CA2AAB"/>
    <w:rsid w:val="00CA78FA"/>
    <w:rsid w:val="00CB348D"/>
    <w:rsid w:val="00CB4F61"/>
    <w:rsid w:val="00CC0ABB"/>
    <w:rsid w:val="00CC1D0E"/>
    <w:rsid w:val="00CD46F5"/>
    <w:rsid w:val="00CE4A8F"/>
    <w:rsid w:val="00CE6F01"/>
    <w:rsid w:val="00CF071D"/>
    <w:rsid w:val="00D0001A"/>
    <w:rsid w:val="00D0123D"/>
    <w:rsid w:val="00D03983"/>
    <w:rsid w:val="00D056A9"/>
    <w:rsid w:val="00D15B04"/>
    <w:rsid w:val="00D2031B"/>
    <w:rsid w:val="00D21B7A"/>
    <w:rsid w:val="00D25FE2"/>
    <w:rsid w:val="00D37DA9"/>
    <w:rsid w:val="00D406A7"/>
    <w:rsid w:val="00D43252"/>
    <w:rsid w:val="00D44D86"/>
    <w:rsid w:val="00D50B7D"/>
    <w:rsid w:val="00D52012"/>
    <w:rsid w:val="00D63A94"/>
    <w:rsid w:val="00D704E5"/>
    <w:rsid w:val="00D72727"/>
    <w:rsid w:val="00D74552"/>
    <w:rsid w:val="00D752F4"/>
    <w:rsid w:val="00D770A8"/>
    <w:rsid w:val="00D9678C"/>
    <w:rsid w:val="00D978C6"/>
    <w:rsid w:val="00DA0956"/>
    <w:rsid w:val="00DA357F"/>
    <w:rsid w:val="00DA3E12"/>
    <w:rsid w:val="00DA7E6A"/>
    <w:rsid w:val="00DB37A2"/>
    <w:rsid w:val="00DC18AD"/>
    <w:rsid w:val="00DD2B56"/>
    <w:rsid w:val="00DD460F"/>
    <w:rsid w:val="00DD730C"/>
    <w:rsid w:val="00DE01AA"/>
    <w:rsid w:val="00DF7CAE"/>
    <w:rsid w:val="00E034CF"/>
    <w:rsid w:val="00E423C0"/>
    <w:rsid w:val="00E6414C"/>
    <w:rsid w:val="00E7260F"/>
    <w:rsid w:val="00E77970"/>
    <w:rsid w:val="00E8702D"/>
    <w:rsid w:val="00E872EB"/>
    <w:rsid w:val="00E905F4"/>
    <w:rsid w:val="00E916A9"/>
    <w:rsid w:val="00E916DE"/>
    <w:rsid w:val="00E925AD"/>
    <w:rsid w:val="00E96630"/>
    <w:rsid w:val="00EA5CD6"/>
    <w:rsid w:val="00EB134F"/>
    <w:rsid w:val="00ED18DC"/>
    <w:rsid w:val="00ED6201"/>
    <w:rsid w:val="00ED7A2A"/>
    <w:rsid w:val="00EE1890"/>
    <w:rsid w:val="00EF1D7F"/>
    <w:rsid w:val="00EF5854"/>
    <w:rsid w:val="00F0137E"/>
    <w:rsid w:val="00F21786"/>
    <w:rsid w:val="00F23D7D"/>
    <w:rsid w:val="00F3742B"/>
    <w:rsid w:val="00F41FDB"/>
    <w:rsid w:val="00F53401"/>
    <w:rsid w:val="00F56D63"/>
    <w:rsid w:val="00F609A9"/>
    <w:rsid w:val="00F73B67"/>
    <w:rsid w:val="00F80C99"/>
    <w:rsid w:val="00F867EC"/>
    <w:rsid w:val="00F91B2B"/>
    <w:rsid w:val="00FC03CD"/>
    <w:rsid w:val="00FC0646"/>
    <w:rsid w:val="00FC68B7"/>
    <w:rsid w:val="00FE534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F04A2"/>
  <w15:docId w15:val="{C6F1B990-C103-4AE4-AB01-34009E87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85C1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85C1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EE1890"/>
    <w:pPr>
      <w:numPr>
        <w:numId w:val="19"/>
      </w:numPr>
      <w:suppressAutoHyphens w:val="0"/>
    </w:pPr>
  </w:style>
  <w:style w:type="character" w:customStyle="1" w:styleId="SingleTxtGChar">
    <w:name w:val="_ Single Txt_G Char"/>
    <w:link w:val="SingleTxtG"/>
    <w:qFormat/>
    <w:rsid w:val="00753905"/>
    <w:rPr>
      <w:lang w:val="en-GB"/>
    </w:rPr>
  </w:style>
  <w:style w:type="character" w:customStyle="1" w:styleId="HChGChar">
    <w:name w:val="_ H _Ch_G Char"/>
    <w:link w:val="HChG"/>
    <w:rsid w:val="00753905"/>
    <w:rPr>
      <w:b/>
      <w:sz w:val="28"/>
      <w:lang w:val="en-GB"/>
    </w:rPr>
  </w:style>
  <w:style w:type="table" w:customStyle="1" w:styleId="Tabelraster1">
    <w:name w:val="Tabelraster1"/>
    <w:basedOn w:val="TableNormal"/>
    <w:next w:val="TableGrid"/>
    <w:rsid w:val="00753905"/>
    <w:pPr>
      <w:suppressAutoHyphens/>
      <w:spacing w:line="240" w:lineRule="atLeast"/>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367C64"/>
    <w:rPr>
      <w:b/>
      <w:sz w:val="24"/>
      <w:lang w:val="en-GB"/>
    </w:rPr>
  </w:style>
  <w:style w:type="paragraph" w:customStyle="1" w:styleId="Referentiegegevens">
    <w:name w:val="Referentiegegevens"/>
    <w:next w:val="Normal"/>
    <w:rsid w:val="00AB757A"/>
    <w:pPr>
      <w:tabs>
        <w:tab w:val="left" w:pos="170"/>
      </w:tabs>
      <w:autoSpaceDN w:val="0"/>
      <w:spacing w:line="180" w:lineRule="exact"/>
      <w:textAlignment w:val="baseline"/>
    </w:pPr>
    <w:rPr>
      <w:rFonts w:ascii="Verdana" w:eastAsia="DejaVu Sans" w:hAnsi="Verdana" w:cs="Lohit Hindi"/>
      <w:color w:val="000000"/>
      <w:sz w:val="13"/>
      <w:szCs w:val="13"/>
      <w:lang w:val="nl-NL" w:eastAsia="nl-NL"/>
    </w:rPr>
  </w:style>
  <w:style w:type="paragraph" w:customStyle="1" w:styleId="Afzendgegevens">
    <w:name w:val="Afzendgegevens"/>
    <w:basedOn w:val="Normal"/>
    <w:next w:val="Normal"/>
    <w:rsid w:val="00DD460F"/>
    <w:pPr>
      <w:tabs>
        <w:tab w:val="left" w:pos="2267"/>
      </w:tabs>
      <w:suppressAutoHyphens w:val="0"/>
      <w:autoSpaceDN w:val="0"/>
      <w:spacing w:line="180" w:lineRule="exact"/>
      <w:textAlignment w:val="baseline"/>
    </w:pPr>
    <w:rPr>
      <w:rFonts w:ascii="Verdana" w:eastAsia="DejaVu Sans" w:hAnsi="Verdana" w:cs="Lohit Hindi"/>
      <w:color w:val="000000"/>
      <w:sz w:val="13"/>
      <w:szCs w:val="13"/>
      <w:lang w:val="nl-NL" w:eastAsia="nl-NL"/>
    </w:rPr>
  </w:style>
  <w:style w:type="paragraph" w:customStyle="1" w:styleId="Afzendgegevenscursief">
    <w:name w:val="Afzendgegevens cursief"/>
    <w:next w:val="Normal"/>
    <w:rsid w:val="00DD460F"/>
    <w:pPr>
      <w:tabs>
        <w:tab w:val="left" w:pos="170"/>
      </w:tabs>
      <w:autoSpaceDN w:val="0"/>
      <w:spacing w:line="180" w:lineRule="exact"/>
      <w:textAlignment w:val="baseline"/>
    </w:pPr>
    <w:rPr>
      <w:rFonts w:ascii="Verdana" w:eastAsia="DejaVu Sans" w:hAnsi="Verdana" w:cs="Lohit Hindi"/>
      <w:i/>
      <w:color w:val="000000"/>
      <w:sz w:val="13"/>
      <w:szCs w:val="13"/>
      <w:lang w:val="nl-NL" w:eastAsia="nl-NL"/>
    </w:rPr>
  </w:style>
  <w:style w:type="paragraph" w:customStyle="1" w:styleId="AfzendgegevensKop">
    <w:name w:val="Afzendgegevens_Kop"/>
    <w:basedOn w:val="Afzendgegevens"/>
    <w:next w:val="Normal"/>
    <w:rsid w:val="00DD460F"/>
    <w:rPr>
      <w:b/>
    </w:rPr>
  </w:style>
  <w:style w:type="paragraph" w:customStyle="1" w:styleId="WitregelW1">
    <w:name w:val="Witregel W1"/>
    <w:next w:val="Normal"/>
    <w:rsid w:val="00DD460F"/>
    <w:pPr>
      <w:autoSpaceDN w:val="0"/>
      <w:spacing w:line="90" w:lineRule="exact"/>
      <w:textAlignment w:val="baseline"/>
    </w:pPr>
    <w:rPr>
      <w:rFonts w:ascii="Verdana" w:eastAsia="DejaVu Sans" w:hAnsi="Verdana" w:cs="Lohit Hindi"/>
      <w:color w:val="000000"/>
      <w:sz w:val="9"/>
      <w:szCs w:val="9"/>
      <w:lang w:val="nl-NL" w:eastAsia="nl-NL"/>
    </w:rPr>
  </w:style>
  <w:style w:type="paragraph" w:styleId="BodyText">
    <w:name w:val="Body Text"/>
    <w:basedOn w:val="Normal"/>
    <w:link w:val="BodyTextChar"/>
    <w:uiPriority w:val="1"/>
    <w:qFormat/>
    <w:rsid w:val="00356026"/>
    <w:pPr>
      <w:widowControl w:val="0"/>
      <w:suppressAutoHyphens w:val="0"/>
      <w:autoSpaceDE w:val="0"/>
      <w:autoSpaceDN w:val="0"/>
      <w:spacing w:line="240" w:lineRule="auto"/>
    </w:pPr>
    <w:rPr>
      <w:rFonts w:ascii="Verdana" w:eastAsia="Verdana" w:hAnsi="Verdana" w:cs="Verdana"/>
      <w:sz w:val="17"/>
      <w:szCs w:val="17"/>
      <w:lang w:val="nl-NL" w:eastAsia="en-US"/>
    </w:rPr>
  </w:style>
  <w:style w:type="character" w:customStyle="1" w:styleId="BodyTextChar">
    <w:name w:val="Body Text Char"/>
    <w:basedOn w:val="DefaultParagraphFont"/>
    <w:link w:val="BodyText"/>
    <w:uiPriority w:val="1"/>
    <w:rsid w:val="00356026"/>
    <w:rPr>
      <w:rFonts w:ascii="Verdana" w:eastAsia="Verdana" w:hAnsi="Verdana" w:cs="Verdana"/>
      <w:sz w:val="17"/>
      <w:szCs w:val="17"/>
      <w:lang w:val="nl-NL" w:eastAsia="en-US"/>
    </w:rPr>
  </w:style>
  <w:style w:type="paragraph" w:styleId="Title">
    <w:name w:val="Title"/>
    <w:basedOn w:val="Normal"/>
    <w:link w:val="TitleChar"/>
    <w:uiPriority w:val="10"/>
    <w:qFormat/>
    <w:rsid w:val="00356026"/>
    <w:pPr>
      <w:widowControl w:val="0"/>
      <w:suppressAutoHyphens w:val="0"/>
      <w:autoSpaceDE w:val="0"/>
      <w:autoSpaceDN w:val="0"/>
      <w:spacing w:line="240" w:lineRule="auto"/>
      <w:ind w:left="605"/>
    </w:pPr>
    <w:rPr>
      <w:rFonts w:ascii="Verdana" w:eastAsia="Verdana" w:hAnsi="Verdana" w:cs="Verdana"/>
      <w:b/>
      <w:bCs/>
      <w:sz w:val="29"/>
      <w:szCs w:val="29"/>
      <w:lang w:val="nl-NL" w:eastAsia="en-US"/>
    </w:rPr>
  </w:style>
  <w:style w:type="character" w:customStyle="1" w:styleId="TitleChar">
    <w:name w:val="Title Char"/>
    <w:basedOn w:val="DefaultParagraphFont"/>
    <w:link w:val="Title"/>
    <w:uiPriority w:val="10"/>
    <w:rsid w:val="00356026"/>
    <w:rPr>
      <w:rFonts w:ascii="Verdana" w:eastAsia="Verdana" w:hAnsi="Verdana" w:cs="Verdana"/>
      <w:b/>
      <w:bCs/>
      <w:sz w:val="29"/>
      <w:szCs w:val="29"/>
      <w:lang w:val="nl-NL" w:eastAsia="en-US"/>
    </w:rPr>
  </w:style>
  <w:style w:type="character" w:styleId="CommentReference">
    <w:name w:val="annotation reference"/>
    <w:basedOn w:val="DefaultParagraphFont"/>
    <w:semiHidden/>
    <w:unhideWhenUsed/>
    <w:rsid w:val="00D770A8"/>
    <w:rPr>
      <w:sz w:val="16"/>
      <w:szCs w:val="16"/>
    </w:rPr>
  </w:style>
  <w:style w:type="paragraph" w:styleId="CommentText">
    <w:name w:val="annotation text"/>
    <w:basedOn w:val="Normal"/>
    <w:link w:val="CommentTextChar"/>
    <w:semiHidden/>
    <w:unhideWhenUsed/>
    <w:rsid w:val="00D770A8"/>
    <w:pPr>
      <w:spacing w:line="240" w:lineRule="auto"/>
    </w:pPr>
  </w:style>
  <w:style w:type="character" w:customStyle="1" w:styleId="CommentTextChar">
    <w:name w:val="Comment Text Char"/>
    <w:basedOn w:val="DefaultParagraphFont"/>
    <w:link w:val="CommentText"/>
    <w:semiHidden/>
    <w:rsid w:val="00D770A8"/>
    <w:rPr>
      <w:lang w:val="en-GB"/>
    </w:rPr>
  </w:style>
  <w:style w:type="paragraph" w:styleId="CommentSubject">
    <w:name w:val="annotation subject"/>
    <w:basedOn w:val="CommentText"/>
    <w:next w:val="CommentText"/>
    <w:link w:val="CommentSubjectChar"/>
    <w:semiHidden/>
    <w:unhideWhenUsed/>
    <w:rsid w:val="00D770A8"/>
    <w:rPr>
      <w:b/>
      <w:bCs/>
    </w:rPr>
  </w:style>
  <w:style w:type="character" w:customStyle="1" w:styleId="CommentSubjectChar">
    <w:name w:val="Comment Subject Char"/>
    <w:basedOn w:val="CommentTextChar"/>
    <w:link w:val="CommentSubject"/>
    <w:semiHidden/>
    <w:rsid w:val="00D770A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ADN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239103-63B7-4FEA-B9CB-1CB8BD2F780D}">
  <ds:schemaRefs>
    <ds:schemaRef ds:uri="http://schemas.microsoft.com/office/2006/metadata/properties"/>
    <ds:schemaRef ds:uri="http://schemas.microsoft.com/office/infopath/2007/PartnerControls"/>
    <ds:schemaRef ds:uri="4b4a1c0d-4a69-4996-a84a-fc699b9f49de"/>
  </ds:schemaRefs>
</ds:datastoreItem>
</file>

<file path=customXml/itemProps2.xml><?xml version="1.0" encoding="utf-8"?>
<ds:datastoreItem xmlns:ds="http://schemas.openxmlformats.org/officeDocument/2006/customXml" ds:itemID="{7DEF997B-8708-46B2-B2FB-7610198FD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6919D2-59DD-46A9-9DAA-0B32298690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ADN_E.dotm</Template>
  <TotalTime>7</TotalTime>
  <Pages>2</Pages>
  <Words>504</Words>
  <Characters>2877</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INF.7</vt:lpstr>
      <vt:lpstr/>
    </vt:vector>
  </TitlesOfParts>
  <Company>CSD</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INF.13</dc:title>
  <dc:subject/>
  <dc:creator>Nadiya Dzyubynska</dc:creator>
  <cp:keywords/>
  <cp:lastModifiedBy>Nadiya Dzyubynska</cp:lastModifiedBy>
  <cp:revision>10</cp:revision>
  <cp:lastPrinted>2022-01-13T11:51:00Z</cp:lastPrinted>
  <dcterms:created xsi:type="dcterms:W3CDTF">2022-01-12T17:18:00Z</dcterms:created>
  <dcterms:modified xsi:type="dcterms:W3CDTF">2022-01-13T11:52:00Z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