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53C3C" w:rsidRPr="00D47EEA" w14:paraId="51701CDA" w14:textId="77777777" w:rsidTr="00D64FF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C15A4E" w14:textId="77777777" w:rsidR="00153C3C" w:rsidRPr="00AC1079" w:rsidRDefault="00153C3C" w:rsidP="00987072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6B24E3C" w14:textId="300B8D90" w:rsidR="00153C3C" w:rsidRPr="00AC1079" w:rsidRDefault="00153C3C" w:rsidP="00552652">
            <w:pPr>
              <w:suppressAutoHyphens/>
              <w:spacing w:after="0" w:line="240" w:lineRule="atLeast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C107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INF.</w:t>
            </w:r>
            <w:r w:rsidR="008D25D6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</w:t>
            </w:r>
            <w:r w:rsidR="00DD34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3C1D5F" w14:paraId="5BD20792" w14:textId="77777777" w:rsidTr="00FD1018">
        <w:trPr>
          <w:cantSplit/>
          <w:trHeight w:hRule="exact" w:val="3984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D69B4" w14:textId="77777777" w:rsidR="003C1D5F" w:rsidRPr="0044588D" w:rsidRDefault="003C1D5F" w:rsidP="00A44806">
            <w:pPr>
              <w:suppressAutoHyphens/>
              <w:spacing w:before="120" w:after="0" w:line="240" w:lineRule="atLeast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4588D">
              <w:rPr>
                <w:rFonts w:asciiTheme="majorBidi" w:hAnsiTheme="majorBidi" w:cstheme="majorBidi"/>
                <w:b/>
                <w:sz w:val="28"/>
                <w:szCs w:val="28"/>
              </w:rPr>
              <w:t>Economic Commission for Europe</w:t>
            </w:r>
          </w:p>
          <w:p w14:paraId="4F9D0AF6" w14:textId="77777777" w:rsidR="003C1D5F" w:rsidRPr="0044588D" w:rsidRDefault="003C1D5F" w:rsidP="00A44806">
            <w:pPr>
              <w:suppressAutoHyphens/>
              <w:spacing w:before="120" w:after="0" w:line="24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44588D">
              <w:rPr>
                <w:rFonts w:asciiTheme="majorBidi" w:hAnsiTheme="majorBidi" w:cstheme="majorBidi"/>
                <w:sz w:val="28"/>
                <w:szCs w:val="28"/>
              </w:rPr>
              <w:t>Inland Transport Committee</w:t>
            </w:r>
          </w:p>
          <w:p w14:paraId="56BA60C6" w14:textId="77777777" w:rsidR="003C1D5F" w:rsidRPr="0044588D" w:rsidRDefault="003C1D5F" w:rsidP="00D64FF5">
            <w:pPr>
              <w:spacing w:before="1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4588D">
              <w:rPr>
                <w:rFonts w:asciiTheme="majorBidi" w:hAnsiTheme="majorBidi" w:cstheme="majorBidi"/>
                <w:b/>
                <w:sz w:val="24"/>
                <w:szCs w:val="24"/>
              </w:rPr>
              <w:t>Working Party on the Transport of Dangerous Goods</w:t>
            </w:r>
          </w:p>
          <w:p w14:paraId="471F6ADD" w14:textId="77777777" w:rsidR="003C1D5F" w:rsidRPr="0044588D" w:rsidRDefault="003C1D5F" w:rsidP="00CC4F88">
            <w:pPr>
              <w:suppressAutoHyphens/>
              <w:spacing w:before="120" w:after="0" w:line="240" w:lineRule="atLeast"/>
              <w:rPr>
                <w:rFonts w:asciiTheme="majorBidi" w:hAnsiTheme="majorBidi" w:cstheme="majorBidi"/>
                <w:b/>
              </w:rPr>
            </w:pPr>
            <w:r w:rsidRPr="0044588D">
              <w:rPr>
                <w:rFonts w:asciiTheme="majorBidi" w:hAnsiTheme="majorBidi" w:cstheme="majorBidi"/>
                <w:b/>
              </w:rPr>
              <w:t>Joint Meeting of Experts on the Regulations annexed to the</w:t>
            </w:r>
            <w:r w:rsidRPr="0044588D">
              <w:rPr>
                <w:rFonts w:asciiTheme="majorBidi" w:hAnsiTheme="majorBidi" w:cstheme="majorBidi"/>
                <w:b/>
              </w:rPr>
              <w:br/>
              <w:t>European Agreement concerning the International Carriage</w:t>
            </w:r>
            <w:r w:rsidRPr="0044588D">
              <w:rPr>
                <w:rFonts w:asciiTheme="majorBidi" w:hAnsiTheme="majorBidi" w:cstheme="majorBidi"/>
                <w:b/>
              </w:rPr>
              <w:br/>
              <w:t>of Dangerous Goods by Inland Waterways (ADN)</w:t>
            </w:r>
            <w:r w:rsidRPr="0044588D">
              <w:rPr>
                <w:rFonts w:asciiTheme="majorBidi" w:hAnsiTheme="majorBidi" w:cstheme="majorBidi"/>
                <w:b/>
              </w:rPr>
              <w:br/>
              <w:t>(ADN Safety Committee)</w:t>
            </w:r>
          </w:p>
          <w:p w14:paraId="099A0D6B" w14:textId="77777777" w:rsidR="00CC4F88" w:rsidRPr="00D92C10" w:rsidRDefault="00CC4F88" w:rsidP="00CC4F88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Thirty-ninth session</w:t>
            </w:r>
          </w:p>
          <w:p w14:paraId="76016502" w14:textId="77777777" w:rsidR="00CC4F88" w:rsidRPr="00D92C10" w:rsidRDefault="00CC4F88" w:rsidP="00CC4F8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sz w:val="20"/>
                <w:szCs w:val="20"/>
              </w:rPr>
              <w:t>Geneva, 24-28 January 2022</w:t>
            </w:r>
          </w:p>
          <w:p w14:paraId="2E8D0533" w14:textId="77777777" w:rsidR="00CC4F88" w:rsidRPr="00D92C10" w:rsidRDefault="00CC4F88" w:rsidP="00CC4F8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sz w:val="20"/>
                <w:szCs w:val="20"/>
              </w:rPr>
              <w:t>Item 5 (a) of the provisional agenda</w:t>
            </w:r>
          </w:p>
          <w:p w14:paraId="730D3896" w14:textId="1F0B0C5D" w:rsidR="00CC4F88" w:rsidRPr="00D92C10" w:rsidRDefault="00CC4F88" w:rsidP="00CC4F8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Proposals for amendments to the Regulations</w:t>
            </w:r>
            <w:r w:rsidR="00D422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2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annexed to ADN: </w:t>
            </w:r>
            <w:r w:rsidR="00D422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D92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 of the RID/ADR/ADN Joint Meeting</w:t>
            </w:r>
          </w:p>
          <w:p w14:paraId="28C1DCA0" w14:textId="57D80F80" w:rsidR="003C1D5F" w:rsidRPr="0044588D" w:rsidRDefault="003C1D5F" w:rsidP="00CC4F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399E06" w14:textId="77777777" w:rsidR="003C1D5F" w:rsidRPr="0044588D" w:rsidRDefault="003C1D5F" w:rsidP="00D64FF5">
            <w:pPr>
              <w:tabs>
                <w:tab w:val="right" w:pos="2835"/>
              </w:tabs>
              <w:spacing w:before="120"/>
              <w:rPr>
                <w:rFonts w:asciiTheme="majorBidi" w:hAnsiTheme="majorBidi" w:cstheme="majorBidi"/>
              </w:rPr>
            </w:pPr>
            <w:r w:rsidRPr="0044588D">
              <w:rPr>
                <w:rFonts w:asciiTheme="majorBidi" w:hAnsiTheme="majorBidi" w:cstheme="majorBidi"/>
              </w:rPr>
              <w:tab/>
            </w:r>
          </w:p>
          <w:p w14:paraId="2D7012FD" w14:textId="77777777" w:rsidR="003C1D5F" w:rsidRPr="0044588D" w:rsidRDefault="003C1D5F" w:rsidP="00D64FF5">
            <w:pPr>
              <w:spacing w:before="120"/>
              <w:rPr>
                <w:rFonts w:asciiTheme="majorBidi" w:hAnsiTheme="majorBidi" w:cstheme="majorBidi"/>
              </w:rPr>
            </w:pPr>
          </w:p>
          <w:p w14:paraId="76437F70" w14:textId="77777777" w:rsidR="00D42206" w:rsidRDefault="00D42206" w:rsidP="00D64FF5">
            <w:pPr>
              <w:spacing w:before="120"/>
              <w:rPr>
                <w:rFonts w:asciiTheme="majorBidi" w:hAnsiTheme="majorBidi" w:cstheme="majorBidi"/>
              </w:rPr>
            </w:pPr>
            <w:r w:rsidRPr="00D42206">
              <w:rPr>
                <w:rFonts w:asciiTheme="majorBidi" w:hAnsiTheme="majorBidi" w:cstheme="majorBidi"/>
              </w:rPr>
              <w:t>11</w:t>
            </w:r>
            <w:r w:rsidR="003C1D5F" w:rsidRPr="00D42206">
              <w:rPr>
                <w:rFonts w:asciiTheme="majorBidi" w:hAnsiTheme="majorBidi" w:cstheme="majorBidi"/>
              </w:rPr>
              <w:t xml:space="preserve"> J</w:t>
            </w:r>
            <w:r w:rsidR="00FD1018" w:rsidRPr="00D42206">
              <w:rPr>
                <w:rFonts w:asciiTheme="majorBidi" w:hAnsiTheme="majorBidi" w:cstheme="majorBidi"/>
              </w:rPr>
              <w:t>anuary</w:t>
            </w:r>
            <w:r w:rsidR="003C1D5F" w:rsidRPr="00D42206">
              <w:rPr>
                <w:rFonts w:asciiTheme="majorBidi" w:hAnsiTheme="majorBidi" w:cstheme="majorBidi"/>
              </w:rPr>
              <w:t xml:space="preserve"> 202</w:t>
            </w:r>
            <w:r w:rsidR="00FD1018" w:rsidRPr="00D42206">
              <w:rPr>
                <w:rFonts w:asciiTheme="majorBidi" w:hAnsiTheme="majorBidi" w:cstheme="majorBidi"/>
              </w:rPr>
              <w:t>2</w:t>
            </w:r>
          </w:p>
          <w:p w14:paraId="3F954056" w14:textId="5809425B" w:rsidR="003C1D5F" w:rsidRPr="0044588D" w:rsidRDefault="003C1D5F" w:rsidP="00D64FF5">
            <w:pPr>
              <w:spacing w:before="120"/>
              <w:rPr>
                <w:rFonts w:asciiTheme="majorBidi" w:hAnsiTheme="majorBidi" w:cstheme="majorBidi"/>
              </w:rPr>
            </w:pPr>
            <w:r w:rsidRPr="0044588D">
              <w:rPr>
                <w:rFonts w:asciiTheme="majorBidi" w:hAnsiTheme="majorBidi" w:cstheme="majorBidi"/>
              </w:rPr>
              <w:t>English</w:t>
            </w:r>
          </w:p>
        </w:tc>
      </w:tr>
    </w:tbl>
    <w:p w14:paraId="5711A32E" w14:textId="46279829" w:rsidR="00835F2D" w:rsidRPr="00207A49" w:rsidRDefault="00FD4455" w:rsidP="00FD4455">
      <w:pPr>
        <w:pStyle w:val="HChG"/>
      </w:pPr>
      <w:r>
        <w:tab/>
      </w:r>
      <w:r>
        <w:tab/>
      </w:r>
      <w:r w:rsidR="00835F2D" w:rsidRPr="00207A49">
        <w:t xml:space="preserve">Von der </w:t>
      </w:r>
      <w:proofErr w:type="spellStart"/>
      <w:r w:rsidR="00835F2D" w:rsidRPr="00207A49">
        <w:t>Gemeinsamen</w:t>
      </w:r>
      <w:proofErr w:type="spellEnd"/>
      <w:r w:rsidR="00835F2D" w:rsidRPr="00207A49">
        <w:t xml:space="preserve"> RID/ADR/ADN-</w:t>
      </w:r>
      <w:proofErr w:type="spellStart"/>
      <w:r w:rsidR="00835F2D" w:rsidRPr="00207A49">
        <w:t>Tagung</w:t>
      </w:r>
      <w:proofErr w:type="spellEnd"/>
      <w:r w:rsidR="00835F2D" w:rsidRPr="00207A49">
        <w:t xml:space="preserve"> und der </w:t>
      </w:r>
      <w:proofErr w:type="spellStart"/>
      <w:r w:rsidR="00835F2D" w:rsidRPr="00207A49">
        <w:t>Arbeitsgruppe</w:t>
      </w:r>
      <w:proofErr w:type="spellEnd"/>
      <w:r w:rsidR="00835F2D" w:rsidRPr="00207A49">
        <w:t xml:space="preserve"> „</w:t>
      </w:r>
      <w:proofErr w:type="spellStart"/>
      <w:r w:rsidR="00835F2D" w:rsidRPr="00207A49">
        <w:t>Beförderung</w:t>
      </w:r>
      <w:proofErr w:type="spellEnd"/>
      <w:r w:rsidR="00835F2D" w:rsidRPr="00207A49">
        <w:t xml:space="preserve"> </w:t>
      </w:r>
      <w:proofErr w:type="spellStart"/>
      <w:r w:rsidR="00835F2D" w:rsidRPr="00207A49">
        <w:t>gefährlicher</w:t>
      </w:r>
      <w:proofErr w:type="spellEnd"/>
      <w:r w:rsidR="00835F2D" w:rsidRPr="00207A49">
        <w:t xml:space="preserve"> </w:t>
      </w:r>
      <w:proofErr w:type="spellStart"/>
      <w:r w:rsidR="00835F2D" w:rsidRPr="00207A49">
        <w:t>Güter</w:t>
      </w:r>
      <w:proofErr w:type="spellEnd"/>
      <w:r w:rsidR="00835F2D" w:rsidRPr="00207A49">
        <w:t xml:space="preserve">“ (WP.15) </w:t>
      </w:r>
      <w:proofErr w:type="spellStart"/>
      <w:r w:rsidR="00835F2D" w:rsidRPr="00207A49">
        <w:t>angenommene</w:t>
      </w:r>
      <w:proofErr w:type="spellEnd"/>
      <w:r w:rsidR="00835F2D" w:rsidRPr="00207A49">
        <w:t xml:space="preserve"> </w:t>
      </w:r>
      <w:proofErr w:type="spellStart"/>
      <w:r w:rsidR="00835F2D" w:rsidRPr="00207A49">
        <w:t>Änderungsentwürfe</w:t>
      </w:r>
      <w:proofErr w:type="spellEnd"/>
      <w:r w:rsidR="00835F2D" w:rsidRPr="00207A49">
        <w:t>, die am 1. </w:t>
      </w:r>
      <w:proofErr w:type="spellStart"/>
      <w:r w:rsidR="00835F2D" w:rsidRPr="00207A49">
        <w:t>Januar</w:t>
      </w:r>
      <w:proofErr w:type="spellEnd"/>
      <w:r w:rsidR="00835F2D" w:rsidRPr="00207A49">
        <w:t xml:space="preserve"> 2023 in Kraft </w:t>
      </w:r>
      <w:proofErr w:type="spellStart"/>
      <w:r w:rsidR="00835F2D" w:rsidRPr="00207A49">
        <w:t>treten</w:t>
      </w:r>
      <w:proofErr w:type="spellEnd"/>
      <w:r w:rsidR="00835F2D" w:rsidRPr="00207A49">
        <w:t xml:space="preserve"> </w:t>
      </w:r>
      <w:proofErr w:type="spellStart"/>
      <w:r w:rsidR="00835F2D" w:rsidRPr="00207A49">
        <w:t>sollen</w:t>
      </w:r>
      <w:proofErr w:type="spellEnd"/>
      <w:r w:rsidR="00835F2D" w:rsidRPr="00207A49">
        <w:t xml:space="preserve"> und die </w:t>
      </w:r>
      <w:proofErr w:type="spellStart"/>
      <w:r w:rsidR="00835F2D" w:rsidRPr="00207A49">
        <w:t>für</w:t>
      </w:r>
      <w:proofErr w:type="spellEnd"/>
      <w:r w:rsidR="00835F2D" w:rsidRPr="00207A49">
        <w:t xml:space="preserve"> das ADN von </w:t>
      </w:r>
      <w:proofErr w:type="spellStart"/>
      <w:r w:rsidR="00835F2D" w:rsidRPr="00207A49">
        <w:t>Bedeutung</w:t>
      </w:r>
      <w:proofErr w:type="spellEnd"/>
      <w:r w:rsidR="00835F2D" w:rsidRPr="00207A49">
        <w:t xml:space="preserve"> sein </w:t>
      </w:r>
      <w:proofErr w:type="spellStart"/>
      <w:r w:rsidR="00835F2D" w:rsidRPr="00207A49">
        <w:t>könnten</w:t>
      </w:r>
      <w:proofErr w:type="spellEnd"/>
    </w:p>
    <w:p w14:paraId="5AADFB18" w14:textId="77777777" w:rsidR="00835F2D" w:rsidRPr="00207A49" w:rsidRDefault="00835F2D" w:rsidP="00FD4455">
      <w:pPr>
        <w:pStyle w:val="H1G"/>
      </w:pPr>
      <w:r w:rsidRPr="00207A49">
        <w:tab/>
      </w:r>
      <w:r w:rsidRPr="00207A49">
        <w:tab/>
      </w:r>
      <w:proofErr w:type="spellStart"/>
      <w:r w:rsidRPr="00207A49">
        <w:t>Anmerkung</w:t>
      </w:r>
      <w:proofErr w:type="spellEnd"/>
      <w:r w:rsidRPr="00207A49">
        <w:t xml:space="preserve"> des UNECE-</w:t>
      </w:r>
      <w:proofErr w:type="spellStart"/>
      <w:r w:rsidRPr="00207A49">
        <w:t>Sekretariats</w:t>
      </w:r>
      <w:proofErr w:type="spellEnd"/>
    </w:p>
    <w:p w14:paraId="5F86AA53" w14:textId="77777777" w:rsidR="00835F2D" w:rsidRPr="00207A49" w:rsidRDefault="00835F2D" w:rsidP="00835F2D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207A49">
        <w:rPr>
          <w:rFonts w:ascii="Times New Roman" w:hAnsi="Times New Roman" w:cs="Times New Roman"/>
          <w:b/>
          <w:szCs w:val="20"/>
        </w:rPr>
        <w:tab/>
      </w:r>
      <w:r w:rsidRPr="00207A49">
        <w:rPr>
          <w:rFonts w:ascii="Times New Roman" w:hAnsi="Times New Roman" w:cs="Times New Roman"/>
          <w:b/>
          <w:szCs w:val="20"/>
        </w:rPr>
        <w:tab/>
      </w:r>
      <w:r w:rsidRPr="00207A49">
        <w:rPr>
          <w:rFonts w:ascii="Times New Roman" w:hAnsi="Times New Roman" w:cs="Times New Roman"/>
          <w:sz w:val="20"/>
          <w:szCs w:val="20"/>
        </w:rPr>
        <w:t xml:space="preserve">Das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legt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hiermit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Änderungsentwürfe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, die von der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Gemeinsamen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RID/ADR/ADN-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Tagung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und der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Arbeitsgruppe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Beförderung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gefährlicher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Güter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“ (WP.15)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angenommen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wurden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und die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für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das ADN von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Bedeutung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sein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könnten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zur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Prüfung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durch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den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Sicherheitsausschuss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Pr="00207A49">
        <w:rPr>
          <w:rFonts w:ascii="Times New Roman" w:hAnsi="Times New Roman" w:cs="Times New Roman"/>
          <w:sz w:val="20"/>
          <w:szCs w:val="20"/>
        </w:rPr>
        <w:t>.</w:t>
      </w:r>
    </w:p>
    <w:p w14:paraId="4C410D7D" w14:textId="77777777" w:rsidR="00835F2D" w:rsidRPr="00207A49" w:rsidRDefault="00835F2D" w:rsidP="00835F2D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07A49">
        <w:rPr>
          <w:rFonts w:ascii="Times New Roman" w:eastAsia="Calibri" w:hAnsi="Times New Roman" w:cs="Times New Roman"/>
          <w:b/>
          <w:sz w:val="20"/>
          <w:szCs w:val="20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</w:rPr>
        <w:t>Kapitel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</w:rPr>
        <w:t xml:space="preserve"> 1.2</w:t>
      </w:r>
    </w:p>
    <w:p w14:paraId="76AF5E5B" w14:textId="77777777" w:rsidR="00835F2D" w:rsidRPr="00207A49" w:rsidRDefault="00835F2D" w:rsidP="00835F2D">
      <w:pPr>
        <w:spacing w:after="120"/>
        <w:ind w:left="1134" w:right="1134"/>
        <w:jc w:val="both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</w:pPr>
      <w:proofErr w:type="spellStart"/>
      <w:r w:rsidRPr="00207A49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>Änderungsentwurf</w:t>
      </w:r>
      <w:proofErr w:type="spellEnd"/>
      <w:r w:rsidRPr="00207A49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>:</w:t>
      </w:r>
    </w:p>
    <w:p w14:paraId="40C3C31E" w14:textId="77777777" w:rsidR="00835F2D" w:rsidRPr="00207A49" w:rsidRDefault="00835F2D" w:rsidP="00835F2D">
      <w:pPr>
        <w:spacing w:after="120"/>
        <w:ind w:left="1418" w:right="1134"/>
        <w:jc w:val="both"/>
        <w:rPr>
          <w:rFonts w:ascii="Times New Roman" w:eastAsia="SimSun" w:hAnsi="Times New Roman" w:cs="Times New Roman"/>
          <w:iCs/>
          <w:sz w:val="20"/>
          <w:szCs w:val="20"/>
          <w:lang w:eastAsia="zh-CN"/>
        </w:rPr>
      </w:pPr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„In der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Begriffsbestimmung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von „</w:t>
      </w:r>
      <w:bookmarkStart w:id="0" w:name="_Hlk92980933"/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Bedienungsausrüstung</w:t>
      </w:r>
      <w:bookmarkEnd w:id="0"/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“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folgende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Änderungen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vornehmen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:</w:t>
      </w:r>
    </w:p>
    <w:p w14:paraId="31212BB1" w14:textId="77777777" w:rsidR="00835F2D" w:rsidRPr="00207A49" w:rsidRDefault="00835F2D" w:rsidP="00835F2D">
      <w:pPr>
        <w:spacing w:after="120"/>
        <w:ind w:left="1418" w:right="1134"/>
        <w:jc w:val="both"/>
        <w:rPr>
          <w:rFonts w:ascii="Times New Roman" w:eastAsia="SimSun" w:hAnsi="Times New Roman" w:cs="Times New Roman"/>
          <w:iCs/>
          <w:sz w:val="20"/>
          <w:szCs w:val="20"/>
          <w:lang w:eastAsia="zh-CN"/>
        </w:rPr>
      </w:pPr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–</w:t>
      </w:r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ab/>
        <w:t xml:space="preserve">Am Ende des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Absatzes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c) „.“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ändern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in: „;“.</w:t>
      </w:r>
    </w:p>
    <w:p w14:paraId="6095FE50" w14:textId="77777777" w:rsidR="00835F2D" w:rsidRPr="00207A49" w:rsidRDefault="00835F2D" w:rsidP="00835F2D">
      <w:pPr>
        <w:spacing w:after="120"/>
        <w:ind w:left="1418" w:right="1134"/>
        <w:jc w:val="both"/>
        <w:rPr>
          <w:rFonts w:ascii="Times New Roman" w:eastAsia="SimSun" w:hAnsi="Times New Roman" w:cs="Times New Roman"/>
          <w:iCs/>
          <w:sz w:val="20"/>
          <w:szCs w:val="20"/>
          <w:lang w:eastAsia="zh-CN"/>
        </w:rPr>
      </w:pPr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–</w:t>
      </w:r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ab/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Folgenden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neuen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Absatz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d)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hinzufügen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:</w:t>
      </w:r>
    </w:p>
    <w:p w14:paraId="754A3B2B" w14:textId="77777777" w:rsidR="00835F2D" w:rsidRPr="00207A49" w:rsidRDefault="00835F2D" w:rsidP="00835F2D">
      <w:pPr>
        <w:spacing w:after="120"/>
        <w:ind w:left="1418" w:right="1134"/>
        <w:jc w:val="both"/>
        <w:rPr>
          <w:rFonts w:ascii="Times New Roman" w:eastAsia="SimSun" w:hAnsi="Times New Roman" w:cs="Times New Roman"/>
          <w:iCs/>
          <w:sz w:val="20"/>
          <w:szCs w:val="20"/>
          <w:lang w:eastAsia="zh-CN"/>
        </w:rPr>
      </w:pPr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„d)</w:t>
      </w:r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ab/>
      </w:r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ab/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eines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Druckgefäßes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: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Verschlüsse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,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Sammelrohre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,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Rohrleitungen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,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poröses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,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absorbierendes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oder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adsorbierendes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Material und alle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baulichen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Einrichtungen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,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z.B.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für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 xml:space="preserve"> die </w:t>
      </w:r>
      <w:proofErr w:type="spellStart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Handhabung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.“.</w:t>
      </w:r>
    </w:p>
    <w:p w14:paraId="3BCCE758" w14:textId="77777777" w:rsidR="00835F2D" w:rsidRPr="00207A49" w:rsidRDefault="00835F2D" w:rsidP="00835F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  <w:proofErr w:type="spellStart"/>
      <w:r w:rsidRPr="00207A49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>Anmerkung</w:t>
      </w:r>
      <w:proofErr w:type="spellEnd"/>
      <w:r w:rsidRPr="00207A49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 xml:space="preserve"> des </w:t>
      </w:r>
      <w:proofErr w:type="spellStart"/>
      <w:r w:rsidRPr="00207A49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>Sekretariats</w:t>
      </w:r>
      <w:proofErr w:type="spellEnd"/>
      <w:r w:rsidRPr="00207A49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 xml:space="preserve">: </w:t>
      </w:r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Die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Begriffsbestimmung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von „</w:t>
      </w:r>
      <w:proofErr w:type="spellStart"/>
      <w:r w:rsidRPr="00207A49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Bedienungsausrüstung</w:t>
      </w:r>
      <w:proofErr w:type="spellEnd"/>
      <w:r w:rsidRPr="00207A49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“</w:t>
      </w:r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ist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nicht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im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ADN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enthalten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,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aber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der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Begriff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wird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an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mehreren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Stellen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verwendet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(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d.h.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in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Begriffsbestimmungen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wie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„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Packmittelkörper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“, „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Flexibler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Schüttgut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-Container“, in 9.3.1.11.7, 9.3.2.11.9, 9.3.3.11.8, um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nur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einige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zu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nennen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). Der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Sicherheitsausschuss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könnte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eine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angepasste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Begriffsbestimmung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des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Begriffs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im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Sinne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des ADN </w:t>
      </w:r>
      <w:proofErr w:type="spellStart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hinzufügen</w:t>
      </w:r>
      <w:proofErr w:type="spellEnd"/>
      <w:r w:rsidRPr="00207A4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.</w:t>
      </w:r>
    </w:p>
    <w:p w14:paraId="3ED3E539" w14:textId="77777777" w:rsidR="00835F2D" w:rsidRPr="00207A49" w:rsidRDefault="00835F2D" w:rsidP="00835F2D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</w:rPr>
        <w:lastRenderedPageBreak/>
        <w:tab/>
      </w:r>
      <w:r w:rsidRPr="00207A49">
        <w:rPr>
          <w:rFonts w:ascii="Times New Roman" w:eastAsia="Calibri" w:hAnsi="Times New Roman" w:cs="Times New Roman"/>
          <w:b/>
          <w:sz w:val="20"/>
          <w:szCs w:val="20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</w:rPr>
        <w:t>Kapitel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</w:rPr>
        <w:t xml:space="preserve"> 1.8</w:t>
      </w:r>
    </w:p>
    <w:p w14:paraId="620D95C5" w14:textId="77777777" w:rsidR="00835F2D" w:rsidRPr="00207A49" w:rsidRDefault="00835F2D" w:rsidP="00835F2D">
      <w:pPr>
        <w:spacing w:after="120"/>
        <w:ind w:left="1134" w:right="1134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spellStart"/>
      <w:r w:rsidRPr="00207A49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>Anmerkung</w:t>
      </w:r>
      <w:proofErr w:type="spellEnd"/>
      <w:r w:rsidRPr="00207A49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 xml:space="preserve"> des </w:t>
      </w:r>
      <w:proofErr w:type="spellStart"/>
      <w:r w:rsidRPr="00207A49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>Sekretariats</w:t>
      </w:r>
      <w:proofErr w:type="spellEnd"/>
      <w:r w:rsidRPr="00207A4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:</w:t>
      </w:r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Sekretariat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gibt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nachstehend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angenommenen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Texte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für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1.8.6, 1.8.7 und 1.8.8 des ADR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wieder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. Der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Sicherheitsausschuss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wird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gebeten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Relevanz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dieser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Texte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für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das ADN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zu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bestimmen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. Das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Sekretariat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möchte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Sicherheitsausschuss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auf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Folgendes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aufmerksam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machen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</w:rPr>
        <w:t>:</w:t>
      </w:r>
    </w:p>
    <w:p w14:paraId="3E378D25" w14:textId="77777777" w:rsidR="00835F2D" w:rsidRPr="00207A49" w:rsidRDefault="00835F2D" w:rsidP="00835F2D">
      <w:pPr>
        <w:numPr>
          <w:ilvl w:val="0"/>
          <w:numId w:val="11"/>
        </w:numPr>
        <w:suppressAutoHyphens/>
        <w:spacing w:after="120" w:line="240" w:lineRule="atLeast"/>
        <w:ind w:right="113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07A49">
        <w:rPr>
          <w:rFonts w:ascii="Times New Roman" w:hAnsi="Times New Roman" w:cs="Times New Roman"/>
          <w:i/>
          <w:iCs/>
          <w:sz w:val="20"/>
          <w:szCs w:val="20"/>
        </w:rPr>
        <w:t>„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Untersuchungsstelle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“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ist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Artikel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3 des ADN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definiert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als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742E9177" w14:textId="77777777" w:rsidR="00835F2D" w:rsidRPr="00207A49" w:rsidRDefault="00835F2D" w:rsidP="00835F2D">
      <w:pPr>
        <w:suppressAutoHyphens/>
        <w:autoSpaceDE w:val="0"/>
        <w:autoSpaceDN w:val="0"/>
        <w:adjustRightInd w:val="0"/>
        <w:spacing w:after="240" w:line="240" w:lineRule="atLeast"/>
        <w:ind w:left="1843" w:right="1089"/>
        <w:contextualSpacing/>
        <w:jc w:val="both"/>
        <w:rPr>
          <w:rFonts w:ascii="TimesNewRoman" w:hAnsi="TimesNewRoman" w:cs="TimesNewRoman"/>
          <w:sz w:val="20"/>
          <w:szCs w:val="20"/>
        </w:rPr>
      </w:pPr>
      <w:r w:rsidRPr="00207A49">
        <w:rPr>
          <w:rFonts w:ascii="TimesNewRoman" w:hAnsi="TimesNewRoman" w:cs="TimesNewRoman"/>
          <w:sz w:val="20"/>
          <w:szCs w:val="20"/>
        </w:rPr>
        <w:t>„</w:t>
      </w:r>
      <w:bookmarkStart w:id="1" w:name="_Hlk92961761"/>
      <w:proofErr w:type="spellStart"/>
      <w:r w:rsidRPr="00207A49">
        <w:rPr>
          <w:rFonts w:ascii="TimesNewRoman" w:hAnsi="TimesNewRoman" w:cs="TimesNewRoman"/>
          <w:i/>
          <w:iCs/>
          <w:sz w:val="20"/>
          <w:szCs w:val="20"/>
        </w:rPr>
        <w:t>Untersuchungsstelle</w:t>
      </w:r>
      <w:bookmarkEnd w:id="1"/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“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eine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 von der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Vertragspartei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benannte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oder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anerkannte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 Stelle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zur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Untersuchung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 der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Schiffe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gemäß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 den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Verfahren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 der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beigefügten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Pr="00207A49">
        <w:rPr>
          <w:rFonts w:ascii="TimesNewRoman" w:hAnsi="TimesNewRoman" w:cs="TimesNewRoman"/>
          <w:sz w:val="20"/>
          <w:szCs w:val="20"/>
        </w:rPr>
        <w:t>Verordnung</w:t>
      </w:r>
      <w:proofErr w:type="spellEnd"/>
      <w:r w:rsidRPr="00207A49">
        <w:rPr>
          <w:rFonts w:ascii="TimesNewRoman" w:hAnsi="TimesNewRoman" w:cs="TimesNewRoman"/>
          <w:sz w:val="20"/>
          <w:szCs w:val="20"/>
        </w:rPr>
        <w:t>.</w:t>
      </w:r>
    </w:p>
    <w:p w14:paraId="398F77F2" w14:textId="77777777" w:rsidR="00835F2D" w:rsidRPr="00207A49" w:rsidRDefault="00835F2D" w:rsidP="00835F2D">
      <w:pPr>
        <w:suppressAutoHyphens/>
        <w:autoSpaceDE w:val="0"/>
        <w:autoSpaceDN w:val="0"/>
        <w:adjustRightInd w:val="0"/>
        <w:spacing w:after="240"/>
        <w:ind w:left="1854" w:right="1089"/>
        <w:contextualSpacing/>
        <w:jc w:val="both"/>
        <w:rPr>
          <w:rFonts w:ascii="TimesNewRoman" w:hAnsi="TimesNewRoman" w:cs="TimesNewRoman"/>
          <w:sz w:val="20"/>
          <w:szCs w:val="20"/>
        </w:rPr>
      </w:pPr>
    </w:p>
    <w:p w14:paraId="4FF9402D" w14:textId="77777777" w:rsidR="00835F2D" w:rsidRPr="00207A49" w:rsidRDefault="00835F2D" w:rsidP="00835F2D">
      <w:pPr>
        <w:suppressAutoHyphens/>
        <w:spacing w:after="120" w:line="240" w:lineRule="atLeast"/>
        <w:ind w:left="1854" w:right="113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07A49">
        <w:rPr>
          <w:rFonts w:ascii="Times New Roman" w:hAnsi="Times New Roman" w:cs="Times New Roman"/>
          <w:i/>
          <w:iCs/>
          <w:sz w:val="20"/>
          <w:szCs w:val="20"/>
        </w:rPr>
        <w:t>„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Prüfstelle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“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ist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in 1.2.1 der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dem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ADN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beigefügten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Verordnung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definiert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als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281FE035" w14:textId="77777777" w:rsidR="00835F2D" w:rsidRPr="00207A49" w:rsidRDefault="00835F2D" w:rsidP="00835F2D">
      <w:pPr>
        <w:suppressAutoHyphens/>
        <w:autoSpaceDE w:val="0"/>
        <w:autoSpaceDN w:val="0"/>
        <w:adjustRightInd w:val="0"/>
        <w:spacing w:after="120"/>
        <w:ind w:left="1854" w:right="1134"/>
        <w:contextualSpacing/>
        <w:jc w:val="both"/>
        <w:rPr>
          <w:rFonts w:ascii="TimesNewRoman,Italic" w:hAnsi="TimesNewRoman,Italic" w:cs="TimesNewRoman,Italic"/>
          <w:sz w:val="20"/>
          <w:szCs w:val="20"/>
        </w:rPr>
      </w:pPr>
      <w:proofErr w:type="spellStart"/>
      <w:r w:rsidRPr="00207A49">
        <w:rPr>
          <w:rFonts w:ascii="TimesNewRoman,Italic" w:hAnsi="TimesNewRoman,Italic" w:cs="TimesNewRoman,Italic"/>
          <w:i/>
          <w:iCs/>
          <w:sz w:val="20"/>
          <w:szCs w:val="20"/>
        </w:rPr>
        <w:t>Prüfstelle</w:t>
      </w:r>
      <w:proofErr w:type="spellEnd"/>
      <w:r w:rsidRPr="00207A49">
        <w:rPr>
          <w:rFonts w:ascii="TimesNewRoman,Italic" w:hAnsi="TimesNewRoman,Italic" w:cs="TimesNewRoman,Italic"/>
          <w:i/>
          <w:iCs/>
          <w:sz w:val="20"/>
          <w:szCs w:val="20"/>
        </w:rPr>
        <w:t xml:space="preserve">: </w:t>
      </w:r>
      <w:r w:rsidRPr="00207A49">
        <w:rPr>
          <w:rFonts w:ascii="TimesNewRoman,Italic" w:hAnsi="TimesNewRoman,Italic" w:cs="TimesNewRoman,Italic"/>
          <w:sz w:val="20"/>
          <w:szCs w:val="20"/>
        </w:rPr>
        <w:t xml:space="preserve">Eine von der </w:t>
      </w:r>
      <w:proofErr w:type="spellStart"/>
      <w:r w:rsidRPr="00207A49">
        <w:rPr>
          <w:rFonts w:ascii="TimesNewRoman,Italic" w:hAnsi="TimesNewRoman,Italic" w:cs="TimesNewRoman,Italic"/>
          <w:sz w:val="20"/>
          <w:szCs w:val="20"/>
        </w:rPr>
        <w:t>zuständigen</w:t>
      </w:r>
      <w:proofErr w:type="spellEnd"/>
      <w:r w:rsidRPr="00207A49">
        <w:rPr>
          <w:rFonts w:ascii="TimesNewRoman,Italic" w:hAnsi="TimesNewRoman,Italic" w:cs="TimesNewRoman,Italic"/>
          <w:sz w:val="20"/>
          <w:szCs w:val="20"/>
        </w:rPr>
        <w:t xml:space="preserve"> </w:t>
      </w:r>
      <w:proofErr w:type="spellStart"/>
      <w:r w:rsidRPr="00207A49">
        <w:rPr>
          <w:rFonts w:ascii="TimesNewRoman,Italic" w:hAnsi="TimesNewRoman,Italic" w:cs="TimesNewRoman,Italic"/>
          <w:sz w:val="20"/>
          <w:szCs w:val="20"/>
        </w:rPr>
        <w:t>Behörde</w:t>
      </w:r>
      <w:proofErr w:type="spellEnd"/>
      <w:r w:rsidRPr="00207A49">
        <w:rPr>
          <w:rFonts w:ascii="TimesNewRoman,Italic" w:hAnsi="TimesNewRoman,Italic" w:cs="TimesNewRoman,Italic"/>
          <w:sz w:val="20"/>
          <w:szCs w:val="20"/>
        </w:rPr>
        <w:t xml:space="preserve"> </w:t>
      </w:r>
      <w:proofErr w:type="spellStart"/>
      <w:r w:rsidRPr="00207A49">
        <w:rPr>
          <w:rFonts w:ascii="TimesNewRoman,Italic" w:hAnsi="TimesNewRoman,Italic" w:cs="TimesNewRoman,Italic"/>
          <w:sz w:val="20"/>
          <w:szCs w:val="20"/>
        </w:rPr>
        <w:t>zugelassene</w:t>
      </w:r>
      <w:proofErr w:type="spellEnd"/>
      <w:r w:rsidRPr="00207A49">
        <w:rPr>
          <w:rFonts w:ascii="TimesNewRoman,Italic" w:hAnsi="TimesNewRoman,Italic" w:cs="TimesNewRoman,Italic"/>
          <w:sz w:val="20"/>
          <w:szCs w:val="20"/>
        </w:rPr>
        <w:t xml:space="preserve"> </w:t>
      </w:r>
      <w:proofErr w:type="spellStart"/>
      <w:r w:rsidRPr="00207A49">
        <w:rPr>
          <w:rFonts w:ascii="TimesNewRoman,Italic" w:hAnsi="TimesNewRoman,Italic" w:cs="TimesNewRoman,Italic"/>
          <w:sz w:val="20"/>
          <w:szCs w:val="20"/>
        </w:rPr>
        <w:t>unabhängige</w:t>
      </w:r>
      <w:proofErr w:type="spellEnd"/>
      <w:r w:rsidRPr="00207A49">
        <w:rPr>
          <w:rFonts w:ascii="TimesNewRoman,Italic" w:hAnsi="TimesNewRoman,Italic" w:cs="TimesNewRoman,Italic"/>
          <w:sz w:val="20"/>
          <w:szCs w:val="20"/>
        </w:rPr>
        <w:t xml:space="preserve"> </w:t>
      </w:r>
      <w:proofErr w:type="spellStart"/>
      <w:r w:rsidRPr="00207A49">
        <w:rPr>
          <w:rFonts w:ascii="TimesNewRoman,Italic" w:hAnsi="TimesNewRoman,Italic" w:cs="TimesNewRoman,Italic"/>
          <w:sz w:val="20"/>
          <w:szCs w:val="20"/>
        </w:rPr>
        <w:t>Prüfstelle</w:t>
      </w:r>
      <w:proofErr w:type="spellEnd"/>
      <w:r w:rsidRPr="00207A49">
        <w:rPr>
          <w:rFonts w:ascii="TimesNewRoman,Italic" w:hAnsi="TimesNewRoman,Italic" w:cs="TimesNewRoman,Italic"/>
          <w:sz w:val="20"/>
          <w:szCs w:val="20"/>
        </w:rPr>
        <w:t>.</w:t>
      </w:r>
    </w:p>
    <w:p w14:paraId="69E90D45" w14:textId="77777777" w:rsidR="00835F2D" w:rsidRPr="00207A49" w:rsidRDefault="00835F2D" w:rsidP="00835F2D">
      <w:pPr>
        <w:suppressAutoHyphens/>
        <w:autoSpaceDE w:val="0"/>
        <w:autoSpaceDN w:val="0"/>
        <w:adjustRightInd w:val="0"/>
        <w:spacing w:after="120"/>
        <w:ind w:left="1854" w:right="1134"/>
        <w:contextualSpacing/>
        <w:jc w:val="both"/>
        <w:rPr>
          <w:rFonts w:ascii="TimesNewRoman" w:hAnsi="TimesNewRoman" w:cs="TimesNewRoman"/>
          <w:sz w:val="20"/>
          <w:szCs w:val="20"/>
        </w:rPr>
      </w:pPr>
    </w:p>
    <w:p w14:paraId="2CAEFCDD" w14:textId="77777777" w:rsidR="00835F2D" w:rsidRPr="00207A49" w:rsidRDefault="00835F2D" w:rsidP="00835F2D">
      <w:pPr>
        <w:numPr>
          <w:ilvl w:val="0"/>
          <w:numId w:val="11"/>
        </w:numPr>
        <w:suppressAutoHyphens/>
        <w:spacing w:after="120" w:line="240" w:lineRule="atLeast"/>
        <w:ind w:right="113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07A49">
        <w:rPr>
          <w:rFonts w:ascii="Times New Roman" w:hAnsi="Times New Roman" w:cs="Times New Roman"/>
          <w:i/>
          <w:iCs/>
          <w:sz w:val="20"/>
          <w:szCs w:val="20"/>
        </w:rPr>
        <w:t>„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Konformitätsbewertungsverfahren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“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ist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im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ADR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definiert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aber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nicht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im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ADN.</w:t>
      </w:r>
    </w:p>
    <w:p w14:paraId="50277A3C" w14:textId="77777777" w:rsidR="00835F2D" w:rsidRPr="00207A49" w:rsidRDefault="00835F2D" w:rsidP="00835F2D">
      <w:pPr>
        <w:suppressAutoHyphens/>
        <w:spacing w:after="120" w:line="240" w:lineRule="atLeast"/>
        <w:ind w:left="1854" w:right="113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589225F" w14:textId="77777777" w:rsidR="00835F2D" w:rsidRPr="00207A49" w:rsidRDefault="00835F2D" w:rsidP="00835F2D">
      <w:pPr>
        <w:numPr>
          <w:ilvl w:val="0"/>
          <w:numId w:val="11"/>
        </w:numPr>
        <w:suppressAutoHyphens/>
        <w:spacing w:after="120" w:line="240" w:lineRule="atLeast"/>
        <w:ind w:right="113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07A49">
        <w:rPr>
          <w:rFonts w:ascii="Times New Roman" w:hAnsi="Times New Roman" w:cs="Times New Roman"/>
          <w:i/>
          <w:iCs/>
          <w:sz w:val="20"/>
          <w:szCs w:val="20"/>
        </w:rPr>
        <w:t>„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Konformitätsbewertungsverfahren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“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wird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im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Zusammenhang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mit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dem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Explosionsschutz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verschiedenen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Absätzen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der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dem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ADN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beigefügten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Verordnung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wie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folgt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verwendet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>: „(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z.B.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Start w:id="2" w:name="_Hlk92963678"/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Konformitätsbewertungsverfahren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End w:id="2"/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nach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Richtlinie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2014/34/EU</w:t>
      </w:r>
      <w:r w:rsidRPr="00207A4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3)</w:t>
      </w:r>
      <w:r w:rsidRPr="00207A49">
        <w:rPr>
          <w:rFonts w:ascii="Times New Roman" w:hAnsi="Times New Roman" w:cs="Times New Roman"/>
          <w:i/>
          <w:iCs/>
          <w:sz w:val="20"/>
          <w:szCs w:val="20"/>
        </w:rPr>
        <w:t>, IECEx-System</w:t>
      </w:r>
      <w:r w:rsidRPr="00207A4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4)</w:t>
      </w:r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oder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ECE Trade 391</w:t>
      </w:r>
      <w:r w:rsidRPr="00207A4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5)</w:t>
      </w:r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oder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mindestens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i/>
          <w:iCs/>
          <w:sz w:val="20"/>
          <w:szCs w:val="20"/>
        </w:rPr>
        <w:t>gleichwertig</w:t>
      </w:r>
      <w:proofErr w:type="spellEnd"/>
      <w:r w:rsidRPr="00207A49">
        <w:rPr>
          <w:rFonts w:ascii="Times New Roman" w:hAnsi="Times New Roman" w:cs="Times New Roman"/>
          <w:i/>
          <w:iCs/>
          <w:sz w:val="20"/>
          <w:szCs w:val="20"/>
        </w:rPr>
        <w:t>)“.</w:t>
      </w:r>
    </w:p>
    <w:p w14:paraId="79327575" w14:textId="77777777" w:rsidR="00835F2D" w:rsidRPr="00207A49" w:rsidRDefault="00835F2D" w:rsidP="00DF16B2">
      <w:pPr>
        <w:spacing w:before="240"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>Änderungsentwurf</w:t>
      </w:r>
      <w:proofErr w:type="spellEnd"/>
      <w:r w:rsidRPr="00207A49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>:</w:t>
      </w:r>
    </w:p>
    <w:p w14:paraId="1FD1001E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erhält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Wortlaut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2FFE470E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“</w:t>
      </w:r>
      <w:r w:rsidRPr="00207A49">
        <w:rPr>
          <w:rFonts w:ascii="Times New Roman" w:eastAsia="Calibri" w:hAnsi="Times New Roman" w:cs="Times New Roman"/>
          <w:b/>
          <w:bCs/>
          <w:sz w:val="20"/>
          <w:szCs w:val="20"/>
        </w:rPr>
        <w:t>1.8.6</w:t>
      </w:r>
      <w:r w:rsidRPr="00207A49">
        <w:rPr>
          <w:rFonts w:ascii="Times New Roman" w:eastAsia="Calibri" w:hAnsi="Times New Roman" w:cs="Times New Roman"/>
          <w:b/>
          <w:bCs/>
          <w:sz w:val="20"/>
          <w:szCs w:val="20"/>
        </w:rPr>
        <w:tab/>
        <w:t xml:space="preserve">Administrative </w:t>
      </w: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</w:rPr>
        <w:t>Kontrollen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</w:rPr>
        <w:t>für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die in den </w:t>
      </w: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</w:rPr>
        <w:t>Abschnitten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1.8.7 und 1.8.8 </w:t>
      </w: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</w:rPr>
        <w:t>beschriebenen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</w:rPr>
        <w:t>Tätigkeiten</w:t>
      </w:r>
      <w:proofErr w:type="spellEnd"/>
    </w:p>
    <w:p w14:paraId="48F8BADA" w14:textId="77777777" w:rsidR="00835F2D" w:rsidRPr="00207A49" w:rsidRDefault="00835F2D" w:rsidP="00835F2D">
      <w:pPr>
        <w:widowControl w:val="0"/>
        <w:tabs>
          <w:tab w:val="left" w:pos="1418"/>
          <w:tab w:val="left" w:pos="2127"/>
          <w:tab w:val="left" w:pos="2694"/>
        </w:tabs>
        <w:ind w:left="2268" w:right="113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07A49">
        <w:rPr>
          <w:rFonts w:ascii="Times New Roman" w:hAnsi="Times New Roman" w:cs="Times New Roman"/>
          <w:b/>
          <w:color w:val="000000"/>
          <w:sz w:val="20"/>
          <w:szCs w:val="20"/>
        </w:rPr>
        <w:t>Bem</w:t>
      </w:r>
      <w:proofErr w:type="spellEnd"/>
      <w:r w:rsidRPr="00207A49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207A49">
        <w:rPr>
          <w:rFonts w:ascii="Times New Roman" w:hAnsi="Times New Roman" w:cs="Times New Roman"/>
          <w:b/>
          <w:color w:val="000000"/>
          <w:sz w:val="20"/>
          <w:szCs w:val="20"/>
        </w:rPr>
        <w:tab/>
        <w:t>1.</w:t>
      </w:r>
      <w:r w:rsidRPr="00207A49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3" w:name="_Hlk92964118"/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Im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Sinne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dieses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Abschnitts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bedeuten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>:</w:t>
      </w:r>
      <w:bookmarkEnd w:id="3"/>
    </w:p>
    <w:p w14:paraId="09252413" w14:textId="77777777" w:rsidR="00835F2D" w:rsidRPr="00207A49" w:rsidRDefault="00835F2D" w:rsidP="00835F2D">
      <w:pPr>
        <w:widowControl w:val="0"/>
        <w:tabs>
          <w:tab w:val="left" w:pos="1418"/>
          <w:tab w:val="left" w:pos="2552"/>
          <w:tab w:val="left" w:pos="3402"/>
          <w:tab w:val="left" w:pos="4395"/>
        </w:tabs>
        <w:ind w:left="3402" w:right="1133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7A49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07A49">
        <w:rPr>
          <w:rFonts w:ascii="Times New Roman" w:hAnsi="Times New Roman" w:cs="Times New Roman"/>
          <w:color w:val="000000"/>
          <w:sz w:val="20"/>
          <w:szCs w:val="20"/>
        </w:rPr>
        <w:tab/>
        <w:t>„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zugelassene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Prüfstelle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“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eine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Prüfstelle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, die von der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zuständigen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Behörde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für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die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Durchführung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verschiedener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Tätigkeiten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Übereinstimmung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mit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Unterabschnitt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1.8.6.1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zugelassen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ist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>, und</w:t>
      </w:r>
    </w:p>
    <w:p w14:paraId="70E5AF70" w14:textId="77777777" w:rsidR="00835F2D" w:rsidRPr="00207A49" w:rsidRDefault="00835F2D" w:rsidP="00835F2D">
      <w:pPr>
        <w:widowControl w:val="0"/>
        <w:tabs>
          <w:tab w:val="left" w:pos="1418"/>
          <w:tab w:val="left" w:pos="2552"/>
          <w:tab w:val="left" w:pos="3402"/>
          <w:tab w:val="left" w:pos="4395"/>
        </w:tabs>
        <w:ind w:left="3402" w:right="1133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7A49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07A49">
        <w:rPr>
          <w:rFonts w:ascii="Times New Roman" w:hAnsi="Times New Roman" w:cs="Times New Roman"/>
          <w:color w:val="000000"/>
          <w:sz w:val="20"/>
          <w:szCs w:val="20"/>
        </w:rPr>
        <w:tab/>
        <w:t>„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anerkannte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Prüfstelle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“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eine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zugelassene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Prüfstelle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, die von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einer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anderen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zuständigen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Behörde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anerkannt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ist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42F3A22" w14:textId="77777777" w:rsidR="00835F2D" w:rsidRPr="00207A49" w:rsidRDefault="00835F2D" w:rsidP="00835F2D">
      <w:pPr>
        <w:widowControl w:val="0"/>
        <w:tabs>
          <w:tab w:val="left" w:pos="1418"/>
          <w:tab w:val="left" w:pos="2552"/>
          <w:tab w:val="left" w:pos="3119"/>
          <w:tab w:val="left" w:pos="4395"/>
        </w:tabs>
        <w:ind w:left="3119" w:right="1133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</w:pPr>
      <w:r w:rsidRPr="00207A4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Pr="00207A4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Eine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Prüfstelle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darf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von der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zuständigen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Behörde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dazu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bestimmt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werden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als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zuständige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Behörde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tätig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zu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werden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siehe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Begriffsbestimmung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von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zuständiger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Behörde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Pr="00207A49">
        <w:rPr>
          <w:rFonts w:ascii="Times New Roman" w:hAnsi="Times New Roman" w:cs="Times New Roman"/>
          <w:color w:val="000000"/>
          <w:sz w:val="20"/>
          <w:szCs w:val="20"/>
        </w:rPr>
        <w:t>Abschnitt</w:t>
      </w:r>
      <w:proofErr w:type="spellEnd"/>
      <w:r w:rsidRPr="00207A49">
        <w:rPr>
          <w:rFonts w:ascii="Times New Roman" w:hAnsi="Times New Roman" w:cs="Times New Roman"/>
          <w:color w:val="000000"/>
          <w:sz w:val="20"/>
          <w:szCs w:val="20"/>
        </w:rPr>
        <w:t xml:space="preserve"> 1.2.1).</w:t>
      </w:r>
    </w:p>
    <w:p w14:paraId="42D5FE1F" w14:textId="77777777" w:rsidR="00835F2D" w:rsidRPr="00207A49" w:rsidRDefault="00835F2D" w:rsidP="00835F2D">
      <w:pPr>
        <w:spacing w:before="120" w:after="120"/>
        <w:ind w:left="2268" w:right="1134" w:hanging="1134"/>
        <w:jc w:val="both"/>
        <w:rPr>
          <w:rFonts w:ascii="Times New Roman" w:eastAsia="Calibri" w:hAnsi="Times New Roman" w:cs="Times New Roman"/>
          <w:iCs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1.8.6.1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r w:rsidRPr="00207A49">
        <w:rPr>
          <w:rFonts w:ascii="Times New Roman" w:eastAsia="Calibri" w:hAnsi="Times New Roman" w:cs="Times New Roman"/>
          <w:b/>
          <w:iCs/>
          <w:sz w:val="20"/>
          <w:szCs w:val="20"/>
          <w:lang w:eastAsia="fr-FR"/>
        </w:rPr>
        <w:t xml:space="preserve">Allgemeine </w:t>
      </w:r>
      <w:proofErr w:type="spellStart"/>
      <w:r w:rsidRPr="00207A49">
        <w:rPr>
          <w:rFonts w:ascii="Times New Roman" w:eastAsia="Calibri" w:hAnsi="Times New Roman" w:cs="Times New Roman"/>
          <w:b/>
          <w:iCs/>
          <w:sz w:val="20"/>
          <w:szCs w:val="20"/>
          <w:lang w:eastAsia="fr-FR"/>
        </w:rPr>
        <w:t>Vorschriften</w:t>
      </w:r>
      <w:proofErr w:type="spellEnd"/>
    </w:p>
    <w:p w14:paraId="2682C7F3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Vertragspartei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: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Kapiteln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 und 6.8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Konformitätsbewertungen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wiederkehrenden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Zwischenprüfungen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außerordentlichen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Inbetriebnahmeüberprüfungen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Überwachungen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023D8335" w14:textId="77777777" w:rsidR="00835F2D" w:rsidRPr="00207A49" w:rsidRDefault="00835F2D" w:rsidP="00BB67EA">
      <w:pPr>
        <w:keepNext/>
        <w:keepLines/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lastRenderedPageBreak/>
        <w:t>1.8.6.2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Pflichten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Behörde</w:t>
      </w:r>
      <w:proofErr w:type="spellEnd"/>
    </w:p>
    <w:p w14:paraId="0CDF3823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1.8.6.2.1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1.8.6.1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genannten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zulässt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Anforderungen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Typs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 der Norm EN ISO/IEC 17020:2012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8.1.3)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erfolgen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6A794CD0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wiederkehrenden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Druckgefäßen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Kapitel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zulässt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Anforderungen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Typs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Typs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B der Norm EN ISO/IEC 17020:2012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8.1.3)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erfolgen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A84BDF1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eindeutig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erstrecken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617790CE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zulässt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sondern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selbst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1.8.6.3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2FB08E6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2.2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Prüfstellen</w:t>
      </w:r>
      <w:proofErr w:type="spellEnd"/>
    </w:p>
    <w:p w14:paraId="33914622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1.8.6.2.2.1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Typs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A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nach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nationalem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Recht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errichtet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juristische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Person in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Vertragspartei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des ADR sein, in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Antrag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auf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gestellt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wird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673C5360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Typs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B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nach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nationalem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Recht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errichtet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und Teil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Gas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liefernden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juristischen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Person in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Vertragspartei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des ADR sein, in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Antrag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auf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gestellt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wird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10577F97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1.8.6.2.2.2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Bedingungen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ständig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und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entziehen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Bedingungen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Falle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Aussetzung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wird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jedoch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während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Aussetzungsdauer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ausgesetzt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07C6850C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1.8.6.2.2.3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Eine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neue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aufnimmt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vorübergehend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vorübergehenden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Anforderungen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1.8.6.3.1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Jahr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Norm EN ISO/IEC 17020:2012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8.1.3)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neue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fortsetzen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können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65EAD1E2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iCs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1.8.6.2.3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Prüfstellen</w:t>
      </w:r>
      <w:proofErr w:type="spellEnd"/>
    </w:p>
    <w:p w14:paraId="7C82B19A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2.3.1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Wo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Stelle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hat,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Stelle,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Ort,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erteilte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zurückziehen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einschränken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Stelle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1.8.6.3.1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mehr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einhält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CE44D5E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Bem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ab/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Die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1.8.6.3.3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genannte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Unterauftragnehmer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ebenfalls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einbezogen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1D78E2B2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2.3.2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zurückgezogen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eingeschränkt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wurde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eingestellt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hat,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Schritte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einleiten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sicherzustellen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entweder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anderen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bearbeitet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verfügbar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bleiben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19D8E72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2.4 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Meldepflichten</w:t>
      </w:r>
      <w:proofErr w:type="spellEnd"/>
    </w:p>
    <w:p w14:paraId="546E85B4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1.8.6.2.4.1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Vertragsparteien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des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ihre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nationalen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Bewertung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und alle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Änderungen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dieser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Informationen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veröffentlichen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7F21A540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1.8.6.2.4.2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Vertragspartei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aktuelles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vorübergehend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1.8.6.2.2.3,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veröffentlichen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Dieses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mindestens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Informationen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48CD7F16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  <w:t xml:space="preserve">Name,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Adresse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(n)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Firmensitzes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(der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Firmensitze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)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0E914C22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Tätigkeitsbereich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den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77225F5B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Bestätigung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nationalen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Akkreditierungsstelle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nach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der Norm EN ISO/IEC 17020:2012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8.1.3)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akkreditiert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Akkreditierung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Tätigkeitsbereich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abdeckt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den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7CB1304C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  <w:t xml:space="preserve">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Kennzeichen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Stempel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das/der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Kapiteln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6.2 und 6.8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festgelegt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gegebenenfalls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Kennzeichen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bevollmächtigten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Prüfdienstes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.</w:t>
      </w:r>
    </w:p>
    <w:p w14:paraId="3496D8C2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Die Website der UNECE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dieses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1A065BC7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1.8.6.2.4.3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Eine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anderen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anerkannt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00FB97D8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Dienste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bereits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anderen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Anspruch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nehmen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möchte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um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Zusammenhang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Konformitätsbewertungen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durchzuführen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Tätigkeitsbereich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hat, in das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1.8.6.2.4.2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genannte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aufnehmen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Sekretariat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UNECE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Kenntnis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setzen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zurückgezogen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ausgesetzt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wird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Anerkennung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mehr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EFCF5EF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Bem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Zusammenhang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Vereinbarungen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gegenseitige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Anerkennung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zwischen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Vertragsparteien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berücksichtigt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5973C211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iCs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1.8.6.3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iCs/>
          <w:sz w:val="20"/>
          <w:szCs w:val="20"/>
          <w:lang w:eastAsia="zh-CN"/>
        </w:rPr>
        <w:t>Pflichten</w:t>
      </w:r>
      <w:proofErr w:type="spellEnd"/>
      <w:r w:rsidRPr="00207A49">
        <w:rPr>
          <w:rFonts w:ascii="Times New Roman" w:eastAsia="Calibri" w:hAnsi="Times New Roman" w:cs="Times New Roman"/>
          <w:b/>
          <w:iCs/>
          <w:sz w:val="20"/>
          <w:szCs w:val="20"/>
          <w:lang w:eastAsia="zh-CN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b/>
          <w:iCs/>
          <w:sz w:val="20"/>
          <w:szCs w:val="20"/>
          <w:lang w:eastAsia="zh-CN"/>
        </w:rPr>
        <w:t>Prüfstellen</w:t>
      </w:r>
      <w:proofErr w:type="spellEnd"/>
    </w:p>
    <w:p w14:paraId="48E8EF3A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1.8.6.</w:t>
      </w:r>
      <w:r w:rsidRPr="00207A49">
        <w:rPr>
          <w:rFonts w:ascii="Times New Roman" w:eastAsia="Arial Unicode MS" w:hAnsi="Times New Roman" w:cs="Times New Roman"/>
          <w:sz w:val="20"/>
          <w:szCs w:val="20"/>
          <w:lang w:eastAsia="fr-FR"/>
        </w:rPr>
        <w:t>3.1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Allgemeine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Vorschriften</w:t>
      </w:r>
      <w:proofErr w:type="spellEnd"/>
    </w:p>
    <w:p w14:paraId="2B2E50E0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muss:</w:t>
      </w:r>
    </w:p>
    <w:p w14:paraId="2AE15BD2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Organisationsstruktur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eingebundenes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geeignetes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geschultes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sachkundiges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erfahrenes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Personal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verfügen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das seine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zufrieden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stellender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Weise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ausüben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kann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228C54D8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Zugang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geeigneten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hinreichenden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Einrichtungen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Ausrüstungen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haben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7C9F95DE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  <w:t xml:space="preserve">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unabhängiger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Art und Weise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arbeiten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frei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Einflüssen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sein,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sie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daran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hindern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könnten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114556B8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geschäftliche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Verschwiegenheit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unternehmerischen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eigentumsrechtlich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geschützten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Herstellers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anderer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bewahren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2C1C8811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klare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Trennung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zwischen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eigentlichen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und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damit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zusammenhängenden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5D9CC8FE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dokumentiertes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Qualitätsmanagementsystem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haben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in der Norm EN ISO/IEC 17020:2012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8.1.3)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dargestellten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System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gleichwertig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62D7A9CA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g)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sicherstellen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die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festgelegten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durchgeführt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06998B58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h)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wirksames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geeignetes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Berichts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-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Aufzeichnungssystem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Abschnitten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1.8.7 und 1.8.8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unterhalten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4B836418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frei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jeglichem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wirtschaftlichen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finanziellen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Druck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sein und sein Personal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unabhängig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Anzahl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durchgeführten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Ergebnissen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dieser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vergüten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0AA3BE3F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j)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Haftpflichtversicherung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verfügen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Risiken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Zusammenhang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ausgeübten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abdeckt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46C61BFA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Bem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erforderlich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Vertragspartei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Haftung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nationalem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Recht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übernimmt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92C1C4A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k)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Personal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verfügen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Durchführung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verantwortlich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und das</w:t>
      </w:r>
    </w:p>
    <w:p w14:paraId="6C460DE2" w14:textId="77777777" w:rsidR="00835F2D" w:rsidRPr="00207A49" w:rsidRDefault="00835F2D" w:rsidP="00835F2D">
      <w:pPr>
        <w:spacing w:after="120"/>
        <w:ind w:left="3402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–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direkt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Auslegung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Lieferung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Installation,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Beschaffung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Eigentum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Verwendung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Wartung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Druckgefäß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, Tank, Batterie-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Fahrzeug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MEGC)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beteiligt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68F907C" w14:textId="77777777" w:rsidR="00835F2D" w:rsidRPr="00207A49" w:rsidRDefault="00835F2D" w:rsidP="00835F2D">
      <w:pPr>
        <w:spacing w:after="120"/>
        <w:ind w:left="3402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–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Aspekten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worden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geschult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worden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CA6C8C6" w14:textId="77777777" w:rsidR="00835F2D" w:rsidRPr="00207A49" w:rsidRDefault="00835F2D" w:rsidP="00835F2D">
      <w:pPr>
        <w:spacing w:after="120"/>
        <w:ind w:left="3402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–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angemessene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Kenntnisse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Fähigkeiten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Verständnis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anwendbaren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anwendbaren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Teile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4 und 6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05714B12" w14:textId="77777777" w:rsidR="00835F2D" w:rsidRPr="00207A49" w:rsidRDefault="00835F2D" w:rsidP="00835F2D">
      <w:pPr>
        <w:spacing w:after="120"/>
        <w:ind w:left="3402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–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in der Lage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Aufzeichnungen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nachgewiesen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wird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Bewertungen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wurden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66599DAB" w14:textId="77777777" w:rsidR="00835F2D" w:rsidRPr="00207A49" w:rsidRDefault="00835F2D" w:rsidP="00835F2D">
      <w:pPr>
        <w:spacing w:after="120"/>
        <w:ind w:left="3402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>–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Berufsgeheimnis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Bezug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Informationen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wahrt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Ausübung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erhält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innerstaatlichen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Rechts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betrifft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beachtet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Verhältnis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Vertragspartei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ADR, in der seine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ausgeübt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Auf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Verlangen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anderer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dürfen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Informationen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weitergegeben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soweit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erforderlich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1702A8CD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hinaus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Norm EN ISO/IEC 17020:2012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8.1.3)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sein.</w:t>
      </w:r>
    </w:p>
    <w:p w14:paraId="5C1287BA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1.8.6.3.2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Betriebliche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Pflichten</w:t>
      </w:r>
      <w:proofErr w:type="spellEnd"/>
    </w:p>
    <w:p w14:paraId="4DEDE0CE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3.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2.1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Konformitätsbewertungen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wiederkehrende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Zwischenprüfungen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außerordentliche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Inbetriebnahmeüberprüfungen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Wahrung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Verhältnismäßigkeit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Vermeidung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unnötiger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Belastungen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Berücksichtigung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Größe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Branche und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Struktur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betroffenen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Unternehmen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relativen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Komplexität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Technologie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Seriencharakters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Fertigung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ausüben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9D630CD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3.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2.2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Maß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Strenge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Schutzniveau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Einhaltung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Teils 4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bzw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6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erforderlich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691B0CE0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3.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2.3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feststellt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in Teil 4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enthaltenen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hat,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auffordern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angemessene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Korrekturmaßnahmen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ergreifen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erstmalige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erst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angemessenen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Korrekturmaßnahmen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umgesetzt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worden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DC9D680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1.8.6.3.3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Delegation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Prüfaufgaben</w:t>
      </w:r>
      <w:proofErr w:type="spellEnd"/>
    </w:p>
    <w:p w14:paraId="5336C045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Bem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nachfolgenden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Typs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Typs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B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dürfen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delegieren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1.8.7.7.2.</w:t>
      </w:r>
    </w:p>
    <w:p w14:paraId="767AF3C0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3.3.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Dienste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Unterauftragnehmers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bestimmter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bedient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verbunden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Unterauftragnehmer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bewertet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überwacht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getrennt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Fall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getrennten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Unterauftragnehmer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Norm EN ISO/IEC 17025:2017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8.1.3)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EN ISO/IEC 17020:2012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8.1.3)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unabhängiges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unparteiisches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Prüflaboratorium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unabhängige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unparteiische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sein, um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können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Unterauftragnehmer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übertragenen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demselben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Maß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Sachkunde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Sicherheit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1.8.6.3.1)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und muss dies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beaufsichtigen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genannten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Vorkehrungen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informieren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65E60109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3.3.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Verantwortung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übernehmen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Unterauftragnehmern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unabhängig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davon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wo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3C2B2E0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3.3.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3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Typs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Teil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delegieren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Fall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Bewertung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selbst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1F5517D7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3.3.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4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dürfen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ohne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Eigentümers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bzw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Betreibers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delegiert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1E804C21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1.8.6.</w:t>
      </w: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3.3.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5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einschlägigen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Bewertung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Qualifikation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von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genannten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Unterauftragnehmern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ausgeführten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Arbeiten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bereithalten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AF54A3B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1.8.6.3.4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zh-CN"/>
        </w:rPr>
        <w:t>Meldepflichten</w:t>
      </w:r>
      <w:proofErr w:type="spellEnd"/>
    </w:p>
    <w:p w14:paraId="6F2D94C5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hat,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Informationen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melden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42B13384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jede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Ablehnung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Einschränkung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Aussetzung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Rücknahme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Fällen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Absatzes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1.8.7.2.2.2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Anwendung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finden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231222CD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  <w:t xml:space="preserve">alle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Umstände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Folgen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Geltungsbereich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Bedingungen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der 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erteilten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haben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09CDCFC5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jede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Ablehnung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Prüfbescheinigungen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37A85C02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jedes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Auskunftsersuchen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durchgeführte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sie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von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Behörden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Konformität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nach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diesem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überwachen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erhalten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haben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;</w:t>
      </w:r>
    </w:p>
    <w:p w14:paraId="50DE8F58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  <w:t xml:space="preserve">auf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Verlangen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sie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Geltungsbereich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ihrer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der Delegation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ausgeführt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hat;</w:t>
      </w:r>
    </w:p>
    <w:p w14:paraId="052DFBEA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nb-NO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f)</w:t>
      </w:r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jede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jede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Aussetzung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Rücknahme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eines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Prüfdienstes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nb-NO"/>
        </w:rPr>
        <w:t>.“.</w:t>
      </w:r>
    </w:p>
    <w:p w14:paraId="5025E46C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Erhält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Wortlaut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58B8E7B6" w14:textId="77777777" w:rsidR="00835F2D" w:rsidRPr="00207A49" w:rsidRDefault="00835F2D" w:rsidP="00835F2D">
      <w:pPr>
        <w:spacing w:after="120"/>
        <w:ind w:left="1134" w:right="113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Referenzdokument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gesamten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 xml:space="preserve"> 1.8.7: ECE/TRANS/WP.15/AC.1/2021/23/Rev.1, Anlage III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durchgestrichenem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 xml:space="preserve"> Text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entfernt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wie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 xml:space="preserve"> in ECE/TRANS/WP.15/AC.1/162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geändert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angegeben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).</w:t>
      </w:r>
    </w:p>
    <w:p w14:paraId="489E2136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„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1.8.7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Verfahren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für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Konformitätsbewertung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Ausstellung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Prüfungen</w:t>
      </w:r>
      <w:proofErr w:type="spellEnd"/>
    </w:p>
    <w:p w14:paraId="756CE443" w14:textId="77777777" w:rsidR="00835F2D" w:rsidRPr="00207A49" w:rsidRDefault="00835F2D" w:rsidP="00835F2D">
      <w:pPr>
        <w:tabs>
          <w:tab w:val="left" w:pos="2835"/>
        </w:tabs>
        <w:spacing w:after="120"/>
        <w:ind w:left="3119" w:right="1134" w:hanging="851"/>
        <w:jc w:val="both"/>
        <w:rPr>
          <w:rFonts w:ascii="Times New Roman" w:eastAsia="Calibri" w:hAnsi="Times New Roman" w:cs="Times New Roman"/>
          <w:iCs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fr-FR"/>
        </w:rPr>
        <w:t>Bem</w:t>
      </w:r>
      <w:proofErr w:type="spellEnd"/>
      <w:r w:rsidRPr="00207A49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ab/>
      </w:r>
      <w:r w:rsidRPr="00207A49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fr-FR"/>
        </w:rPr>
        <w:t>1.</w:t>
      </w:r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Sinne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dieses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Abschnitts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bedeutet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„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entsprechende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Stelle“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Stelle, die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Kapiteln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6.2 und 6.8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zugewiesen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.</w:t>
      </w:r>
    </w:p>
    <w:p w14:paraId="6D7DE1C3" w14:textId="77777777" w:rsidR="00835F2D" w:rsidRPr="00207A49" w:rsidRDefault="00835F2D" w:rsidP="00835F2D">
      <w:pPr>
        <w:spacing w:after="120"/>
        <w:ind w:left="3119" w:right="1134" w:hanging="284"/>
        <w:jc w:val="both"/>
        <w:rPr>
          <w:rFonts w:ascii="Times New Roman" w:eastAsia="Calibri" w:hAnsi="Times New Roman" w:cs="Times New Roman"/>
          <w:iCs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fr-FR"/>
        </w:rPr>
        <w:t>2.</w:t>
      </w:r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Sinne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dieses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Abschnitts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bedeutet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„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“ das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Unternehmen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, das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gegenüber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lastRenderedPageBreak/>
        <w:t xml:space="preserve">alle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Aspekte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Konformitätsbewertung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Sicherstellung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Konformität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Baus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verantwortlich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dessen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Namen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Kennzeichen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in den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Zulassungen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und auf den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Kennzeichen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erscheint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. Es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zwingend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erforderlich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Unternehmen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in alle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Phasen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Baus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Produkts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(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siehe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1.8.7.1.5), das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Gegenstand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Konformitätsbewertung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direkt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einbezogen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iCs/>
          <w:sz w:val="20"/>
          <w:szCs w:val="20"/>
          <w:lang w:eastAsia="fr-FR"/>
        </w:rPr>
        <w:t>.</w:t>
      </w:r>
    </w:p>
    <w:p w14:paraId="114AE6C3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1.8.7.1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ab/>
        <w:t xml:space="preserve">Allgemeine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Vorschriften</w:t>
      </w:r>
      <w:proofErr w:type="spellEnd"/>
    </w:p>
    <w:p w14:paraId="01837021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1.8.7.1.1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Abschnitts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Kapiteln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 und 6.8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angewendet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2A7158B0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selbst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wahrnimmt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dieses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Abschnitts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59642257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1.8.7.1.2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Antrag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</w:t>
      </w:r>
    </w:p>
    <w:p w14:paraId="7186571B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1.8.7.2.1;</w:t>
      </w:r>
    </w:p>
    <w:p w14:paraId="49C893C1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Ausstellung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1.8.7.2.2;</w:t>
      </w:r>
    </w:p>
    <w:p w14:paraId="2ED93126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1.8.7.3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oder</w:t>
      </w:r>
      <w:proofErr w:type="spellEnd"/>
    </w:p>
    <w:p w14:paraId="5D3F5712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erstmalige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1.8.7.4</w:t>
      </w:r>
    </w:p>
    <w:p w14:paraId="61FC2654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Kapiteln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 und 6.8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bzw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eingereicht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215747B9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Antrag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</w:t>
      </w:r>
    </w:p>
    <w:p w14:paraId="2C674A91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Inbetriebnahmeüberprüfung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1.8.7.5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oder</w:t>
      </w:r>
      <w:proofErr w:type="spellEnd"/>
    </w:p>
    <w:p w14:paraId="11A465A9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wiederkehrende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Zwischenprüfung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außerordentliche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1.8.7.6</w:t>
      </w:r>
    </w:p>
    <w:p w14:paraId="6ADCB4B9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Eigentümer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seinem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bevollmächtigten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Vertreter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Betreiber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seinem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bevollmächtigten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Vertreter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eingereicht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00DFD1E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c), d)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f)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bevollmächtigt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notwendig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Antrag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c), d)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f)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einzureichen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23B42E8F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1.8.7.1.3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Antrag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526AE27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Adresse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Antragstellers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1.8.7.1.2;</w:t>
      </w:r>
    </w:p>
    <w:p w14:paraId="697DCF42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schriftliche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Erklärung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derselbe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Antrag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anderen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eingereicht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worden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1A84F863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1.8.7.8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7A39A688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Erklärung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bzw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Zwecken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Konformitätsbewertung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Zugang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Lagerung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Zurverfügungstellung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notwendigen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Informationen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gewährt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10B6B4EF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>1.8.7.1.4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Unternehmen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Prüfeinrichtung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Erlaubnis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hat,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6.2.2.12,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6.2.3.6.1, 6.8.1.5.3 b)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6.8.1.5.4 b)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einzurichten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er/es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Zufriedenheit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nachweisen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der Lage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durchzuführen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7BDBB855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1.8.7.1.5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Baumusterzulassungsbescheinigungen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Prüfbescheinigungen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-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Druckgefäße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Tanks,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Bedienungsausrüstung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Zusammenbau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Elementen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Bedienungsausrüstung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Batterie-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Fahrzeugen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MEGC),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aufbewahrt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373B9BD3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Dauer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mindestens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20 Jahren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Ablauf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04D5CCBE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Dauer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mindestens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20 Jahren ab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Ausstellungsdatum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191C356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Eigentümer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Betreiber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Dauer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mindestens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15 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Monaten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Außerbetriebnahme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6A392926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1.8.7.2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Baumusterprüfung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Ausstellung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Baumusterzulassungsbescheinigung</w:t>
      </w:r>
      <w:proofErr w:type="spellEnd"/>
    </w:p>
    <w:p w14:paraId="2DEC7F42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1.8.7.2.1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Baumusterprüfung</w:t>
      </w:r>
      <w:proofErr w:type="spellEnd"/>
    </w:p>
    <w:p w14:paraId="64DAC265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1.8.7.2.1.1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</w:t>
      </w:r>
    </w:p>
    <w:p w14:paraId="3760781B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Fall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Druckgefäßen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repräsentative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Muster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vorgesehenen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Produktion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weitere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Muster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anfordern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Prüfprogramm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vorgeschrieben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0AEC6E5E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Fall von Tanks, Batterie-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Fahrzeugen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MEGC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Zugang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Prototyp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gewähren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2B52B55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Fall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Bedienungsausrüstung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repräsentative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Muster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vorgesehenen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Produktion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weitere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Muster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anfordern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Prüfprogramm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vorgeschrieben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1F046084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Bem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Ergebnisse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Bewertungen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anderen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dürfen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berücksichtigt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05F7767B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1.8.7.2.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</w:t>
      </w:r>
    </w:p>
    <w:p w14:paraId="01890DF3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1.8.7.8.1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begutachten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ob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Auslegung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Prototyp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Fertigungslos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Prototyps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hergestellt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wurde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Auslegung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repräsentativ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01E8DEC6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Untersuchungen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Untersuchungen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Prüfbedingungen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Ort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beaufsichtigen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ADR,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anwendbaren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festzustellen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ob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angewandt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worden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angewandten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DB70DF2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(von den)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Werkstoffhersteller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(n)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ausgestellte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(n)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Werkstoffbescheinigung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(en)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anhand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29EF53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Ausführung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dauerhafter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Verbindungen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ob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bereits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worden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ob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Ausführung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dauerhafter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Verbindungen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zerstörungsfreien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betraute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Personal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qualifiziert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3731E04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Ort (die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Orte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vereinbaren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/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Untersuchungen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erforderlichen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0F74C39B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0D80C84F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1.8.7.2.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Ausstellung</w:t>
      </w:r>
      <w:proofErr w:type="spellEnd"/>
      <w:r w:rsidRPr="00207A49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Baumusterzulassungsbescheinigung</w:t>
      </w:r>
      <w:proofErr w:type="spellEnd"/>
    </w:p>
    <w:p w14:paraId="20913E9E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Durch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Baumusterzulassungen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wird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Produkten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während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Gültigkeitsdauer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dieser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genehmigt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7F1BE48C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1.8.7.2.2.1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anwendbaren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Kapiteln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 und 6.8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6C1BD50E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02C96038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Adresse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027CE7A4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ausgestellt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wurde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0CCF20E7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Adresse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012DE96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verwendete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Ausgabe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verwendeten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95EC136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alle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Anforderungen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ergeben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23272B4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in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jeweiligen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Norm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Identifizierung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Abweichungen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erforderlichen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30B30201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den (die)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(e);</w:t>
      </w:r>
    </w:p>
    <w:p w14:paraId="5E60AC57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maximale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Gültigkeitsdauer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</w:t>
      </w:r>
    </w:p>
    <w:p w14:paraId="3DC0667D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Kapiteln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 und 6.8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verlangte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besondere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Anforderung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19289DEF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Eine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Liste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Bestandteile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beigefügt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1.8.7.8.1).</w:t>
      </w:r>
    </w:p>
    <w:p w14:paraId="463F891B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1.8.7.2.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2.2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höchstens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zehn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Jahre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während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dieses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Zeitraums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geändert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so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mehr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verliert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während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dieses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Zeitraums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Zeitpunkt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Entzugs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Spalte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 (3)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Tabellen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6.2.2.1 und 6.2.2.3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Spalte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 (5)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Tabellen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6.2.4.1,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6.8.2.6.1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6.8.3.6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eintritt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verliert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ebenfalls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Sie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ausgestellt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hat,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zurückgezogen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0E7B9BE4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Bem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Hinsichtlich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spätesten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Zeitpunkts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Entzugs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bestehender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Spalte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(5)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Tabellen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6.2.4.1,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6.8.2.6.1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bzw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6.8.3.6.</w:t>
      </w:r>
    </w:p>
    <w:p w14:paraId="37182D74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abgelaufen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zurückgezogen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wurde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mehr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5949AC0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Bem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Verwendung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wiederkehrende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Zwischenprüfung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abgelaufenen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zurückgezogenen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weiterhin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Ablauf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Entzug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gebauten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weiterverwendet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dürfen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210188E6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dürfen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Grundlage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neuen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erneuert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Ergebnisse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vorherigen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berücksichtigt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weiterhin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Zeitpunkt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Erneuerung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anwendbaren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Eine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Erneuerung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zulässig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zurückgezogen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wurde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52EDAE87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Bem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ab/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Erneuerung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andere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derjenigen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ursprünglichen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ausgestellt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hat.</w:t>
      </w:r>
    </w:p>
    <w:p w14:paraId="034D5C1F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Zwischenzeitliche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Änderungen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bestehenden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(z. B.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Druckgefäße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kleinere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Änderungen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Hinzufügung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weiterer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Größen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Volumen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Einfluss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Tanks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6.8.2.3.3)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verlängern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verändern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ursprüngliche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9D3B407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1.8.7.2.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2.3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Bei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Änderungen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abgelaufenen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zurückgezogenen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beschränken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Teile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geändert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worden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59AE552C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Änderung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Zeitpunkt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Änderung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anwendbaren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alle 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Änderung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betroffenen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Teile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ursprünglichen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100667A8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 xml:space="preserve">Eine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Änderung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mehrere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dieselbe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fallende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60C3565F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veränderte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alle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anwendbaren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Vertragspartei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Kapiteln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 und 6.8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Eigentümer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Betreiber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ergänzende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Änderung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 Bei Tanks, Batterie-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Fahrzeugen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MEGC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Kopie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Teil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Tankakte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aufbewahrt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53C9CA17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1.8.7.3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Herstellung</w:t>
      </w:r>
      <w:proofErr w:type="spellEnd"/>
    </w:p>
    <w:p w14:paraId="7F5AB289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1.8.7.3.1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bookmarkStart w:id="4" w:name="__DdeLink__1590_128503451"/>
      <w:bookmarkEnd w:id="4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alle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notwendigen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Maßnahmen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ergreifen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sicherzustellen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Herstellungsprozess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anwendbaren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und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1.8.7.8.3 und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55803E56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1.8.7.3.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23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Herstellungsprozess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Stelle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unterliegen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3E439CB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Stelle muss</w:t>
      </w:r>
    </w:p>
    <w:p w14:paraId="5589DE56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1.8.7.8.3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anwendbaren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und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25236EE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ob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Herstellungsprozess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liefert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anwendbaren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Anforderungen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B6319DE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Rückverfolgbarkeit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Werkstoffen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Werkstoffbescheinigung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(en)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anhand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Spezifikationen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kontrollieren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03E43417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ob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Ausführung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dauerhafter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Verbindungen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zerstörungsfreien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betraute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Personal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qualifiziert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64AF130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Ort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vereinbaren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Untersuchungen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erforderlichen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, und</w:t>
      </w:r>
    </w:p>
    <w:p w14:paraId="2B7A922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schriftlichen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Ergebnisse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184566AB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1.8.7.4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Erstmalige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Prüfung</w:t>
      </w:r>
      <w:proofErr w:type="spellEnd"/>
    </w:p>
    <w:p w14:paraId="39805DB4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1.8.7.4.1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</w:t>
      </w:r>
    </w:p>
    <w:p w14:paraId="0C9782FB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Kennzeichen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anbringen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</w:t>
      </w:r>
    </w:p>
    <w:p w14:paraId="2B88A0B1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Stelle die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1.8.7.8.4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389610C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1.8.7.4.2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Stelle muss</w:t>
      </w:r>
    </w:p>
    <w:p w14:paraId="385CCC6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Untersuchungen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Untersuchungen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Prüfbedingungen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Ort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beaufsichtigen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sicherzustellen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hergestellt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wird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B1B1483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von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Bedienungsausrüstung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gestellten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anhand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Bedienungsausrüstung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kontrollieren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38EED828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erstmalige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auf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durchgeführten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detaillierten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Bezug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nimmt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3DE745F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erstmalige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Kennzeichen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anbringen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, und</w:t>
      </w:r>
    </w:p>
    <w:p w14:paraId="6C739028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ob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bleibt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relevanten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Bezug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genommenen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geändert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mehr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Stelle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ablehnenden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ausgestellt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hat,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informieren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286E4BAA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d) und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c)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dürfen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Anzahl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desselben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abdecken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Gruppenbescheinigung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Gruppenbericht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).</w:t>
      </w:r>
    </w:p>
    <w:p w14:paraId="2A59796C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1.8.7.4.3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1.8.7.4.2 d)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mindestens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4593F4B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Adresse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Adresse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81FA0BD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Adresse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0665C7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den Ort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erstmaligen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01F5E0A1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erstmalige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verwendete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Ausgabe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erstmalige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verwendeten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0B73816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Ergebnisse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1FEF754B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Identifizierung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(der)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geprüften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),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zwar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mindestens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Seriennummer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wiederbefüllbaren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Flaschen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Chargennummer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40738BC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Nummer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</w:t>
      </w:r>
    </w:p>
    <w:p w14:paraId="2BC6EAE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092D5E15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1.8.7.5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Inbetriebnahmeüberprüfung</w:t>
      </w:r>
      <w:proofErr w:type="spellEnd"/>
    </w:p>
    <w:p w14:paraId="2C7F02C7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1.8.7.5.1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6.8.1.5.5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Inbetriebnahmeüberprüfung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verlangt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wird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muss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Eigentümer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Betreiber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einzige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beauftragen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Inbetriebnahmeüberprüfung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durchzuführen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ihr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und die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1.8.7.8.4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festgelegten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1F9A5A25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1.8.7.5.2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und</w:t>
      </w:r>
    </w:p>
    <w:p w14:paraId="7F810CB6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äußere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(z. B.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Kennzeichnung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Zustand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14D1A911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Konformität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4A4FA9E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Gültigkeit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Zulassungen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vorherigen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durchgeführt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haben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6D35A349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ob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Übergangsvorschriften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Abschnitts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1.6.3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1.6.4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worden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DC61358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1.8.7.5.3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Inbetriebnahmeüberprüfung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ausstellen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welcher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Ergebnisse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Bewertung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enthält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Eigentümer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Betreiber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diesen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auf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Anforderung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Inbetriebnahmeüberprüfung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verlangt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hat, und der (den)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nachfolgende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verantwortlichen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(n)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vorlegen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72E0D921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Bei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Nichtbestehen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Inbetriebnahmeüberprüfung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vor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Verwendung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des Tanks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Mängel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beseitigt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erneute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Inbetriebnahmeüberprüfung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bestanden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6F6AFBD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Inbetriebnahmeüberprüfung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verantwortliche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ihre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unverzüglich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Ablehnung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informieren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0C0BD1A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6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Wiederkehrende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Zwischenprüfung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außerordentliche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Prüfung</w:t>
      </w:r>
      <w:proofErr w:type="spellEnd"/>
    </w:p>
    <w:p w14:paraId="6D23674F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6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Stelle muss</w:t>
      </w:r>
    </w:p>
    <w:p w14:paraId="023F2BE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Identifizierung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vornehmen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4C82F2B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Prüfbedingungen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Ort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beaufsichtigen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kontrollieren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6A51A43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Ergebnisse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Anzahl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abdecken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können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, und</w:t>
      </w:r>
    </w:p>
    <w:p w14:paraId="16ED626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vorgeschriebenen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Kennzeichen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angebracht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2BE47F4E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6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wiederkehrenden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Druckgefäßen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Eigentümer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Betreiber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mindestens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bis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nächsten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wiederkehrenden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aufbewahrt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77F4992B" w14:textId="77777777" w:rsidR="00835F2D" w:rsidRPr="00207A49" w:rsidRDefault="00835F2D" w:rsidP="00835F2D">
      <w:pPr>
        <w:spacing w:after="120"/>
        <w:ind w:left="2835" w:right="1134" w:hanging="567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Bem</w:t>
      </w:r>
      <w:proofErr w:type="spellEnd"/>
      <w:r w:rsidRPr="00207A49"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Tanks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Tankakte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4.3.2.1.7.</w:t>
      </w:r>
    </w:p>
    <w:p w14:paraId="7DA4EB8C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7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Prüfdienstes</w:t>
      </w:r>
      <w:proofErr w:type="spellEnd"/>
    </w:p>
    <w:p w14:paraId="3AED4D79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6.2.2.12,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6.2.3.6.1, 6.8.1.5.3 b)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6.8.1.5.4 b)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verwendet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wird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Prüfeinrichtung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3CC1FF49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1.8.7.8.6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dokumentiertes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einrichten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unterziehen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796B75A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ergebenden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Pflichten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zufrieden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wirksam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bleibt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insbesondere</w:t>
      </w:r>
      <w:proofErr w:type="spellEnd"/>
    </w:p>
    <w:p w14:paraId="2A8E45BD" w14:textId="77777777" w:rsidR="00835F2D" w:rsidRPr="00207A49" w:rsidRDefault="00835F2D" w:rsidP="00835F2D">
      <w:pPr>
        <w:spacing w:after="120"/>
        <w:ind w:left="2835" w:right="1134" w:hanging="283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ausgebildetes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sachkundiges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Personal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</w:t>
      </w:r>
    </w:p>
    <w:p w14:paraId="2F16400C" w14:textId="77777777" w:rsidR="00835F2D" w:rsidRPr="00207A49" w:rsidRDefault="00835F2D" w:rsidP="00835F2D">
      <w:pPr>
        <w:spacing w:after="120"/>
        <w:ind w:left="2835" w:right="1134" w:hanging="283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(ii)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Kennzeichen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Stempel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das/der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Kapiteln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 und 6.8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gegebenenfalls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Kennzeichen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auf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anbringen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um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Rückverfolgbarkeit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gewährleisten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03A3E4C7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.2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Standort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erstmalige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(Audit)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zufrieden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verlaufen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informieren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Genehmigungsbescheinigung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Zeitraum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höchstens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drei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Jahren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eingehalten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418C66A8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Diese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(Audit) muss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Standort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bestätigen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durchgeführten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übereinstimmen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24B15FF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bevollmächtigen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Kennzeichen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Stempel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das/der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Kapiteln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6.2 und 6.8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anzubringen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55979EBE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Genehmigung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zufrieden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(Audit)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Standort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letzten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Jahr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Ablauf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erneuert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neue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Gültigkeitsdauer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Tag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Ablaufs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Genehmigung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beginnen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4B1C753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(Audits)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sachkundig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sein, um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Konformitätsbewertung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abgedeckten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durchzuführen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selbst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bewerten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23388F0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so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häufig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erforderliche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Maß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Sachkunde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gewährleistet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BD2B04A" w14:textId="77777777" w:rsidR="00835F2D" w:rsidRPr="00207A49" w:rsidRDefault="00835F2D" w:rsidP="00835F2D">
      <w:pPr>
        <w:spacing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bestimmten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Fällen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bestimmte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Teile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Unterauftragnehmer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vergeben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ihn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hat, dies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genehmigt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Unterauftragnehmer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zusätzlich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Norm EN ISO/IEC 17025:2017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8.1.3)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EN ISO/IEC 17020:2012 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ausgenommen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8.1.3)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unabhängiges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unparteiisches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Prüflaboratorium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unabhängige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unparteiische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sein, um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Prüfaufgaben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Akkreditierung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können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6CC1F70C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1.8.7.7.3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Genehmigungsbescheinigung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mindestens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Angaben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enthalten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:</w:t>
      </w:r>
    </w:p>
    <w:p w14:paraId="682F8456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Namen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Adresse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01F4D68D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Namen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Adresse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Herstellers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Prüfeinrichtung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Adressen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Standorte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Prüfdienstes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28D783A4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Verweis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auf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Genehmigung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Prüfdienstes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verwendete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Ausgabe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des ADR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erstmaligen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wiederkehrenden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verwendeten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anerkannten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Regelwerke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6.2.5;</w:t>
      </w:r>
    </w:p>
    <w:p w14:paraId="6EE1E8B2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Verweis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auf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ursprünglichen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Nachprüfungsbericht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6BA8D56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notwendig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weitere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Informationen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Festlegung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Aufgabenbereichs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Prüfdienstes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(z. B.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Baumusterzulassungen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Produkte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erstmalige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);</w:t>
      </w:r>
    </w:p>
    <w:p w14:paraId="470F70B6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Kennzeichen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Prüfdienstes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und</w:t>
      </w:r>
    </w:p>
    <w:p w14:paraId="3663DB0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Ablaufdatum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2FD72889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innerhalb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Gültigkeitsdauer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Genehmigung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regelmäßige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(Audits) an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Standort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sicherzustellen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aufrechterhält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anwendet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eingehalten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6C3AED0E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(Audits)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spätestens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alle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sechs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Monate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2BA5116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zusätzliche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Besuche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Ausbildungen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Veränderungen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Änderungen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vorschreiben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einschränken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verbieten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76992B53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alle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Änderungen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bewerten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entscheiden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ob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geänderte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erstmaligen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(Audit)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ob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vollständige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Neubewertung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erforderlich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6D2014F9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welche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(Audits)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sachkundig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sein, um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Konformitätsbewertung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abgedeckten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durchzuführen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selbst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bewerten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02D17E2F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bzw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Prüfeinrichtung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Nachprüfungsbericht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stattgefunden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haben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9E28FF1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5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Bei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Nichteinhaltung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dass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Korrekturmaßnahmen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ergriffen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Wenn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Korrekturmaßnahmen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angemessener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Zeit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ergriffen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muss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Erlaubnis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seine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Tätigkeiten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durchzuführen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aussetzen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zurückziehen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Mitteilung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Aussetzung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Zurückziehens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 xml:space="preserve">muss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übermittelt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Dem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bzw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.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Prüfeinrichtung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gestellt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genauen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Gründe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getroffenen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Entscheidungen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dargelegt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3B8D33D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8</w:t>
      </w:r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Unterlagen</w:t>
      </w:r>
      <w:proofErr w:type="spellEnd"/>
    </w:p>
    <w:p w14:paraId="248CAEF7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müssen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Bewertung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ermöglichen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4211179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8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.1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Baumusterprüfung</w:t>
      </w:r>
      <w:proofErr w:type="spellEnd"/>
    </w:p>
    <w:p w14:paraId="43A81D55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237A1F92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Auslegung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verwendet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1F19E7C7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Beschreibung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Abweichungen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3FDD789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Anweisungen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Spalte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Kapitel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3.2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Tabelle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bestimmten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befördernden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gefährlichen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Güter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2E66F9CA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allgemeine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Montagezeichnung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-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zeichnungen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3F898D2E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notwendigen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detaillierten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Zeichnungen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Berechnungen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verwendeten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Abmessungen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Bedienungsausrüstung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Kennzeichnung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und/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Bezettelung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1AF9EC8A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Berechnungsaufzeichnungen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, -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ergebnisse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-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schlussfolgerungen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00F420E9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Bedienungsausrüstung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technischen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Informationen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Sicherheitseinrichtungen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gegebenenfalls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Berechnung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Abblasmenge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309F35A8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das in der Norm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geforderte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Werkstoffe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Bauteil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Unterbauteil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Auskleidung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Bedienungsausrüstung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jede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verwendet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Werkstoffspezifikationen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Erklärung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ADR;</w:t>
      </w:r>
    </w:p>
    <w:p w14:paraId="66DA2B8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Qualifizierung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Arbeitsverfahren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Ausführung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dauerhafter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Verbindungen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AC58412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j)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Beschreibung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(des)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Wärmebehandlungsverfahren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(s) und</w:t>
      </w:r>
    </w:p>
    <w:p w14:paraId="66687F67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Beschreibungen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Aufzeichnungen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im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ADR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aufgeführt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51EC7C97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1.8.7.8.2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Ausstellung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Baumusterzulassung</w:t>
      </w:r>
      <w:proofErr w:type="spellEnd"/>
    </w:p>
    <w:p w14:paraId="78749574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muss,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:</w:t>
      </w:r>
    </w:p>
    <w:p w14:paraId="2B9672D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Auslegung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verwendet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45C1352B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Beschreibung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Baumusters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Abweichungen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202184E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Anweisungen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Spalte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Kapitel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3.2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Tabelle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A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bestimmten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Produkten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befördernden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gefährlichen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Güter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40F4099A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allgemeine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Montagezeichnung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-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zeichnungen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6D212C9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Werkstoffe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gefährlichen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Gütern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Berührung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kommen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2CB7856D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f)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Verzeichnis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Bedienungsausrüstung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;</w:t>
      </w:r>
    </w:p>
    <w:p w14:paraId="17867CD8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Baumusterprüfbericht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und</w:t>
      </w:r>
    </w:p>
    <w:p w14:paraId="1D702092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h)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auf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Verlangen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zuständigen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Behörde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weitere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1.8.7.8.1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genannte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719E3A0F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8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3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Herstellung</w:t>
      </w:r>
      <w:proofErr w:type="spellEnd"/>
    </w:p>
    <w:p w14:paraId="5E26340E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7AA7D86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Absätzen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1.8.7.8.1 und 1.8.7.8.2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aufgeführten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1426913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Kopie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Baumusterzulassungsbescheinigung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269C8BE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Herstellungsverfahren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EB09A06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Herstellungsaufzeichnungen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3811C859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Qualifizierungen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Personen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dauerhafte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Verbindungen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1D3FD4F4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zugelassenen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Qualifizierungen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Personen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zerstörungsfreie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durchführen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34D94738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Berichte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zerstörenden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zerstörungsfreien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0E8DFA2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Aufzeichnungen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Wärmebehandlung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</w:t>
      </w:r>
    </w:p>
    <w:p w14:paraId="77C15BBD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Kalibrierungsaufzeichnungen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FE951C1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8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erstmalige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Inbetriebnahmeüberprüfung</w:t>
      </w:r>
      <w:proofErr w:type="spellEnd"/>
    </w:p>
    <w:p w14:paraId="44F228C3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Bei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erstmaligen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Inbetriebnahmeüberprüfung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Eigentümer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Betreiber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19129DE7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Absätzen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1.8.7.8.1, 1.8.7.8.2 und 1.8.7.8.3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aufgeführten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7A407152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Werkstoffbescheinigungen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Unterbauteile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Bedienungsausrüstung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15483ECB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Konformitätsbescheinigungen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Bedienungsausrüstung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</w:t>
      </w:r>
    </w:p>
    <w:p w14:paraId="0F9DA9B9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lastRenderedPageBreak/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Konformitätserklärung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einschließlich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Beschreibung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aller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Baumusterzulassung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übernommenen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Abweichungen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369E2D12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8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5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wiederkehrende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Zwischenprüfung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außerordentliche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</w:p>
    <w:p w14:paraId="6D33C9E1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Eigentümer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bevollmächtigter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Vertreter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Betreiber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oder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sein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bevollmächtigter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Vertreter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76D49B5F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Druckgefäße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besondere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Anforderungen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festgelegt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Normen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Herstellung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wiederkehrenden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vorgeschrieben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wird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559753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Tanks</w:t>
      </w:r>
    </w:p>
    <w:p w14:paraId="63F36406" w14:textId="77777777" w:rsidR="00835F2D" w:rsidRPr="00207A49" w:rsidRDefault="00835F2D" w:rsidP="00835F2D">
      <w:pPr>
        <w:spacing w:after="120"/>
        <w:ind w:left="2835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(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i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Tankakte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</w:t>
      </w:r>
    </w:p>
    <w:p w14:paraId="0B51233C" w14:textId="77777777" w:rsidR="00835F2D" w:rsidRPr="00207A49" w:rsidRDefault="00835F2D" w:rsidP="00835F2D">
      <w:pPr>
        <w:spacing w:after="120"/>
        <w:ind w:left="2835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(ii)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alle in den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Absätzen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1.8.7.8.1 bis 1.8.7.8.4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aufgeführten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von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Prüfstelle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verlangt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2C15B3C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1.8.7.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8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  <w:r w:rsidRPr="00207A49">
        <w:rPr>
          <w:rFonts w:ascii="Times New Roman" w:eastAsia="Calibri" w:hAnsi="Times New Roman" w:cs="Times New Roman"/>
          <w:sz w:val="20"/>
          <w:szCs w:val="20"/>
          <w:lang w:eastAsia="ar-SA"/>
        </w:rPr>
        <w:t>6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Überwachung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Prüfdienstes</w:t>
      </w:r>
      <w:proofErr w:type="spellEnd"/>
    </w:p>
    <w:p w14:paraId="0ED5ED9C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betriebseigene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Prüfdienst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muss,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sofern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zutreffend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folgende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Unterlagen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zur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Verfügung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:</w:t>
      </w:r>
    </w:p>
    <w:p w14:paraId="400920DC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Organisationsstruktur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Verantwortlichkeiten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393E71B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entsprechenden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Anweisungen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Qualitätskontrolle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Arbeitsvorgänge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systematischen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Abläufe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verwendet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2B9C37A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c)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Qualitätsaufzeichnungen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Prüfberichte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Prüf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-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Kalibrierungsdaten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Bescheinigungen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230F6C17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durch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Geschäftsleitung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Folge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Nachprüfungen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(Audits)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Ort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gemäß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1.8.7.7, um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erfolgreiche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Wirkungsweise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Qualitätssicherungssystems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sicherzustellen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21B27C35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beschreibt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wie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Kundenanforderungen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erfüllt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Vorschriften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eingehalten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werden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5753CC87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Kontrolle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Dokumente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deren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Überarbeitung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;</w:t>
      </w:r>
    </w:p>
    <w:p w14:paraId="44DA37A0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g)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Verfahrensweisen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nicht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konforme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Produkte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</w:t>
      </w:r>
    </w:p>
    <w:p w14:paraId="0294D423" w14:textId="77777777" w:rsidR="00835F2D" w:rsidRPr="00207A49" w:rsidRDefault="00835F2D" w:rsidP="00835F2D">
      <w:pPr>
        <w:spacing w:after="120"/>
        <w:ind w:left="2552" w:right="1134" w:hanging="284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h)</w:t>
      </w:r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 xml:space="preserve">die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Schulungsprogramme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und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Qualifizierungsverfahren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das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>betroffene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Personal.“.</w:t>
      </w:r>
    </w:p>
    <w:p w14:paraId="229B027B" w14:textId="77777777" w:rsidR="00835F2D" w:rsidRPr="00207A49" w:rsidRDefault="00835F2D" w:rsidP="00835F2D">
      <w:pPr>
        <w:tabs>
          <w:tab w:val="left" w:pos="2268"/>
        </w:tabs>
        <w:snapToGrid w:val="0"/>
        <w:spacing w:before="120"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A49">
        <w:rPr>
          <w:rFonts w:ascii="Times New Roman" w:eastAsia="Calibri" w:hAnsi="Times New Roman" w:cs="Times New Roman"/>
          <w:sz w:val="20"/>
          <w:szCs w:val="20"/>
        </w:rPr>
        <w:t>1.8.8 a)</w:t>
      </w:r>
      <w:r w:rsidRPr="00207A49">
        <w:rPr>
          <w:rFonts w:ascii="Times New Roman" w:eastAsia="Calibri" w:hAnsi="Times New Roman" w:cs="Times New Roman"/>
          <w:sz w:val="20"/>
          <w:szCs w:val="20"/>
        </w:rPr>
        <w:tab/>
        <w:t xml:space="preserve">In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Absatz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a) „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1.8.7.5“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ändern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in: „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Unterabschnitt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1.8.7.6“.</w:t>
      </w:r>
    </w:p>
    <w:p w14:paraId="2FBAF244" w14:textId="77777777" w:rsidR="00835F2D" w:rsidRPr="00207A49" w:rsidRDefault="00835F2D" w:rsidP="00835F2D">
      <w:pPr>
        <w:snapToGrid w:val="0"/>
        <w:spacing w:before="120"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A49">
        <w:rPr>
          <w:rFonts w:ascii="Times New Roman" w:eastAsia="Calibri" w:hAnsi="Times New Roman" w:cs="Times New Roman"/>
          <w:sz w:val="20"/>
          <w:szCs w:val="20"/>
        </w:rPr>
        <w:t>1.8.8.1.1</w:t>
      </w:r>
      <w:r w:rsidRPr="00207A49">
        <w:rPr>
          <w:rFonts w:ascii="Times New Roman" w:eastAsia="Calibri" w:hAnsi="Times New Roman" w:cs="Times New Roman"/>
          <w:sz w:val="20"/>
          <w:szCs w:val="20"/>
        </w:rPr>
        <w:tab/>
        <w:t>„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zugelassenen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IS-Stelle“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ändern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in: „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bevollmächtigten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IS“.</w:t>
      </w:r>
    </w:p>
    <w:p w14:paraId="31ECF36B" w14:textId="77777777" w:rsidR="00835F2D" w:rsidRPr="00207A49" w:rsidRDefault="00835F2D" w:rsidP="00835F2D">
      <w:pPr>
        <w:snapToGrid w:val="0"/>
        <w:spacing w:before="120" w:after="120"/>
        <w:ind w:left="2268" w:right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A49">
        <w:rPr>
          <w:rFonts w:ascii="Times New Roman" w:eastAsia="Calibri" w:hAnsi="Times New Roman" w:cs="Times New Roman"/>
          <w:sz w:val="20"/>
          <w:szCs w:val="20"/>
        </w:rPr>
        <w:t>„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die Definition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Xa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>- und IS-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Stellen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“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ändern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in: „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für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die Definition von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Xa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und IS“.</w:t>
      </w:r>
    </w:p>
    <w:p w14:paraId="6A432C1B" w14:textId="77777777" w:rsidR="00835F2D" w:rsidRPr="00207A49" w:rsidRDefault="00835F2D" w:rsidP="00835F2D">
      <w:pPr>
        <w:snapToGrid w:val="0"/>
        <w:spacing w:before="120"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A49">
        <w:rPr>
          <w:rFonts w:ascii="Times New Roman" w:eastAsia="Calibri" w:hAnsi="Times New Roman" w:cs="Times New Roman"/>
          <w:sz w:val="20"/>
          <w:szCs w:val="20"/>
        </w:rPr>
        <w:lastRenderedPageBreak/>
        <w:t>1.8.8.1.4</w:t>
      </w:r>
      <w:r w:rsidRPr="00207A49">
        <w:rPr>
          <w:rFonts w:ascii="Times New Roman" w:eastAsia="Calibri" w:hAnsi="Times New Roman" w:cs="Times New Roman"/>
          <w:sz w:val="20"/>
          <w:szCs w:val="20"/>
        </w:rPr>
        <w:tab/>
        <w:t xml:space="preserve">„des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Unterabschnitts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1.8.7.6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Ausnahme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Absätze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1.8.7.6.1 d) und 1.8.7.6.2 b)“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ändern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in: „des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Unterabschnitts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1.8.7.7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Ausnahme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Absätze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1.8.7.7.1 d) und 1.8.7.7.2 b)“.</w:t>
      </w:r>
    </w:p>
    <w:p w14:paraId="2DFFF8A7" w14:textId="77777777" w:rsidR="00835F2D" w:rsidRPr="00207A49" w:rsidRDefault="00835F2D" w:rsidP="00835F2D">
      <w:pPr>
        <w:snapToGrid w:val="0"/>
        <w:spacing w:before="120"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A49">
        <w:rPr>
          <w:rFonts w:ascii="Times New Roman" w:eastAsia="Calibri" w:hAnsi="Times New Roman" w:cs="Times New Roman"/>
          <w:sz w:val="20"/>
          <w:szCs w:val="20"/>
        </w:rPr>
        <w:t>1.8.8.6</w:t>
      </w:r>
      <w:r w:rsidRPr="00207A49">
        <w:rPr>
          <w:rFonts w:ascii="Times New Roman" w:eastAsia="Calibri" w:hAnsi="Times New Roman" w:cs="Times New Roman"/>
          <w:sz w:val="20"/>
          <w:szCs w:val="20"/>
        </w:rPr>
        <w:tab/>
        <w:t xml:space="preserve">„des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Unterabschnitts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1.8.7.6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Ausnahme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Absätze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1.8.7.6.1 d) und 1.8.7.6.2 b)“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ändern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in: „des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Unterabschnitts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1.8.7.7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mit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Ausnahme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der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Absätze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1.8.7.7.1 d) und 1.8.7.7.2 b)“.</w:t>
      </w:r>
    </w:p>
    <w:p w14:paraId="4FF2E746" w14:textId="77777777" w:rsidR="00835F2D" w:rsidRPr="00207A49" w:rsidRDefault="00835F2D" w:rsidP="00835F2D">
      <w:pPr>
        <w:snapToGrid w:val="0"/>
        <w:spacing w:before="120" w:after="120"/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A49">
        <w:rPr>
          <w:rFonts w:ascii="Times New Roman" w:eastAsia="Calibri" w:hAnsi="Times New Roman" w:cs="Times New Roman"/>
          <w:sz w:val="20"/>
          <w:szCs w:val="20"/>
        </w:rPr>
        <w:t>1.8.8.7</w:t>
      </w:r>
      <w:r w:rsidRPr="00207A49">
        <w:rPr>
          <w:rFonts w:ascii="Times New Roman" w:eastAsia="Calibri" w:hAnsi="Times New Roman" w:cs="Times New Roman"/>
          <w:sz w:val="20"/>
          <w:szCs w:val="20"/>
        </w:rPr>
        <w:tab/>
        <w:t>„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Absätze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1.8.7.7.1, 1.8.7.7.2, 1.8.7.7.3 und 1.8.7.7.5“ 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ändern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in: „</w:t>
      </w:r>
      <w:proofErr w:type="spellStart"/>
      <w:r w:rsidRPr="00207A49">
        <w:rPr>
          <w:rFonts w:ascii="Times New Roman" w:eastAsia="Calibri" w:hAnsi="Times New Roman" w:cs="Times New Roman"/>
          <w:sz w:val="20"/>
          <w:szCs w:val="20"/>
        </w:rPr>
        <w:t>Absätze</w:t>
      </w:r>
      <w:proofErr w:type="spellEnd"/>
      <w:r w:rsidRPr="00207A49">
        <w:rPr>
          <w:rFonts w:ascii="Times New Roman" w:eastAsia="Calibri" w:hAnsi="Times New Roman" w:cs="Times New Roman"/>
          <w:sz w:val="20"/>
          <w:szCs w:val="20"/>
        </w:rPr>
        <w:t xml:space="preserve"> 1.8.7.8.1, 1.8.7.8.2, 1.8.7.8.3, 1.8.7.8.4 und 1.8.7.8.6“.</w:t>
      </w:r>
    </w:p>
    <w:p w14:paraId="349F42A5" w14:textId="77777777" w:rsidR="00835F2D" w:rsidRPr="00207A49" w:rsidRDefault="00835F2D" w:rsidP="00835F2D">
      <w:pPr>
        <w:spacing w:after="120"/>
        <w:ind w:left="2268" w:right="1134" w:hanging="113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</w:pPr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(</w:t>
      </w:r>
      <w:proofErr w:type="spellStart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Referenzdokument</w:t>
      </w:r>
      <w:proofErr w:type="spellEnd"/>
      <w:r w:rsidRPr="00207A49">
        <w:rPr>
          <w:rFonts w:ascii="Times New Roman" w:eastAsia="Calibri" w:hAnsi="Times New Roman" w:cs="Times New Roman"/>
          <w:i/>
          <w:iCs/>
          <w:sz w:val="20"/>
          <w:szCs w:val="20"/>
          <w:lang w:eastAsia="fr-FR"/>
        </w:rPr>
        <w:t>: ECE/TRANS/WP.15/AC.1/2021/23/Rev.1, Anlage VI)</w:t>
      </w:r>
    </w:p>
    <w:p w14:paraId="77F871A8" w14:textId="1D68FDA3" w:rsidR="003D3F1F" w:rsidRPr="003B5D12" w:rsidRDefault="003D3F1F" w:rsidP="003D3F1F">
      <w:pPr>
        <w:spacing w:before="240" w:after="0" w:line="240" w:lineRule="atLeast"/>
        <w:jc w:val="center"/>
        <w:rPr>
          <w:u w:val="single"/>
        </w:rPr>
      </w:pPr>
      <w:r w:rsidRPr="003B5D12">
        <w:rPr>
          <w:u w:val="single"/>
        </w:rPr>
        <w:tab/>
      </w:r>
      <w:r w:rsidRPr="003B5D12">
        <w:rPr>
          <w:u w:val="single"/>
        </w:rPr>
        <w:tab/>
      </w:r>
      <w:r w:rsidRPr="003B5D12">
        <w:rPr>
          <w:u w:val="single"/>
        </w:rPr>
        <w:tab/>
      </w:r>
    </w:p>
    <w:sectPr w:rsidR="003D3F1F" w:rsidRPr="003B5D12" w:rsidSect="00AA257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F6576" w14:textId="77777777" w:rsidR="00B361C0" w:rsidRDefault="00B361C0" w:rsidP="00A11599">
      <w:pPr>
        <w:spacing w:after="0" w:line="240" w:lineRule="auto"/>
      </w:pPr>
      <w:r>
        <w:separator/>
      </w:r>
    </w:p>
  </w:endnote>
  <w:endnote w:type="continuationSeparator" w:id="0">
    <w:p w14:paraId="22C2812F" w14:textId="77777777" w:rsidR="00B361C0" w:rsidRDefault="00B361C0" w:rsidP="00A1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720329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58301DBD" w14:textId="77777777" w:rsidR="00697E7F" w:rsidRDefault="00697E7F" w:rsidP="00F6415F">
        <w:pPr>
          <w:pStyle w:val="Footer"/>
          <w:tabs>
            <w:tab w:val="right" w:pos="9638"/>
          </w:tabs>
          <w:rPr>
            <w:b/>
            <w:noProof/>
            <w:sz w:val="18"/>
          </w:rPr>
        </w:pPr>
        <w:r w:rsidRPr="00F6415F">
          <w:rPr>
            <w:b/>
            <w:noProof/>
            <w:sz w:val="18"/>
          </w:rPr>
          <w:fldChar w:fldCharType="begin"/>
        </w:r>
        <w:r w:rsidRPr="00F6415F">
          <w:rPr>
            <w:b/>
            <w:noProof/>
            <w:sz w:val="18"/>
          </w:rPr>
          <w:instrText xml:space="preserve"> PAGE   \* MERGEFORMAT </w:instrText>
        </w:r>
        <w:r w:rsidRPr="00F6415F">
          <w:rPr>
            <w:b/>
            <w:noProof/>
            <w:sz w:val="18"/>
          </w:rPr>
          <w:fldChar w:fldCharType="separate"/>
        </w:r>
        <w:r>
          <w:rPr>
            <w:b/>
            <w:noProof/>
            <w:sz w:val="18"/>
          </w:rPr>
          <w:t>46</w:t>
        </w:r>
        <w:r w:rsidRPr="00F6415F">
          <w:rPr>
            <w:b/>
            <w:noProof/>
            <w:sz w:val="18"/>
          </w:rPr>
          <w:fldChar w:fldCharType="end"/>
        </w:r>
      </w:p>
    </w:sdtContent>
  </w:sdt>
  <w:p w14:paraId="48F1D3B2" w14:textId="77777777" w:rsidR="00697E7F" w:rsidRPr="00F6415F" w:rsidRDefault="00697E7F" w:rsidP="00F6415F">
    <w:pPr>
      <w:pStyle w:val="Footer"/>
      <w:tabs>
        <w:tab w:val="right" w:pos="9638"/>
      </w:tabs>
      <w:rPr>
        <w:b/>
        <w:noProof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4050" w14:textId="77777777" w:rsidR="00697E7F" w:rsidRPr="00F6415F" w:rsidRDefault="00B361C0" w:rsidP="00F6415F">
    <w:pPr>
      <w:pStyle w:val="Footer"/>
      <w:tabs>
        <w:tab w:val="right" w:pos="9638"/>
      </w:tabs>
      <w:jc w:val="right"/>
      <w:rPr>
        <w:b/>
        <w:noProof/>
        <w:sz w:val="18"/>
      </w:rPr>
    </w:pPr>
    <w:sdt>
      <w:sdtPr>
        <w:rPr>
          <w:b/>
          <w:noProof/>
          <w:sz w:val="18"/>
        </w:rPr>
        <w:id w:val="802658701"/>
        <w:docPartObj>
          <w:docPartGallery w:val="Page Numbers (Bottom of Page)"/>
          <w:docPartUnique/>
        </w:docPartObj>
      </w:sdtPr>
      <w:sdtEndPr/>
      <w:sdtContent>
        <w:r w:rsidR="00697E7F" w:rsidRPr="00F6415F">
          <w:rPr>
            <w:b/>
            <w:noProof/>
            <w:sz w:val="18"/>
          </w:rPr>
          <w:fldChar w:fldCharType="begin"/>
        </w:r>
        <w:r w:rsidR="00697E7F" w:rsidRPr="00F6415F">
          <w:rPr>
            <w:b/>
            <w:noProof/>
            <w:sz w:val="18"/>
          </w:rPr>
          <w:instrText xml:space="preserve"> PAGE   \* MERGEFORMAT </w:instrText>
        </w:r>
        <w:r w:rsidR="00697E7F" w:rsidRPr="00F6415F">
          <w:rPr>
            <w:b/>
            <w:noProof/>
            <w:sz w:val="18"/>
          </w:rPr>
          <w:fldChar w:fldCharType="separate"/>
        </w:r>
        <w:r w:rsidR="00697E7F">
          <w:rPr>
            <w:b/>
            <w:noProof/>
            <w:sz w:val="18"/>
          </w:rPr>
          <w:t>47</w:t>
        </w:r>
        <w:r w:rsidR="00697E7F" w:rsidRPr="00F6415F">
          <w:rPr>
            <w:b/>
            <w:noProof/>
            <w:sz w:val="18"/>
          </w:rPr>
          <w:fldChar w:fldCharType="end"/>
        </w:r>
      </w:sdtContent>
    </w:sdt>
  </w:p>
  <w:p w14:paraId="625408D1" w14:textId="77777777" w:rsidR="00697E7F" w:rsidRPr="00E558FB" w:rsidRDefault="00697E7F" w:rsidP="00AA25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B9ED5" w14:textId="77777777" w:rsidR="00B361C0" w:rsidRDefault="00B361C0" w:rsidP="00A11599">
      <w:pPr>
        <w:spacing w:after="0" w:line="240" w:lineRule="auto"/>
      </w:pPr>
      <w:r>
        <w:separator/>
      </w:r>
    </w:p>
  </w:footnote>
  <w:footnote w:type="continuationSeparator" w:id="0">
    <w:p w14:paraId="556C7280" w14:textId="77777777" w:rsidR="00B361C0" w:rsidRDefault="00B361C0" w:rsidP="00A1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B9E4" w14:textId="12E8EC66" w:rsidR="00697E7F" w:rsidRPr="00AE2AC2" w:rsidRDefault="00DE2309" w:rsidP="00F6415F">
    <w:pPr>
      <w:pStyle w:val="Header"/>
    </w:pPr>
    <w:r>
      <w:t>I</w:t>
    </w:r>
    <w:r w:rsidR="002A4D4B">
      <w:t>NF.1</w:t>
    </w:r>
    <w:r w:rsidR="00DD34D0">
      <w:t>2</w:t>
    </w:r>
  </w:p>
  <w:p w14:paraId="70005863" w14:textId="77777777" w:rsidR="00697E7F" w:rsidRPr="00F6415F" w:rsidRDefault="00697E7F" w:rsidP="00495B1C">
    <w:pPr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AA4E" w14:textId="601DECC4" w:rsidR="00697E7F" w:rsidRPr="00EB4E53" w:rsidRDefault="00EB4E53" w:rsidP="00F6415F">
    <w:pPr>
      <w:pStyle w:val="Header"/>
      <w:jc w:val="right"/>
      <w:rPr>
        <w:lang w:val="fr-CH"/>
      </w:rPr>
    </w:pPr>
    <w:r>
      <w:rPr>
        <w:lang w:val="fr-CH"/>
      </w:rPr>
      <w:t>INF.12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Heading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9D64A5"/>
    <w:multiLevelType w:val="hybridMultilevel"/>
    <w:tmpl w:val="A504189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5A"/>
    <w:rsid w:val="00002F75"/>
    <w:rsid w:val="00002F84"/>
    <w:rsid w:val="00010DE0"/>
    <w:rsid w:val="00014E5D"/>
    <w:rsid w:val="000165EF"/>
    <w:rsid w:val="00017740"/>
    <w:rsid w:val="00021F6C"/>
    <w:rsid w:val="00041BC8"/>
    <w:rsid w:val="00042D82"/>
    <w:rsid w:val="000441AF"/>
    <w:rsid w:val="000442DF"/>
    <w:rsid w:val="0004496F"/>
    <w:rsid w:val="00047E9F"/>
    <w:rsid w:val="00050E36"/>
    <w:rsid w:val="00055FD8"/>
    <w:rsid w:val="00082206"/>
    <w:rsid w:val="0008322C"/>
    <w:rsid w:val="0008769B"/>
    <w:rsid w:val="00090D4F"/>
    <w:rsid w:val="000C0AB2"/>
    <w:rsid w:val="000C6903"/>
    <w:rsid w:val="000D195B"/>
    <w:rsid w:val="000D22AE"/>
    <w:rsid w:val="000D5528"/>
    <w:rsid w:val="000D59D7"/>
    <w:rsid w:val="000E7F4A"/>
    <w:rsid w:val="0010428C"/>
    <w:rsid w:val="00107427"/>
    <w:rsid w:val="00113DC6"/>
    <w:rsid w:val="001146DB"/>
    <w:rsid w:val="00120663"/>
    <w:rsid w:val="00120F97"/>
    <w:rsid w:val="00122485"/>
    <w:rsid w:val="00123C51"/>
    <w:rsid w:val="00123D09"/>
    <w:rsid w:val="00131E59"/>
    <w:rsid w:val="00132FBE"/>
    <w:rsid w:val="00135C12"/>
    <w:rsid w:val="0014697A"/>
    <w:rsid w:val="00150279"/>
    <w:rsid w:val="001524A3"/>
    <w:rsid w:val="00152A80"/>
    <w:rsid w:val="00153C3C"/>
    <w:rsid w:val="0015548A"/>
    <w:rsid w:val="00155D30"/>
    <w:rsid w:val="00160FAE"/>
    <w:rsid w:val="00164AC6"/>
    <w:rsid w:val="00164D51"/>
    <w:rsid w:val="00165461"/>
    <w:rsid w:val="00197169"/>
    <w:rsid w:val="001A52F9"/>
    <w:rsid w:val="001A59DB"/>
    <w:rsid w:val="001B3250"/>
    <w:rsid w:val="001B3C7B"/>
    <w:rsid w:val="001E5DB6"/>
    <w:rsid w:val="001E78C8"/>
    <w:rsid w:val="001F02DE"/>
    <w:rsid w:val="002017D4"/>
    <w:rsid w:val="00201CF6"/>
    <w:rsid w:val="00207909"/>
    <w:rsid w:val="00213704"/>
    <w:rsid w:val="002261A6"/>
    <w:rsid w:val="00227AB2"/>
    <w:rsid w:val="00230E0A"/>
    <w:rsid w:val="00233D7A"/>
    <w:rsid w:val="0024623B"/>
    <w:rsid w:val="00246EA0"/>
    <w:rsid w:val="00262545"/>
    <w:rsid w:val="002631E9"/>
    <w:rsid w:val="00265A99"/>
    <w:rsid w:val="002706A2"/>
    <w:rsid w:val="00283371"/>
    <w:rsid w:val="00286F0D"/>
    <w:rsid w:val="00294920"/>
    <w:rsid w:val="002963FA"/>
    <w:rsid w:val="002A1868"/>
    <w:rsid w:val="002A2843"/>
    <w:rsid w:val="002A4D4B"/>
    <w:rsid w:val="002B20C1"/>
    <w:rsid w:val="002B2C03"/>
    <w:rsid w:val="002B2C11"/>
    <w:rsid w:val="002C065F"/>
    <w:rsid w:val="002C5C00"/>
    <w:rsid w:val="002D0ACA"/>
    <w:rsid w:val="002D10D9"/>
    <w:rsid w:val="002D563D"/>
    <w:rsid w:val="002D582C"/>
    <w:rsid w:val="002E21C0"/>
    <w:rsid w:val="002E46B4"/>
    <w:rsid w:val="002E4727"/>
    <w:rsid w:val="002E60E4"/>
    <w:rsid w:val="002F2D2E"/>
    <w:rsid w:val="002F4BFF"/>
    <w:rsid w:val="00302907"/>
    <w:rsid w:val="00311012"/>
    <w:rsid w:val="00320A7E"/>
    <w:rsid w:val="003230C5"/>
    <w:rsid w:val="00332D48"/>
    <w:rsid w:val="0035192C"/>
    <w:rsid w:val="00352692"/>
    <w:rsid w:val="0035557C"/>
    <w:rsid w:val="003573E6"/>
    <w:rsid w:val="00362D59"/>
    <w:rsid w:val="00372522"/>
    <w:rsid w:val="00386D04"/>
    <w:rsid w:val="00391316"/>
    <w:rsid w:val="00397724"/>
    <w:rsid w:val="003A0D0A"/>
    <w:rsid w:val="003A38F5"/>
    <w:rsid w:val="003A425E"/>
    <w:rsid w:val="003A6403"/>
    <w:rsid w:val="003B0685"/>
    <w:rsid w:val="003B5D12"/>
    <w:rsid w:val="003B6F92"/>
    <w:rsid w:val="003B72A9"/>
    <w:rsid w:val="003C1D5F"/>
    <w:rsid w:val="003C57B0"/>
    <w:rsid w:val="003D3F1F"/>
    <w:rsid w:val="003D69AD"/>
    <w:rsid w:val="003E0C07"/>
    <w:rsid w:val="003E1698"/>
    <w:rsid w:val="003F32D5"/>
    <w:rsid w:val="00401350"/>
    <w:rsid w:val="0040319C"/>
    <w:rsid w:val="0040518A"/>
    <w:rsid w:val="00412FEC"/>
    <w:rsid w:val="00424BEA"/>
    <w:rsid w:val="0042510D"/>
    <w:rsid w:val="00427F10"/>
    <w:rsid w:val="0043267C"/>
    <w:rsid w:val="00432B67"/>
    <w:rsid w:val="0044588D"/>
    <w:rsid w:val="00446AFA"/>
    <w:rsid w:val="00463E2D"/>
    <w:rsid w:val="00466A88"/>
    <w:rsid w:val="004732A3"/>
    <w:rsid w:val="004814BB"/>
    <w:rsid w:val="004835F8"/>
    <w:rsid w:val="00484C3B"/>
    <w:rsid w:val="00492E15"/>
    <w:rsid w:val="00495B1C"/>
    <w:rsid w:val="004A5BE8"/>
    <w:rsid w:val="004B1CA2"/>
    <w:rsid w:val="004B7D91"/>
    <w:rsid w:val="004B7E36"/>
    <w:rsid w:val="004C0A67"/>
    <w:rsid w:val="004C1440"/>
    <w:rsid w:val="004C7BD0"/>
    <w:rsid w:val="004D1941"/>
    <w:rsid w:val="004D1C6C"/>
    <w:rsid w:val="004D3C8F"/>
    <w:rsid w:val="004D6C89"/>
    <w:rsid w:val="004E77A3"/>
    <w:rsid w:val="004F53C5"/>
    <w:rsid w:val="004F5974"/>
    <w:rsid w:val="00502AA8"/>
    <w:rsid w:val="005057CC"/>
    <w:rsid w:val="005061AE"/>
    <w:rsid w:val="00511BDF"/>
    <w:rsid w:val="00514FC0"/>
    <w:rsid w:val="00515442"/>
    <w:rsid w:val="005230ED"/>
    <w:rsid w:val="005232D8"/>
    <w:rsid w:val="00524D19"/>
    <w:rsid w:val="005469A4"/>
    <w:rsid w:val="005474FE"/>
    <w:rsid w:val="00547AB8"/>
    <w:rsid w:val="005505DD"/>
    <w:rsid w:val="00552652"/>
    <w:rsid w:val="00555B04"/>
    <w:rsid w:val="0055747C"/>
    <w:rsid w:val="0056660C"/>
    <w:rsid w:val="00566F32"/>
    <w:rsid w:val="005705C5"/>
    <w:rsid w:val="0057079D"/>
    <w:rsid w:val="00575799"/>
    <w:rsid w:val="005836CC"/>
    <w:rsid w:val="00583ED9"/>
    <w:rsid w:val="005A3DFC"/>
    <w:rsid w:val="005B6A7D"/>
    <w:rsid w:val="005C2459"/>
    <w:rsid w:val="005C3286"/>
    <w:rsid w:val="005C61F7"/>
    <w:rsid w:val="005D27AA"/>
    <w:rsid w:val="005D5362"/>
    <w:rsid w:val="005E0306"/>
    <w:rsid w:val="005F3D96"/>
    <w:rsid w:val="005F767D"/>
    <w:rsid w:val="00600050"/>
    <w:rsid w:val="0062131C"/>
    <w:rsid w:val="006222EA"/>
    <w:rsid w:val="006243CC"/>
    <w:rsid w:val="00641A54"/>
    <w:rsid w:val="00646DEE"/>
    <w:rsid w:val="0064735D"/>
    <w:rsid w:val="006572A6"/>
    <w:rsid w:val="006600D9"/>
    <w:rsid w:val="00664621"/>
    <w:rsid w:val="00680AE1"/>
    <w:rsid w:val="0069185E"/>
    <w:rsid w:val="0069407D"/>
    <w:rsid w:val="006956B0"/>
    <w:rsid w:val="006967B1"/>
    <w:rsid w:val="00697E7F"/>
    <w:rsid w:val="006A1F86"/>
    <w:rsid w:val="006B00EE"/>
    <w:rsid w:val="006B10E8"/>
    <w:rsid w:val="006B7B43"/>
    <w:rsid w:val="006B7EA8"/>
    <w:rsid w:val="006C0585"/>
    <w:rsid w:val="006C69D7"/>
    <w:rsid w:val="006C7D03"/>
    <w:rsid w:val="006E062E"/>
    <w:rsid w:val="006E6DB4"/>
    <w:rsid w:val="006F2B9A"/>
    <w:rsid w:val="007067B7"/>
    <w:rsid w:val="0070712C"/>
    <w:rsid w:val="0071583A"/>
    <w:rsid w:val="0071652F"/>
    <w:rsid w:val="007218EC"/>
    <w:rsid w:val="00730066"/>
    <w:rsid w:val="00734C74"/>
    <w:rsid w:val="0073567B"/>
    <w:rsid w:val="00736E79"/>
    <w:rsid w:val="007411E2"/>
    <w:rsid w:val="00744F31"/>
    <w:rsid w:val="0074578A"/>
    <w:rsid w:val="007464D8"/>
    <w:rsid w:val="007579F3"/>
    <w:rsid w:val="00760D38"/>
    <w:rsid w:val="0076640D"/>
    <w:rsid w:val="0077552C"/>
    <w:rsid w:val="00784229"/>
    <w:rsid w:val="00786424"/>
    <w:rsid w:val="00786A64"/>
    <w:rsid w:val="00787233"/>
    <w:rsid w:val="007873CF"/>
    <w:rsid w:val="007A46D3"/>
    <w:rsid w:val="007A54DF"/>
    <w:rsid w:val="007A6524"/>
    <w:rsid w:val="007B16A4"/>
    <w:rsid w:val="007B324B"/>
    <w:rsid w:val="007B3831"/>
    <w:rsid w:val="007D42C6"/>
    <w:rsid w:val="007D5284"/>
    <w:rsid w:val="007E10D7"/>
    <w:rsid w:val="007E3EFF"/>
    <w:rsid w:val="007F3AD5"/>
    <w:rsid w:val="007F4FF0"/>
    <w:rsid w:val="007F5156"/>
    <w:rsid w:val="00804C03"/>
    <w:rsid w:val="00817699"/>
    <w:rsid w:val="00817B1C"/>
    <w:rsid w:val="00817FE1"/>
    <w:rsid w:val="008278DE"/>
    <w:rsid w:val="00832539"/>
    <w:rsid w:val="00835F2D"/>
    <w:rsid w:val="00836033"/>
    <w:rsid w:val="008403D5"/>
    <w:rsid w:val="008566A4"/>
    <w:rsid w:val="00856B1F"/>
    <w:rsid w:val="00861A88"/>
    <w:rsid w:val="00887790"/>
    <w:rsid w:val="00897760"/>
    <w:rsid w:val="008C15A5"/>
    <w:rsid w:val="008D25D6"/>
    <w:rsid w:val="008D4D63"/>
    <w:rsid w:val="008D5638"/>
    <w:rsid w:val="008D79F4"/>
    <w:rsid w:val="008E2C4D"/>
    <w:rsid w:val="008E5D83"/>
    <w:rsid w:val="008E68E7"/>
    <w:rsid w:val="008F7166"/>
    <w:rsid w:val="009000BF"/>
    <w:rsid w:val="00901F0C"/>
    <w:rsid w:val="0090498D"/>
    <w:rsid w:val="00915633"/>
    <w:rsid w:val="009205E9"/>
    <w:rsid w:val="00921ECE"/>
    <w:rsid w:val="00925EFC"/>
    <w:rsid w:val="00926268"/>
    <w:rsid w:val="009338C5"/>
    <w:rsid w:val="0093499F"/>
    <w:rsid w:val="0093505F"/>
    <w:rsid w:val="00942F82"/>
    <w:rsid w:val="00947E4A"/>
    <w:rsid w:val="009508C2"/>
    <w:rsid w:val="00950C23"/>
    <w:rsid w:val="009572D0"/>
    <w:rsid w:val="009605D2"/>
    <w:rsid w:val="009653B7"/>
    <w:rsid w:val="009732E4"/>
    <w:rsid w:val="009749A2"/>
    <w:rsid w:val="00987072"/>
    <w:rsid w:val="00992FE4"/>
    <w:rsid w:val="009A08E1"/>
    <w:rsid w:val="009B0A24"/>
    <w:rsid w:val="009B30AE"/>
    <w:rsid w:val="009C03F5"/>
    <w:rsid w:val="009C2147"/>
    <w:rsid w:val="009C4D92"/>
    <w:rsid w:val="009C5ED7"/>
    <w:rsid w:val="009D09E1"/>
    <w:rsid w:val="009E5E7C"/>
    <w:rsid w:val="009F2A2A"/>
    <w:rsid w:val="009F2B68"/>
    <w:rsid w:val="00A00983"/>
    <w:rsid w:val="00A1130C"/>
    <w:rsid w:val="00A11599"/>
    <w:rsid w:val="00A1339D"/>
    <w:rsid w:val="00A1346B"/>
    <w:rsid w:val="00A21E6A"/>
    <w:rsid w:val="00A3205A"/>
    <w:rsid w:val="00A400B6"/>
    <w:rsid w:val="00A4159D"/>
    <w:rsid w:val="00A44802"/>
    <w:rsid w:val="00A44806"/>
    <w:rsid w:val="00A44861"/>
    <w:rsid w:val="00A501B6"/>
    <w:rsid w:val="00A50F61"/>
    <w:rsid w:val="00A56B4E"/>
    <w:rsid w:val="00A672AB"/>
    <w:rsid w:val="00A72FE3"/>
    <w:rsid w:val="00A76B49"/>
    <w:rsid w:val="00A773D6"/>
    <w:rsid w:val="00A81454"/>
    <w:rsid w:val="00A81FFC"/>
    <w:rsid w:val="00A85755"/>
    <w:rsid w:val="00A85E1F"/>
    <w:rsid w:val="00AA0CEB"/>
    <w:rsid w:val="00AA2576"/>
    <w:rsid w:val="00AA268B"/>
    <w:rsid w:val="00AA4271"/>
    <w:rsid w:val="00AB4C01"/>
    <w:rsid w:val="00AB6D92"/>
    <w:rsid w:val="00AB7363"/>
    <w:rsid w:val="00AB7DF2"/>
    <w:rsid w:val="00AC1079"/>
    <w:rsid w:val="00AC4AF4"/>
    <w:rsid w:val="00AC7278"/>
    <w:rsid w:val="00AF0019"/>
    <w:rsid w:val="00AF5D35"/>
    <w:rsid w:val="00B00514"/>
    <w:rsid w:val="00B070AE"/>
    <w:rsid w:val="00B113E5"/>
    <w:rsid w:val="00B213C1"/>
    <w:rsid w:val="00B218B2"/>
    <w:rsid w:val="00B33231"/>
    <w:rsid w:val="00B361C0"/>
    <w:rsid w:val="00B51CE0"/>
    <w:rsid w:val="00B53CD6"/>
    <w:rsid w:val="00B552F8"/>
    <w:rsid w:val="00B61BFB"/>
    <w:rsid w:val="00B80DA7"/>
    <w:rsid w:val="00B81435"/>
    <w:rsid w:val="00B83FBC"/>
    <w:rsid w:val="00B91DC3"/>
    <w:rsid w:val="00B972D7"/>
    <w:rsid w:val="00BB4B94"/>
    <w:rsid w:val="00BB67EA"/>
    <w:rsid w:val="00BB7259"/>
    <w:rsid w:val="00BD6E03"/>
    <w:rsid w:val="00BF7DE9"/>
    <w:rsid w:val="00C02BEC"/>
    <w:rsid w:val="00C04A1A"/>
    <w:rsid w:val="00C069A4"/>
    <w:rsid w:val="00C11675"/>
    <w:rsid w:val="00C17815"/>
    <w:rsid w:val="00C311D8"/>
    <w:rsid w:val="00C324A9"/>
    <w:rsid w:val="00C519ED"/>
    <w:rsid w:val="00C57598"/>
    <w:rsid w:val="00C6024E"/>
    <w:rsid w:val="00C60A60"/>
    <w:rsid w:val="00C63E30"/>
    <w:rsid w:val="00C63F14"/>
    <w:rsid w:val="00C646F4"/>
    <w:rsid w:val="00C672CE"/>
    <w:rsid w:val="00C67A76"/>
    <w:rsid w:val="00C81A88"/>
    <w:rsid w:val="00C8462C"/>
    <w:rsid w:val="00C87312"/>
    <w:rsid w:val="00C87632"/>
    <w:rsid w:val="00C95B37"/>
    <w:rsid w:val="00C9714C"/>
    <w:rsid w:val="00CA4D8B"/>
    <w:rsid w:val="00CA628D"/>
    <w:rsid w:val="00CB0DE2"/>
    <w:rsid w:val="00CB447A"/>
    <w:rsid w:val="00CC4923"/>
    <w:rsid w:val="00CC4F88"/>
    <w:rsid w:val="00CC5B77"/>
    <w:rsid w:val="00CD1B0E"/>
    <w:rsid w:val="00CD7A39"/>
    <w:rsid w:val="00CF0B1B"/>
    <w:rsid w:val="00CF5B96"/>
    <w:rsid w:val="00D0277A"/>
    <w:rsid w:val="00D02EE1"/>
    <w:rsid w:val="00D100FE"/>
    <w:rsid w:val="00D110DA"/>
    <w:rsid w:val="00D145D7"/>
    <w:rsid w:val="00D16518"/>
    <w:rsid w:val="00D34C91"/>
    <w:rsid w:val="00D36273"/>
    <w:rsid w:val="00D407FE"/>
    <w:rsid w:val="00D42206"/>
    <w:rsid w:val="00D44086"/>
    <w:rsid w:val="00D45C44"/>
    <w:rsid w:val="00D47DEF"/>
    <w:rsid w:val="00D52E37"/>
    <w:rsid w:val="00D55BF8"/>
    <w:rsid w:val="00D60C69"/>
    <w:rsid w:val="00D60D70"/>
    <w:rsid w:val="00D6335B"/>
    <w:rsid w:val="00D7676E"/>
    <w:rsid w:val="00D76F9F"/>
    <w:rsid w:val="00D85F7E"/>
    <w:rsid w:val="00D92643"/>
    <w:rsid w:val="00D92C10"/>
    <w:rsid w:val="00DA015B"/>
    <w:rsid w:val="00DA7B64"/>
    <w:rsid w:val="00DB30B4"/>
    <w:rsid w:val="00DB5ABC"/>
    <w:rsid w:val="00DC7E48"/>
    <w:rsid w:val="00DD068A"/>
    <w:rsid w:val="00DD2FF1"/>
    <w:rsid w:val="00DD34D0"/>
    <w:rsid w:val="00DD7222"/>
    <w:rsid w:val="00DE03E6"/>
    <w:rsid w:val="00DE2309"/>
    <w:rsid w:val="00DE44A6"/>
    <w:rsid w:val="00DE50A3"/>
    <w:rsid w:val="00DF0784"/>
    <w:rsid w:val="00DF16B2"/>
    <w:rsid w:val="00DF7CA9"/>
    <w:rsid w:val="00E002B8"/>
    <w:rsid w:val="00E005E9"/>
    <w:rsid w:val="00E02445"/>
    <w:rsid w:val="00E03D16"/>
    <w:rsid w:val="00E04BDF"/>
    <w:rsid w:val="00E06F03"/>
    <w:rsid w:val="00E079CE"/>
    <w:rsid w:val="00E30253"/>
    <w:rsid w:val="00E36665"/>
    <w:rsid w:val="00E404F1"/>
    <w:rsid w:val="00E40FB9"/>
    <w:rsid w:val="00E42302"/>
    <w:rsid w:val="00E4521F"/>
    <w:rsid w:val="00E52A9D"/>
    <w:rsid w:val="00E54966"/>
    <w:rsid w:val="00E549E2"/>
    <w:rsid w:val="00E57452"/>
    <w:rsid w:val="00E736C3"/>
    <w:rsid w:val="00E75F23"/>
    <w:rsid w:val="00E774CE"/>
    <w:rsid w:val="00EA0458"/>
    <w:rsid w:val="00EA1A45"/>
    <w:rsid w:val="00EA7A26"/>
    <w:rsid w:val="00EB0A6F"/>
    <w:rsid w:val="00EB4E53"/>
    <w:rsid w:val="00EC2C23"/>
    <w:rsid w:val="00F0152E"/>
    <w:rsid w:val="00F0430F"/>
    <w:rsid w:val="00F13EE0"/>
    <w:rsid w:val="00F2671A"/>
    <w:rsid w:val="00F34E0A"/>
    <w:rsid w:val="00F37A9A"/>
    <w:rsid w:val="00F37E61"/>
    <w:rsid w:val="00F5447E"/>
    <w:rsid w:val="00F55A3A"/>
    <w:rsid w:val="00F62BB3"/>
    <w:rsid w:val="00F6415F"/>
    <w:rsid w:val="00FA4D4F"/>
    <w:rsid w:val="00FB71FA"/>
    <w:rsid w:val="00FC2729"/>
    <w:rsid w:val="00FC2BF3"/>
    <w:rsid w:val="00FC408F"/>
    <w:rsid w:val="00FD1018"/>
    <w:rsid w:val="00FD4455"/>
    <w:rsid w:val="00FE03CC"/>
    <w:rsid w:val="00FE60D8"/>
    <w:rsid w:val="00FE692E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947D4"/>
  <w15:docId w15:val="{10050352-F78D-49A0-8EB1-23B0C04A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817699"/>
    <w:pPr>
      <w:keepNext/>
      <w:keepLines/>
      <w:numPr>
        <w:numId w:val="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17699"/>
    <w:pPr>
      <w:numPr>
        <w:ilvl w:val="1"/>
        <w:numId w:val="4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817699"/>
    <w:pPr>
      <w:numPr>
        <w:ilvl w:val="2"/>
        <w:numId w:val="4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17699"/>
    <w:pPr>
      <w:numPr>
        <w:ilvl w:val="3"/>
        <w:numId w:val="4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17699"/>
    <w:pPr>
      <w:numPr>
        <w:ilvl w:val="4"/>
        <w:numId w:val="4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17699"/>
    <w:pPr>
      <w:numPr>
        <w:ilvl w:val="5"/>
        <w:numId w:val="4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7699"/>
    <w:pPr>
      <w:numPr>
        <w:ilvl w:val="6"/>
        <w:numId w:val="4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17699"/>
    <w:pPr>
      <w:numPr>
        <w:ilvl w:val="7"/>
        <w:numId w:val="4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699"/>
    <w:pPr>
      <w:numPr>
        <w:ilvl w:val="8"/>
        <w:numId w:val="4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43267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267C"/>
    <w:rPr>
      <w:b/>
      <w:bCs/>
    </w:rPr>
  </w:style>
  <w:style w:type="character" w:customStyle="1" w:styleId="SingleTxtGZchnZchn">
    <w:name w:val="_ Single Txt_G Zchn Zchn"/>
    <w:link w:val="SingleTxtG"/>
    <w:rsid w:val="0043267C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qFormat/>
    <w:rsid w:val="0078642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1G">
    <w:name w:val="_ H_1_G"/>
    <w:basedOn w:val="Normal"/>
    <w:next w:val="Normal"/>
    <w:link w:val="H1GChar"/>
    <w:qFormat/>
    <w:rsid w:val="00DE44A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qFormat/>
    <w:rsid w:val="00DE44A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3C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7B0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4_G,Footnote Reference/,4_GR"/>
    <w:basedOn w:val="DefaultParagraphFont"/>
    <w:qFormat/>
    <w:rsid w:val="00A1159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A1159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A11599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rsid w:val="00A115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23G">
    <w:name w:val="_ H_2/3_G"/>
    <w:basedOn w:val="Normal"/>
    <w:next w:val="Normal"/>
    <w:link w:val="H23GChar"/>
    <w:qFormat/>
    <w:rsid w:val="00A56B4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23GChar">
    <w:name w:val="_ H_2/3_G Char"/>
    <w:link w:val="H23G"/>
    <w:rsid w:val="00A56B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ingleTxtGCar">
    <w:name w:val="_ Single Txt_G Car"/>
    <w:rsid w:val="00AA268B"/>
    <w:rPr>
      <w:lang w:val="en-GB" w:eastAsia="en-US" w:bidi="ar-SA"/>
    </w:rPr>
  </w:style>
  <w:style w:type="paragraph" w:styleId="Footer">
    <w:name w:val="footer"/>
    <w:aliases w:val="3_G"/>
    <w:basedOn w:val="Normal"/>
    <w:link w:val="FooterChar"/>
    <w:uiPriority w:val="99"/>
    <w:qFormat/>
    <w:rsid w:val="00432B67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32B6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uiPriority w:val="99"/>
    <w:qFormat/>
    <w:rsid w:val="00432B67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32B67"/>
    <w:rPr>
      <w:rFonts w:ascii="Times New Roman" w:eastAsia="Times New Roman" w:hAnsi="Times New Roman" w:cs="Times New Roman"/>
      <w:b/>
      <w:sz w:val="18"/>
      <w:szCs w:val="20"/>
    </w:rPr>
  </w:style>
  <w:style w:type="table" w:customStyle="1" w:styleId="Tabellenraster2">
    <w:name w:val="Tabellenraster2"/>
    <w:basedOn w:val="TableNormal"/>
    <w:next w:val="TableGrid"/>
    <w:rsid w:val="00F6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E06F0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ingleTxtGChar">
    <w:name w:val="_ Single Txt_G Char"/>
    <w:qFormat/>
    <w:rsid w:val="00E06F03"/>
    <w:rPr>
      <w:lang w:eastAsia="en-US"/>
    </w:rPr>
  </w:style>
  <w:style w:type="character" w:customStyle="1" w:styleId="HChGChar">
    <w:name w:val="_ H _Ch_G Char"/>
    <w:link w:val="HChG"/>
    <w:qFormat/>
    <w:rsid w:val="00E06F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ingleTxt">
    <w:name w:val="__Single Txt"/>
    <w:basedOn w:val="Normal"/>
    <w:rsid w:val="00A400B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17699"/>
    <w:rPr>
      <w:rFonts w:ascii="Times New Roman" w:eastAsia="Times New Roman" w:hAnsi="Times New Roman" w:cs="Times New Roman"/>
      <w:sz w:val="20"/>
      <w:szCs w:val="20"/>
    </w:rPr>
  </w:style>
  <w:style w:type="paragraph" w:customStyle="1" w:styleId="H4G">
    <w:name w:val="_ H_4_G"/>
    <w:basedOn w:val="Normal"/>
    <w:next w:val="Normal"/>
    <w:qFormat/>
    <w:rsid w:val="0081769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qFormat/>
    <w:rsid w:val="0081769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817699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817699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817699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817699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qFormat/>
    <w:rsid w:val="00817699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qFormat/>
    <w:rsid w:val="00817699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qFormat/>
    <w:rsid w:val="00817699"/>
    <w:rPr>
      <w:rFonts w:ascii="Times New Roman" w:hAnsi="Times New Roman"/>
      <w:sz w:val="18"/>
      <w:vertAlign w:val="superscript"/>
      <w:lang w:val="fr-CH"/>
    </w:rPr>
  </w:style>
  <w:style w:type="character" w:styleId="Hyperlink">
    <w:name w:val="Hyperlink"/>
    <w:basedOn w:val="DefaultParagraphFont"/>
    <w:uiPriority w:val="99"/>
    <w:rsid w:val="00817699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817699"/>
    <w:rPr>
      <w:color w:val="0000FF"/>
      <w:u w:val="none"/>
    </w:rPr>
  </w:style>
  <w:style w:type="paragraph" w:styleId="EndnoteText">
    <w:name w:val="endnote text"/>
    <w:aliases w:val="2_G"/>
    <w:basedOn w:val="FootnoteText"/>
    <w:link w:val="EndnoteTextChar"/>
    <w:qFormat/>
    <w:rsid w:val="00817699"/>
  </w:style>
  <w:style w:type="character" w:customStyle="1" w:styleId="EndnoteTextChar">
    <w:name w:val="Endnote Text Char"/>
    <w:aliases w:val="2_G Char"/>
    <w:basedOn w:val="DefaultParagraphFont"/>
    <w:link w:val="EndnoteText"/>
    <w:rsid w:val="00817699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aliases w:val="7_G"/>
    <w:basedOn w:val="DefaultParagraphFont"/>
    <w:qFormat/>
    <w:rsid w:val="00817699"/>
    <w:rPr>
      <w:rFonts w:ascii="Times New Roman" w:hAnsi="Times New Roman"/>
      <w:b/>
      <w:sz w:val="18"/>
      <w:lang w:val="fr-CH"/>
    </w:rPr>
  </w:style>
  <w:style w:type="paragraph" w:customStyle="1" w:styleId="ParNoG">
    <w:name w:val="_ParNo_G"/>
    <w:basedOn w:val="SingleTxtG"/>
    <w:qFormat/>
    <w:rsid w:val="00817699"/>
    <w:pPr>
      <w:numPr>
        <w:numId w:val="3"/>
      </w:numPr>
      <w:suppressAutoHyphens w:val="0"/>
    </w:pPr>
  </w:style>
  <w:style w:type="paragraph" w:styleId="PlainText">
    <w:name w:val="Plain Text"/>
    <w:basedOn w:val="Normal"/>
    <w:link w:val="PlainTextChar"/>
    <w:rsid w:val="00817699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17699"/>
    <w:rPr>
      <w:rFonts w:ascii="Times New Roman" w:eastAsia="Times New Roman" w:hAnsi="Times New Roman" w:cs="Courier New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817699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17699"/>
    <w:rPr>
      <w:sz w:val="6"/>
    </w:rPr>
  </w:style>
  <w:style w:type="paragraph" w:styleId="CommentText">
    <w:name w:val="annotation text"/>
    <w:basedOn w:val="Normal"/>
    <w:link w:val="CommentTextChar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7699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rsid w:val="00817699"/>
    <w:rPr>
      <w:sz w:val="14"/>
    </w:rPr>
  </w:style>
  <w:style w:type="numbering" w:styleId="111111">
    <w:name w:val="Outline List 2"/>
    <w:basedOn w:val="NoList"/>
    <w:semiHidden/>
    <w:rsid w:val="00817699"/>
    <w:pPr>
      <w:numPr>
        <w:numId w:val="5"/>
      </w:numPr>
    </w:pPr>
  </w:style>
  <w:style w:type="numbering" w:styleId="1ai">
    <w:name w:val="Outline List 1"/>
    <w:basedOn w:val="NoList"/>
    <w:semiHidden/>
    <w:rsid w:val="00817699"/>
    <w:pPr>
      <w:numPr>
        <w:numId w:val="6"/>
      </w:numPr>
    </w:pPr>
  </w:style>
  <w:style w:type="numbering" w:styleId="ArticleSection">
    <w:name w:val="Outline List 3"/>
    <w:basedOn w:val="NoList"/>
    <w:semiHidden/>
    <w:rsid w:val="00817699"/>
    <w:pPr>
      <w:numPr>
        <w:numId w:val="7"/>
      </w:numPr>
    </w:pPr>
  </w:style>
  <w:style w:type="paragraph" w:styleId="BodyText2">
    <w:name w:val="Body Text 2"/>
    <w:basedOn w:val="Normal"/>
    <w:link w:val="BodyText2Char"/>
    <w:rsid w:val="0081769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17699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1769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1769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8176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176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7699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817699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817699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817699"/>
    <w:rPr>
      <w:i/>
      <w:iCs/>
    </w:rPr>
  </w:style>
  <w:style w:type="paragraph" w:styleId="EnvelopeReturn">
    <w:name w:val="envelope return"/>
    <w:basedOn w:val="Normal"/>
    <w:rsid w:val="00817699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basedOn w:val="DefaultParagraphFont"/>
    <w:rsid w:val="00817699"/>
  </w:style>
  <w:style w:type="paragraph" w:styleId="HTMLAddress">
    <w:name w:val="HTML Address"/>
    <w:basedOn w:val="Normal"/>
    <w:link w:val="HTMLAddress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817699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Cite">
    <w:name w:val="HTML Cite"/>
    <w:basedOn w:val="DefaultParagraphFont"/>
    <w:rsid w:val="00817699"/>
    <w:rPr>
      <w:i/>
      <w:iCs/>
    </w:rPr>
  </w:style>
  <w:style w:type="character" w:styleId="HTMLCode">
    <w:name w:val="HTML Code"/>
    <w:basedOn w:val="DefaultParagraphFont"/>
    <w:rsid w:val="008176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17699"/>
    <w:rPr>
      <w:i/>
      <w:iCs/>
    </w:rPr>
  </w:style>
  <w:style w:type="character" w:styleId="HTMLKeyboard">
    <w:name w:val="HTML Keyboard"/>
    <w:basedOn w:val="DefaultParagraphFont"/>
    <w:rsid w:val="008176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17699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7699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rsid w:val="008176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176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17699"/>
    <w:rPr>
      <w:i/>
      <w:iCs/>
    </w:rPr>
  </w:style>
  <w:style w:type="paragraph" w:styleId="List">
    <w:name w:val="List"/>
    <w:basedOn w:val="Normal"/>
    <w:uiPriority w:val="99"/>
    <w:qFormat/>
    <w:rsid w:val="00817699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817699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rsid w:val="00817699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rsid w:val="00817699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817699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qFormat/>
    <w:rsid w:val="00817699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rsid w:val="00817699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rsid w:val="00817699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817699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817699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817699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817699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817699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817699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uiPriority w:val="99"/>
    <w:rsid w:val="00817699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817699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817699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817699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817699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8176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1769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817699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817699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17699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17699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17699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76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rsid w:val="00817699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paragraph" w:customStyle="1" w:styleId="p1">
    <w:name w:val="p1"/>
    <w:basedOn w:val="Normal"/>
    <w:rsid w:val="00817699"/>
    <w:pPr>
      <w:spacing w:after="0" w:line="240" w:lineRule="auto"/>
    </w:pPr>
    <w:rPr>
      <w:rFonts w:ascii="Times New Roman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817699"/>
  </w:style>
  <w:style w:type="paragraph" w:styleId="CommentSubject">
    <w:name w:val="annotation subject"/>
    <w:basedOn w:val="CommentText"/>
    <w:next w:val="CommentText"/>
    <w:link w:val="CommentSubjectChar"/>
    <w:unhideWhenUsed/>
    <w:rsid w:val="0081769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76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699"/>
    <w:pPr>
      <w:suppressAutoHyphens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176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176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ParaNoG">
    <w:name w:val="_ParaNo._G"/>
    <w:basedOn w:val="SingleTxtG"/>
    <w:rsid w:val="00817699"/>
  </w:style>
  <w:style w:type="paragraph" w:customStyle="1" w:styleId="Default">
    <w:name w:val="Default"/>
    <w:rsid w:val="00817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">
    <w:name w:val="Style1"/>
    <w:basedOn w:val="Normal"/>
    <w:rsid w:val="00817699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NumDocPara">
    <w:name w:val="Num©Doc Para"/>
    <w:basedOn w:val="Normal"/>
    <w:rsid w:val="00817699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Num-DocParagraph">
    <w:name w:val="Num-Doc Paragraph"/>
    <w:basedOn w:val="BodyText"/>
    <w:rsid w:val="00817699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  <w:lang w:val="en-US"/>
    </w:rPr>
  </w:style>
  <w:style w:type="paragraph" w:customStyle="1" w:styleId="a">
    <w:name w:val="Абзац списка"/>
    <w:basedOn w:val="Normal"/>
    <w:rsid w:val="0081769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refresult">
    <w:name w:val="ref_result"/>
    <w:basedOn w:val="DefaultParagraphFont"/>
    <w:rsid w:val="00817699"/>
  </w:style>
  <w:style w:type="paragraph" w:customStyle="1" w:styleId="Points">
    <w:name w:val="Points"/>
    <w:basedOn w:val="BodyText"/>
    <w:rsid w:val="00817699"/>
    <w:pPr>
      <w:numPr>
        <w:numId w:val="8"/>
      </w:numPr>
      <w:tabs>
        <w:tab w:val="clear" w:pos="570"/>
      </w:tabs>
      <w:suppressAutoHyphens w:val="0"/>
      <w:spacing w:line="280" w:lineRule="atLeast"/>
      <w:ind w:left="0" w:firstLine="567"/>
      <w:jc w:val="both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817699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Tablecaption">
    <w:name w:val="Table caption"/>
    <w:basedOn w:val="BodyText"/>
    <w:rsid w:val="00817699"/>
    <w:pPr>
      <w:suppressAutoHyphens w:val="0"/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817699"/>
    <w:pPr>
      <w:suppressAutoHyphens w:val="0"/>
      <w:spacing w:before="120" w:after="120" w:line="280" w:lineRule="atLeast"/>
      <w:ind w:left="567" w:right="522" w:firstLine="567"/>
      <w:jc w:val="both"/>
    </w:pPr>
    <w:rPr>
      <w:rFonts w:ascii="Arial" w:eastAsia="Calibri" w:hAnsi="Arial" w:cs="Arial"/>
      <w:lang w:val="en-AU" w:eastAsia="en-AU"/>
    </w:rPr>
  </w:style>
  <w:style w:type="character" w:customStyle="1" w:styleId="QuoteChar">
    <w:name w:val="Quote Char"/>
    <w:basedOn w:val="DefaultParagraphFont"/>
    <w:link w:val="Quote"/>
    <w:rsid w:val="0081769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DocList">
    <w:name w:val="DocList"/>
    <w:basedOn w:val="SingleTxtG"/>
    <w:rsid w:val="00817699"/>
    <w:pPr>
      <w:spacing w:after="240"/>
      <w:ind w:left="3701" w:right="1138" w:hanging="2002"/>
      <w:jc w:val="left"/>
    </w:pPr>
    <w:rPr>
      <w:i/>
      <w:lang w:val="en-US"/>
    </w:rPr>
  </w:style>
  <w:style w:type="paragraph" w:customStyle="1" w:styleId="Body1">
    <w:name w:val="Body 1"/>
    <w:rsid w:val="00817699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table" w:customStyle="1" w:styleId="Tabellenraster1">
    <w:name w:val="Tabellenraster1"/>
    <w:basedOn w:val="TableNormal"/>
    <w:next w:val="TableGrid"/>
    <w:uiPriority w:val="59"/>
    <w:rsid w:val="00817699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817699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817699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17699"/>
    <w:pPr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430F"/>
    <w:rPr>
      <w:color w:val="808080"/>
      <w:shd w:val="clear" w:color="auto" w:fill="E6E6E6"/>
    </w:rPr>
  </w:style>
  <w:style w:type="numbering" w:customStyle="1" w:styleId="Listformatpunktlista">
    <w:name w:val="Listformat punktlista"/>
    <w:uiPriority w:val="99"/>
    <w:rsid w:val="00F0430F"/>
    <w:pPr>
      <w:numPr>
        <w:numId w:val="9"/>
      </w:numPr>
    </w:pPr>
  </w:style>
  <w:style w:type="paragraph" w:customStyle="1" w:styleId="Normalefterlista">
    <w:name w:val="Normal efter lista"/>
    <w:next w:val="Normal"/>
    <w:semiHidden/>
    <w:rsid w:val="00F0430F"/>
    <w:pPr>
      <w:spacing w:before="120" w:after="160" w:line="259" w:lineRule="auto"/>
      <w:ind w:left="360" w:hanging="360"/>
    </w:pPr>
    <w:rPr>
      <w:sz w:val="23"/>
      <w:szCs w:val="23"/>
      <w:lang w:val="sv-SE"/>
    </w:rPr>
  </w:style>
  <w:style w:type="numbering" w:customStyle="1" w:styleId="Listformatnumreradlista">
    <w:name w:val="Listformat numreradlista"/>
    <w:uiPriority w:val="99"/>
    <w:rsid w:val="00F0430F"/>
    <w:pPr>
      <w:numPr>
        <w:numId w:val="10"/>
      </w:numPr>
    </w:pPr>
  </w:style>
  <w:style w:type="paragraph" w:customStyle="1" w:styleId="Dokumentinfo">
    <w:name w:val="Dokument info"/>
    <w:next w:val="Normal"/>
    <w:uiPriority w:val="99"/>
    <w:semiHidden/>
    <w:rsid w:val="00F0430F"/>
    <w:pPr>
      <w:spacing w:after="0" w:line="259" w:lineRule="auto"/>
    </w:pPr>
    <w:rPr>
      <w:rFonts w:asciiTheme="majorHAnsi" w:hAnsiTheme="majorHAnsi"/>
      <w:sz w:val="18"/>
      <w:szCs w:val="23"/>
      <w:lang w:val="sv-SE"/>
    </w:rPr>
  </w:style>
  <w:style w:type="paragraph" w:customStyle="1" w:styleId="Erref">
    <w:name w:val="Er ref"/>
    <w:basedOn w:val="Date"/>
    <w:next w:val="Normal"/>
    <w:semiHidden/>
    <w:rsid w:val="00F0430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F0430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Sidfotsrubrik">
    <w:name w:val="Sidfotsrubrik"/>
    <w:basedOn w:val="Footer"/>
    <w:next w:val="Footer"/>
    <w:semiHidden/>
    <w:rsid w:val="00F0430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F0430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F0430F"/>
  </w:style>
  <w:style w:type="paragraph" w:customStyle="1" w:styleId="Dokumentrubrik">
    <w:name w:val="Dokument rubrik"/>
    <w:basedOn w:val="Normal"/>
    <w:uiPriority w:val="99"/>
    <w:semiHidden/>
    <w:rsid w:val="00F0430F"/>
    <w:pPr>
      <w:spacing w:after="0" w:line="259" w:lineRule="auto"/>
    </w:pPr>
    <w:rPr>
      <w:rFonts w:asciiTheme="majorHAnsi" w:hAnsiTheme="majorHAns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F0430F"/>
    <w:pPr>
      <w:spacing w:after="160" w:line="259" w:lineRule="auto"/>
    </w:pPr>
    <w:rPr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ont0">
    <w:name w:val="font0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font5">
    <w:name w:val="font5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sv-SE" w:eastAsia="sv-SE"/>
    </w:rPr>
  </w:style>
  <w:style w:type="paragraph" w:customStyle="1" w:styleId="xl73">
    <w:name w:val="xl73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4">
    <w:name w:val="xl74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5">
    <w:name w:val="xl7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6">
    <w:name w:val="xl7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7">
    <w:name w:val="xl7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8">
    <w:name w:val="xl78"/>
    <w:basedOn w:val="Normal"/>
    <w:rsid w:val="00F043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79">
    <w:name w:val="xl79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0">
    <w:name w:val="xl80"/>
    <w:basedOn w:val="Normal"/>
    <w:rsid w:val="00F0430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1">
    <w:name w:val="xl81"/>
    <w:basedOn w:val="Normal"/>
    <w:rsid w:val="00F0430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2">
    <w:name w:val="xl82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3">
    <w:name w:val="xl83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4">
    <w:name w:val="xl8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5">
    <w:name w:val="xl8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6">
    <w:name w:val="xl8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7">
    <w:name w:val="xl8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8">
    <w:name w:val="xl8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9">
    <w:name w:val="xl8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0">
    <w:name w:val="xl90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1">
    <w:name w:val="xl91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2">
    <w:name w:val="xl92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3">
    <w:name w:val="xl9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4">
    <w:name w:val="xl9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5">
    <w:name w:val="xl95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6">
    <w:name w:val="xl9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7">
    <w:name w:val="xl9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8">
    <w:name w:val="xl98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9">
    <w:name w:val="xl99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0">
    <w:name w:val="xl100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1">
    <w:name w:val="xl10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2">
    <w:name w:val="xl102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3">
    <w:name w:val="xl103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4">
    <w:name w:val="xl104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5">
    <w:name w:val="xl10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6">
    <w:name w:val="xl106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7">
    <w:name w:val="xl107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8">
    <w:name w:val="xl10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9">
    <w:name w:val="xl10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0">
    <w:name w:val="xl110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1">
    <w:name w:val="xl11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2">
    <w:name w:val="xl11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3">
    <w:name w:val="xl11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4">
    <w:name w:val="xl11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5">
    <w:name w:val="xl11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6">
    <w:name w:val="xl116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7">
    <w:name w:val="xl117"/>
    <w:basedOn w:val="Normal"/>
    <w:rsid w:val="00F04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8">
    <w:name w:val="xl118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9">
    <w:name w:val="xl119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0">
    <w:name w:val="xl120"/>
    <w:basedOn w:val="Normal"/>
    <w:rsid w:val="00F043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1">
    <w:name w:val="xl121"/>
    <w:basedOn w:val="Normal"/>
    <w:rsid w:val="00F04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2">
    <w:name w:val="xl12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3">
    <w:name w:val="xl12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4">
    <w:name w:val="xl124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5">
    <w:name w:val="xl12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7">
    <w:name w:val="xl12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28">
    <w:name w:val="xl12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0">
    <w:name w:val="xl130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1">
    <w:name w:val="xl13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3">
    <w:name w:val="xl133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4">
    <w:name w:val="xl134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5">
    <w:name w:val="xl135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6">
    <w:name w:val="xl136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7">
    <w:name w:val="xl137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8">
    <w:name w:val="xl13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9">
    <w:name w:val="xl13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F043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41">
    <w:name w:val="xl141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2">
    <w:name w:val="xl14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43">
    <w:name w:val="xl14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4">
    <w:name w:val="xl14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5">
    <w:name w:val="xl14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6">
    <w:name w:val="xl14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7">
    <w:name w:val="xl14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8">
    <w:name w:val="xl14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9">
    <w:name w:val="xl14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50">
    <w:name w:val="xl150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1">
    <w:name w:val="xl71"/>
    <w:basedOn w:val="Normal"/>
    <w:rsid w:val="00F04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  <w:jc w:val="center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F0430F"/>
    <w:pPr>
      <w:widowControl w:val="0"/>
      <w:autoSpaceDE w:val="0"/>
      <w:autoSpaceDN w:val="0"/>
      <w:adjustRightInd w:val="0"/>
      <w:spacing w:after="0" w:line="20" w:lineRule="exact"/>
      <w:jc w:val="both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EE4EC-FA73-4A0A-9050-3838A64E9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63505-D52D-4A92-89A3-518323F5B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590CA-C0F2-4764-A2AF-F44B8B37B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04398F-C1C7-4C93-A9C1-39475CC22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6785</Words>
  <Characters>38677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ECE-ADN-36-Add.1</dc:creator>
  <cp:lastModifiedBy>Nadiya Dzyubynska</cp:lastModifiedBy>
  <cp:revision>11</cp:revision>
  <cp:lastPrinted>2019-11-18T13:10:00Z</cp:lastPrinted>
  <dcterms:created xsi:type="dcterms:W3CDTF">2022-01-23T22:15:00Z</dcterms:created>
  <dcterms:modified xsi:type="dcterms:W3CDTF">2022-01-23T22:28:00Z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