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0BA7" w14:textId="42912F08" w:rsidR="00CE0DD3" w:rsidRDefault="00CE0DD3" w:rsidP="00951AE1">
      <w:pPr>
        <w:pStyle w:val="Default"/>
        <w:rPr>
          <w:lang w:eastAsia="ja-JP"/>
        </w:rPr>
      </w:pPr>
    </w:p>
    <w:p w14:paraId="4EFF900F" w14:textId="77777777" w:rsidR="00EE439B" w:rsidRPr="00CE0DD3" w:rsidRDefault="00EE439B" w:rsidP="00EE439B">
      <w:pPr>
        <w:pStyle w:val="Default"/>
        <w:ind w:right="826"/>
        <w:jc w:val="center"/>
        <w:rPr>
          <w:b/>
          <w:bCs/>
          <w:sz w:val="36"/>
          <w:szCs w:val="36"/>
          <w:lang w:val="en-GB"/>
        </w:rPr>
      </w:pPr>
      <w:r w:rsidRPr="00F32B6F">
        <w:rPr>
          <w:b/>
          <w:bCs/>
          <w:sz w:val="32"/>
          <w:szCs w:val="32"/>
          <w:lang w:val="en-US"/>
        </w:rPr>
        <w:t xml:space="preserve">Proposal for a new supplement to the 05, 06 and 07 </w:t>
      </w:r>
      <w:r>
        <w:rPr>
          <w:b/>
          <w:bCs/>
          <w:sz w:val="32"/>
          <w:szCs w:val="32"/>
          <w:lang w:val="en-US"/>
        </w:rPr>
        <w:t>S</w:t>
      </w:r>
      <w:r w:rsidRPr="00F32B6F">
        <w:rPr>
          <w:b/>
          <w:bCs/>
          <w:sz w:val="32"/>
          <w:szCs w:val="32"/>
          <w:lang w:val="en-US"/>
        </w:rPr>
        <w:t>eries of Amendments to UN Regulation No. 83</w:t>
      </w:r>
    </w:p>
    <w:p w14:paraId="4B530775" w14:textId="77777777" w:rsidR="00CE0DD3" w:rsidRDefault="00CE0DD3" w:rsidP="00951AE1">
      <w:pPr>
        <w:pStyle w:val="Default"/>
        <w:rPr>
          <w:b/>
          <w:bCs/>
          <w:sz w:val="22"/>
          <w:szCs w:val="22"/>
          <w:lang w:val="en-US"/>
        </w:rPr>
      </w:pPr>
    </w:p>
    <w:p w14:paraId="4B51E780" w14:textId="77777777" w:rsidR="00911A23" w:rsidRPr="00D7097E" w:rsidRDefault="00911A23" w:rsidP="00951AE1">
      <w:pPr>
        <w:pStyle w:val="Default"/>
        <w:rPr>
          <w:sz w:val="20"/>
          <w:szCs w:val="20"/>
          <w:lang w:val="en-US"/>
        </w:rPr>
      </w:pPr>
    </w:p>
    <w:p w14:paraId="202AE4BB" w14:textId="77777777" w:rsidR="00CA1F03" w:rsidRPr="005E5AF6" w:rsidRDefault="00CE0DD3" w:rsidP="005E5AF6">
      <w:pPr>
        <w:pStyle w:val="Default"/>
        <w:rPr>
          <w:bCs/>
          <w:sz w:val="20"/>
          <w:szCs w:val="20"/>
          <w:lang w:val="en-US"/>
        </w:rPr>
      </w:pPr>
      <w:r w:rsidRPr="005E5AF6">
        <w:rPr>
          <w:sz w:val="20"/>
          <w:szCs w:val="20"/>
          <w:lang w:val="en-US"/>
        </w:rPr>
        <w:t xml:space="preserve">This document </w:t>
      </w:r>
      <w:r w:rsidRPr="005E5AF6">
        <w:rPr>
          <w:bCs/>
          <w:sz w:val="20"/>
          <w:szCs w:val="20"/>
          <w:lang w:val="en-US"/>
        </w:rPr>
        <w:t xml:space="preserve">aims </w:t>
      </w:r>
      <w:r w:rsidR="00CA1F03" w:rsidRPr="005E5AF6">
        <w:rPr>
          <w:bCs/>
          <w:sz w:val="20"/>
          <w:szCs w:val="20"/>
          <w:lang w:val="en-US"/>
        </w:rPr>
        <w:t>to:</w:t>
      </w:r>
    </w:p>
    <w:p w14:paraId="28959B7F" w14:textId="323043CB" w:rsidR="00061C71" w:rsidRPr="005E5AF6" w:rsidRDefault="00061C71" w:rsidP="005E5AF6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E5AF6">
        <w:rPr>
          <w:rFonts w:ascii="Times New Roman" w:hAnsi="Times New Roman" w:cs="Times New Roman"/>
          <w:sz w:val="20"/>
          <w:szCs w:val="20"/>
        </w:rPr>
        <w:t xml:space="preserve">Equipment conforming to </w:t>
      </w:r>
      <w:r w:rsidR="00667A31">
        <w:rPr>
          <w:rFonts w:ascii="Times New Roman" w:hAnsi="Times New Roman" w:cs="Times New Roman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sz w:val="20"/>
          <w:szCs w:val="20"/>
        </w:rPr>
        <w:t xml:space="preserve"> may be used for UNR83 / 101 test.</w:t>
      </w:r>
    </w:p>
    <w:tbl>
      <w:tblPr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779"/>
        <w:gridCol w:w="1661"/>
        <w:gridCol w:w="1703"/>
      </w:tblGrid>
      <w:tr w:rsidR="00321F0F" w:rsidRPr="00097129" w14:paraId="4F147DF6" w14:textId="77777777" w:rsidTr="00CE686F">
        <w:trPr>
          <w:trHeight w:val="241"/>
        </w:trPr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631D" w14:textId="77777777" w:rsidR="00321F0F" w:rsidRPr="00321F0F" w:rsidRDefault="00321F0F" w:rsidP="00321F0F">
            <w:pPr>
              <w:widowControl/>
              <w:autoSpaceDE/>
              <w:autoSpaceDN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01BD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Equipment Requirement</w:t>
            </w:r>
          </w:p>
        </w:tc>
      </w:tr>
      <w:tr w:rsidR="00321F0F" w:rsidRPr="00097129" w14:paraId="0FD500EB" w14:textId="77777777" w:rsidTr="00CE686F">
        <w:trPr>
          <w:trHeight w:val="247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916" w14:textId="77777777" w:rsidR="00321F0F" w:rsidRPr="00097129" w:rsidRDefault="00321F0F" w:rsidP="00CE686F">
            <w:pPr>
              <w:widowControl/>
              <w:autoSpaceDE/>
              <w:autoSpaceDN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4F36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common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ABE0" w14:textId="686D0697" w:rsidR="00321F0F" w:rsidRPr="00097129" w:rsidRDefault="00667A31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UN Regulation No. 154</w:t>
            </w:r>
            <w:r w:rsidR="00321F0F"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 xml:space="preserve"> unique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815F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UNR83 unique</w:t>
            </w:r>
          </w:p>
        </w:tc>
      </w:tr>
      <w:tr w:rsidR="00321F0F" w:rsidRPr="00097129" w14:paraId="363D792C" w14:textId="77777777" w:rsidTr="00CE686F">
        <w:trPr>
          <w:trHeight w:val="241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DDF5" w14:textId="335C0D34" w:rsidR="00321F0F" w:rsidRPr="00097129" w:rsidRDefault="00667A31" w:rsidP="00CE686F">
            <w:pPr>
              <w:widowControl/>
              <w:autoSpaceDE/>
              <w:autoSpaceDN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UN Regulation No. 154</w:t>
            </w:r>
            <w:r w:rsidR="00321F0F"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 xml:space="preserve"> Tests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EBF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0136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36B3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321F0F" w:rsidRPr="00097129" w14:paraId="2577A814" w14:textId="77777777" w:rsidTr="00CE686F">
        <w:trPr>
          <w:trHeight w:val="241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6878" w14:textId="77777777" w:rsidR="00321F0F" w:rsidRPr="00097129" w:rsidRDefault="00321F0F" w:rsidP="00CE686F">
            <w:pPr>
              <w:widowControl/>
              <w:autoSpaceDE/>
              <w:autoSpaceDN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UNR83 Tests(current)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BB7B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2923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FA2F" w14:textId="77777777" w:rsidR="00321F0F" w:rsidRPr="00097129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097129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</w:tr>
      <w:tr w:rsidR="00321F0F" w:rsidRPr="00097129" w14:paraId="23BECE0E" w14:textId="77777777" w:rsidTr="00CE686F">
        <w:trPr>
          <w:trHeight w:val="247"/>
        </w:trPr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DA48" w14:textId="77777777" w:rsidR="00321F0F" w:rsidRPr="00692505" w:rsidRDefault="00321F0F" w:rsidP="00CE686F">
            <w:pPr>
              <w:widowControl/>
              <w:autoSpaceDE/>
              <w:autoSpaceDN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692505"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  <w:t>UNR83 Tests(OICA Proposal)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063F" w14:textId="77777777" w:rsidR="00321F0F" w:rsidRPr="00692505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692505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9619" w14:textId="77777777" w:rsidR="00321F0F" w:rsidRPr="00692505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692505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168D" w14:textId="77777777" w:rsidR="00321F0F" w:rsidRPr="00692505" w:rsidRDefault="00321F0F" w:rsidP="00CE686F">
            <w:pPr>
              <w:widowControl/>
              <w:autoSpaceDE/>
              <w:autoSpaceDN/>
              <w:jc w:val="center"/>
              <w:rPr>
                <w:rFonts w:ascii="Times New Roman" w:eastAsia="Yu Gothic" w:hAnsi="Times New Roman" w:cs="Times New Roman"/>
                <w:sz w:val="20"/>
                <w:szCs w:val="20"/>
                <w:lang w:eastAsia="ja-JP"/>
              </w:rPr>
            </w:pPr>
            <w:r w:rsidRPr="00692505">
              <w:rPr>
                <w:rFonts w:ascii="Segoe UI Symbol" w:eastAsia="Yu Gothic" w:hAnsi="Segoe UI Symbol" w:cs="Segoe UI Symbol"/>
                <w:sz w:val="20"/>
                <w:szCs w:val="20"/>
                <w:lang w:eastAsia="ja-JP"/>
              </w:rPr>
              <w:t>✓</w:t>
            </w:r>
          </w:p>
        </w:tc>
      </w:tr>
    </w:tbl>
    <w:p w14:paraId="69F3B6B7" w14:textId="7A4D89BA" w:rsidR="00321F0F" w:rsidRDefault="00321F0F" w:rsidP="00321F0F">
      <w:pPr>
        <w:pStyle w:val="PlainText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097129">
        <w:rPr>
          <w:rFonts w:ascii="Times New Roman" w:hAnsi="Times New Roman" w:cs="Times New Roman"/>
          <w:sz w:val="20"/>
          <w:szCs w:val="20"/>
        </w:rPr>
        <w:t xml:space="preserve">UNR83 unique can be evolved and replaced with </w:t>
      </w:r>
      <w:r w:rsidR="00667A31">
        <w:rPr>
          <w:rFonts w:ascii="Times New Roman" w:hAnsi="Times New Roman" w:cs="Times New Roman"/>
          <w:sz w:val="20"/>
          <w:szCs w:val="20"/>
        </w:rPr>
        <w:t>UN Regulation No. 154</w:t>
      </w:r>
      <w:r w:rsidRPr="00097129">
        <w:rPr>
          <w:rFonts w:ascii="Times New Roman" w:hAnsi="Times New Roman" w:cs="Times New Roman"/>
          <w:sz w:val="20"/>
          <w:szCs w:val="20"/>
        </w:rPr>
        <w:t xml:space="preserve"> unique</w:t>
      </w:r>
    </w:p>
    <w:p w14:paraId="0E7B2E82" w14:textId="77777777" w:rsidR="00061C71" w:rsidRPr="00321F0F" w:rsidRDefault="00061C71" w:rsidP="005E5AF6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26B3DCC3" w14:textId="77777777" w:rsidR="0081205A" w:rsidRPr="005E5AF6" w:rsidRDefault="00911A23" w:rsidP="005E5AF6">
      <w:pPr>
        <w:pStyle w:val="Default"/>
        <w:ind w:right="543"/>
        <w:rPr>
          <w:b/>
          <w:bCs/>
          <w:sz w:val="20"/>
          <w:szCs w:val="20"/>
          <w:lang w:val="en-US"/>
        </w:rPr>
      </w:pPr>
      <w:r w:rsidRPr="005E5AF6">
        <w:rPr>
          <w:sz w:val="20"/>
          <w:szCs w:val="20"/>
          <w:lang w:val="en-US"/>
        </w:rPr>
        <w:t>The modifications to the current text of the Regulation are marked in bold for new or strikethrough for deleted characters.</w:t>
      </w:r>
      <w:r w:rsidR="00AF473D" w:rsidRPr="005E5AF6">
        <w:rPr>
          <w:sz w:val="20"/>
          <w:szCs w:val="20"/>
          <w:lang w:val="en-US"/>
        </w:rPr>
        <w:t xml:space="preserve"> </w:t>
      </w:r>
    </w:p>
    <w:p w14:paraId="5D28ECC5" w14:textId="77777777" w:rsidR="00CE0DD3" w:rsidRDefault="00CE0DD3" w:rsidP="00951AE1">
      <w:pPr>
        <w:pStyle w:val="Default"/>
        <w:rPr>
          <w:b/>
          <w:bCs/>
          <w:sz w:val="28"/>
          <w:szCs w:val="28"/>
          <w:lang w:val="en-US"/>
        </w:rPr>
      </w:pPr>
    </w:p>
    <w:p w14:paraId="061029CC" w14:textId="5AB28D6B" w:rsidR="00795364" w:rsidRPr="00795364" w:rsidRDefault="00951AE1" w:rsidP="005E5AF6">
      <w:pPr>
        <w:pStyle w:val="Default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 w:rsidRPr="00951AE1">
        <w:rPr>
          <w:b/>
          <w:bCs/>
          <w:sz w:val="28"/>
          <w:szCs w:val="28"/>
          <w:lang w:val="en-US"/>
        </w:rPr>
        <w:t xml:space="preserve">Proposal </w:t>
      </w:r>
      <w:r w:rsidR="00795364">
        <w:rPr>
          <w:b/>
          <w:bCs/>
          <w:sz w:val="28"/>
          <w:szCs w:val="28"/>
          <w:lang w:val="en-US"/>
        </w:rPr>
        <w:t xml:space="preserve">for </w:t>
      </w:r>
      <w:r w:rsidR="00795364" w:rsidRPr="00795364">
        <w:rPr>
          <w:b/>
          <w:bCs/>
          <w:sz w:val="28"/>
          <w:szCs w:val="28"/>
          <w:lang w:val="en-GB"/>
        </w:rPr>
        <w:t>Regulation No. 83</w:t>
      </w:r>
    </w:p>
    <w:p w14:paraId="35201DA0" w14:textId="77777777" w:rsidR="00795364" w:rsidRPr="00795364" w:rsidRDefault="00795364" w:rsidP="00795364">
      <w:pPr>
        <w:pStyle w:val="Default"/>
        <w:ind w:left="360"/>
        <w:rPr>
          <w:b/>
          <w:bCs/>
          <w:sz w:val="28"/>
          <w:szCs w:val="28"/>
          <w:lang w:val="en-US"/>
        </w:rPr>
      </w:pPr>
    </w:p>
    <w:p w14:paraId="2C1D448A" w14:textId="5832666F" w:rsidR="001818BF" w:rsidRPr="005E5AF6" w:rsidRDefault="005E5AF6" w:rsidP="005E5AF6">
      <w:pPr>
        <w:pStyle w:val="SingleTxtG"/>
        <w:rPr>
          <w:lang w:val="en-US"/>
        </w:rPr>
      </w:pPr>
      <w:r>
        <w:rPr>
          <w:i/>
          <w:iCs/>
          <w:lang w:val="en-US"/>
        </w:rPr>
        <w:t>F</w:t>
      </w:r>
      <w:r w:rsidR="00061C71" w:rsidRPr="005E5AF6">
        <w:rPr>
          <w:i/>
          <w:iCs/>
          <w:lang w:val="en-US"/>
        </w:rPr>
        <w:t>irst paragraph of Appendix 1</w:t>
      </w:r>
      <w:r w:rsidR="00B635BB">
        <w:rPr>
          <w:i/>
          <w:iCs/>
          <w:lang w:val="en-US"/>
        </w:rPr>
        <w:t xml:space="preserve"> to </w:t>
      </w:r>
      <w:r w:rsidR="00061C71" w:rsidRPr="005E5AF6">
        <w:rPr>
          <w:i/>
          <w:iCs/>
          <w:lang w:val="en-US"/>
        </w:rPr>
        <w:t>6 of Annex 4a</w:t>
      </w:r>
      <w:r w:rsidR="00932045" w:rsidRPr="005E5AF6">
        <w:rPr>
          <w:i/>
          <w:iCs/>
          <w:lang w:val="en-US"/>
        </w:rPr>
        <w:t xml:space="preserve"> (Type1 test)</w:t>
      </w:r>
      <w:r w:rsidR="00CA1F03" w:rsidRPr="005E5AF6">
        <w:rPr>
          <w:i/>
          <w:iCs/>
          <w:lang w:val="en-US"/>
        </w:rPr>
        <w:t xml:space="preserve">; </w:t>
      </w:r>
      <w:r w:rsidR="00F4130C" w:rsidRPr="005E5AF6">
        <w:rPr>
          <w:lang w:val="en-US"/>
        </w:rPr>
        <w:t xml:space="preserve">amend </w:t>
      </w:r>
      <w:r w:rsidR="00CA1F03" w:rsidRPr="005E5AF6">
        <w:rPr>
          <w:lang w:val="en-US"/>
        </w:rPr>
        <w:t>to read:</w:t>
      </w:r>
    </w:p>
    <w:p w14:paraId="68230D73" w14:textId="1D994FC4" w:rsidR="00152CA0" w:rsidRPr="005E5AF6" w:rsidRDefault="00152CA0" w:rsidP="005E5AF6">
      <w:pPr>
        <w:adjustRightInd w:val="0"/>
        <w:ind w:left="1134" w:right="1134"/>
        <w:rPr>
          <w:rFonts w:ascii="Times New Roman" w:eastAsia="MS Mincho" w:hAnsi="Times New Roman" w:cs="Times New Roman"/>
          <w:bCs/>
          <w:sz w:val="20"/>
          <w:szCs w:val="20"/>
        </w:rPr>
      </w:pPr>
      <w:r w:rsidRPr="005E5AF6">
        <w:rPr>
          <w:rFonts w:ascii="Times New Roman" w:eastAsia="MS Mincho" w:hAnsi="Times New Roman" w:cs="Times New Roman"/>
          <w:bCs/>
          <w:sz w:val="20"/>
          <w:szCs w:val="20"/>
        </w:rPr>
        <w:t>Annex 4a - Appendix 1</w:t>
      </w:r>
      <w:r w:rsidR="00932045" w:rsidRPr="005E5AF6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r w:rsidR="00622705">
        <w:rPr>
          <w:rFonts w:ascii="Times New Roman" w:eastAsia="MS Mincho" w:hAnsi="Times New Roman" w:cs="Times New Roman"/>
          <w:bCs/>
          <w:sz w:val="20"/>
          <w:szCs w:val="20"/>
        </w:rPr>
        <w:t xml:space="preserve">- </w:t>
      </w:r>
      <w:r w:rsidRPr="005E5AF6">
        <w:rPr>
          <w:rFonts w:ascii="Times New Roman" w:eastAsia="MS Mincho" w:hAnsi="Times New Roman" w:cs="Times New Roman"/>
          <w:bCs/>
          <w:sz w:val="20"/>
          <w:szCs w:val="20"/>
        </w:rPr>
        <w:t>Chassis dynamometer system</w:t>
      </w:r>
    </w:p>
    <w:p w14:paraId="11317937" w14:textId="41A53BCF" w:rsidR="00166593" w:rsidRPr="00622705" w:rsidRDefault="00622705" w:rsidP="00622705">
      <w:pPr>
        <w:pStyle w:val="ListParagraph"/>
        <w:adjustRightInd w:val="0"/>
        <w:ind w:left="2268" w:right="1134" w:hanging="1134"/>
        <w:rPr>
          <w:rFonts w:ascii="Times New Roman" w:eastAsia="MS Mincho" w:hAnsi="Times New Roman" w:cs="Times New Roman"/>
          <w:sz w:val="20"/>
          <w:szCs w:val="20"/>
        </w:rPr>
      </w:pPr>
      <w:r w:rsidRPr="0006586B">
        <w:rPr>
          <w:rFonts w:eastAsia="MS Mincho"/>
        </w:rPr>
        <w:t>"</w:t>
      </w:r>
      <w:r>
        <w:rPr>
          <w:rFonts w:ascii="Times New Roman" w:eastAsia="MS Mincho" w:hAnsi="Times New Roman" w:cs="Times New Roman"/>
          <w:sz w:val="20"/>
          <w:szCs w:val="20"/>
        </w:rPr>
        <w:t>1.</w:t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 w:rsidR="00152CA0" w:rsidRPr="00622705">
        <w:rPr>
          <w:rFonts w:ascii="Times New Roman" w:eastAsia="MS Mincho" w:hAnsi="Times New Roman" w:cs="Times New Roman"/>
          <w:sz w:val="20"/>
          <w:szCs w:val="20"/>
        </w:rPr>
        <w:t>Specification</w:t>
      </w:r>
    </w:p>
    <w:p w14:paraId="464532EE" w14:textId="460D0EF6" w:rsidR="00CE0DD3" w:rsidRPr="005E5AF6" w:rsidRDefault="00152CA0" w:rsidP="00622705">
      <w:pPr>
        <w:pStyle w:val="Default"/>
        <w:ind w:left="2268" w:right="1134" w:hanging="1134"/>
        <w:rPr>
          <w:bCs/>
          <w:sz w:val="20"/>
          <w:szCs w:val="20"/>
          <w:lang w:val="en-US" w:eastAsia="ja-JP"/>
        </w:rPr>
      </w:pPr>
      <w:r w:rsidRPr="005E5AF6">
        <w:rPr>
          <w:sz w:val="20"/>
          <w:szCs w:val="20"/>
          <w:lang w:val="en-US"/>
        </w:rPr>
        <w:t xml:space="preserve">1.1. </w:t>
      </w:r>
      <w:r w:rsidR="00622705">
        <w:rPr>
          <w:sz w:val="20"/>
          <w:szCs w:val="20"/>
          <w:lang w:val="en-US"/>
        </w:rPr>
        <w:tab/>
      </w:r>
      <w:r w:rsidRPr="005E5AF6">
        <w:rPr>
          <w:sz w:val="20"/>
          <w:szCs w:val="20"/>
          <w:lang w:val="en-US"/>
        </w:rPr>
        <w:t>General requirements</w:t>
      </w:r>
    </w:p>
    <w:p w14:paraId="0F996698" w14:textId="5D273FAD" w:rsidR="00A76EBA" w:rsidRPr="005E5AF6" w:rsidRDefault="00A76EBA" w:rsidP="00622705">
      <w:pPr>
        <w:ind w:leftChars="1030" w:left="2266" w:right="1110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</w:t>
      </w:r>
      <w:r w:rsidR="005D13D9"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</w:t>
      </w:r>
      <w:r w:rsidRPr="005E5AF6">
        <w:rPr>
          <w:rFonts w:ascii="MS Mincho" w:eastAsia="MS Mincho" w:hAnsi="MS Mincho" w:cs="Times New Roman" w:hint="eastAsia"/>
          <w:b/>
          <w:bCs/>
          <w:color w:val="000000"/>
          <w:sz w:val="20"/>
          <w:szCs w:val="20"/>
          <w:lang w:eastAsia="ja-JP"/>
        </w:rPr>
        <w:t xml:space="preserve">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</w:p>
    <w:p w14:paraId="58C65A8F" w14:textId="381542B6" w:rsidR="00290B0D" w:rsidRDefault="00290B0D" w:rsidP="005E5AF6">
      <w:pPr>
        <w:adjustRightInd w:val="0"/>
        <w:ind w:left="1134" w:right="1134"/>
        <w:rPr>
          <w:rFonts w:ascii="Times New Roman" w:eastAsia="MS Mincho" w:hAnsi="Times New Roman" w:cs="Times New Roman"/>
          <w:sz w:val="20"/>
          <w:szCs w:val="20"/>
        </w:rPr>
      </w:pPr>
    </w:p>
    <w:p w14:paraId="6FEB4493" w14:textId="6C6E98C7" w:rsidR="00472DAE" w:rsidRDefault="00472DAE" w:rsidP="00622705">
      <w:pPr>
        <w:adjustRightInd w:val="0"/>
        <w:ind w:left="2268" w:right="1110" w:hanging="1134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1.1.1. </w:t>
      </w:r>
      <w:r w:rsidR="00622705">
        <w:rPr>
          <w:rFonts w:ascii="Times New Roman" w:eastAsia="MS Mincho" w:hAnsi="Times New Roman" w:cs="Times New Roman"/>
          <w:sz w:val="20"/>
          <w:szCs w:val="20"/>
        </w:rPr>
        <w:tab/>
      </w:r>
      <w:r>
        <w:rPr>
          <w:rFonts w:ascii="Times New Roman" w:eastAsia="MS Mincho" w:hAnsi="Times New Roman" w:cs="Times New Roman"/>
          <w:sz w:val="20"/>
          <w:szCs w:val="20"/>
        </w:rPr>
        <w:t>The dynamometer shall be capable of simulating road load within one</w:t>
      </w:r>
      <w:r w:rsidR="00622705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>of the following classifications:</w:t>
      </w:r>
      <w:r w:rsidR="00622705">
        <w:rPr>
          <w:rFonts w:ascii="Times New Roman" w:eastAsia="MS Mincho" w:hAnsi="Times New Roman" w:cs="Times New Roman"/>
          <w:sz w:val="20"/>
          <w:szCs w:val="20"/>
        </w:rPr>
        <w:t xml:space="preserve"> ...</w:t>
      </w:r>
      <w:r w:rsidR="00622705" w:rsidRPr="0006586B">
        <w:rPr>
          <w:rFonts w:eastAsia="MS Mincho"/>
        </w:rPr>
        <w:t>"</w:t>
      </w:r>
    </w:p>
    <w:p w14:paraId="3404BB41" w14:textId="77777777" w:rsidR="00C219F9" w:rsidRPr="00996E80" w:rsidRDefault="00C219F9" w:rsidP="005E5AF6">
      <w:pPr>
        <w:pStyle w:val="PlainText"/>
        <w:ind w:left="660"/>
        <w:rPr>
          <w:rFonts w:ascii="Times New Roman" w:hAnsi="Times New Roman" w:cs="Times New Roman"/>
          <w:b/>
          <w:color w:val="000000" w:themeColor="text1"/>
        </w:rPr>
      </w:pPr>
    </w:p>
    <w:p w14:paraId="268BACF0" w14:textId="5E3F1C6A" w:rsidR="003B60B8" w:rsidRPr="00166593" w:rsidRDefault="003B60B8" w:rsidP="00166593">
      <w:pPr>
        <w:adjustRightInd w:val="0"/>
        <w:ind w:left="1134" w:right="1110"/>
        <w:rPr>
          <w:rFonts w:ascii="Times New Roman" w:eastAsia="MS Mincho" w:hAnsi="Times New Roman" w:cs="Times New Roman"/>
          <w:bCs/>
          <w:sz w:val="20"/>
          <w:szCs w:val="20"/>
        </w:rPr>
      </w:pP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Annex 4a - Appendix 2</w:t>
      </w:r>
      <w:r w:rsidR="00622705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Exhaust dilution system</w:t>
      </w:r>
    </w:p>
    <w:p w14:paraId="57762F5B" w14:textId="725B4017" w:rsidR="00F40C20" w:rsidRPr="00166593" w:rsidRDefault="00622705" w:rsidP="00622705">
      <w:pPr>
        <w:pStyle w:val="Default"/>
        <w:ind w:left="2268" w:right="1110" w:hanging="1134"/>
        <w:rPr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="00F40C20" w:rsidRPr="00166593">
        <w:rPr>
          <w:sz w:val="20"/>
          <w:szCs w:val="20"/>
          <w:lang w:val="en-US"/>
        </w:rPr>
        <w:t xml:space="preserve">1.2. </w:t>
      </w:r>
      <w:r>
        <w:rPr>
          <w:sz w:val="20"/>
          <w:szCs w:val="20"/>
          <w:lang w:val="en-US"/>
        </w:rPr>
        <w:tab/>
      </w:r>
      <w:r w:rsidR="00F40C20" w:rsidRPr="00166593">
        <w:rPr>
          <w:sz w:val="20"/>
          <w:szCs w:val="20"/>
          <w:lang w:val="en-US"/>
        </w:rPr>
        <w:t>General requirements</w:t>
      </w:r>
    </w:p>
    <w:p w14:paraId="39D31862" w14:textId="5C6F8302" w:rsidR="00622705" w:rsidRPr="005E5AF6" w:rsidRDefault="00622705" w:rsidP="00622705">
      <w:pPr>
        <w:ind w:leftChars="1030" w:left="2266" w:right="1110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or</w:t>
      </w:r>
      <w:r w:rsidRPr="005E5AF6">
        <w:rPr>
          <w:rFonts w:ascii="MS Mincho" w:eastAsia="MS Mincho" w:hAnsi="MS Mincho" w:cs="Times New Roman" w:hint="eastAsia"/>
          <w:b/>
          <w:bCs/>
          <w:color w:val="000000"/>
          <w:sz w:val="20"/>
          <w:szCs w:val="20"/>
          <w:lang w:eastAsia="ja-JP"/>
        </w:rPr>
        <w:t xml:space="preserve">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  <w:r w:rsidRPr="0006586B">
        <w:rPr>
          <w:rFonts w:eastAsia="MS Mincho"/>
        </w:rPr>
        <w:t>"</w:t>
      </w:r>
    </w:p>
    <w:p w14:paraId="6C038A6D" w14:textId="7DA18E0A" w:rsidR="00952DDE" w:rsidRPr="00166593" w:rsidRDefault="00952DDE" w:rsidP="00166593">
      <w:pPr>
        <w:pStyle w:val="Default"/>
        <w:ind w:left="1134" w:right="1110"/>
        <w:rPr>
          <w:rFonts w:eastAsia="Yu Gothic"/>
          <w:b/>
          <w:color w:val="000000" w:themeColor="text1"/>
          <w:kern w:val="2"/>
          <w:sz w:val="20"/>
          <w:szCs w:val="20"/>
          <w:lang w:val="en-US" w:eastAsia="ja-JP"/>
        </w:rPr>
      </w:pPr>
    </w:p>
    <w:p w14:paraId="5EE265AA" w14:textId="77777777" w:rsidR="00C219F9" w:rsidRPr="00166593" w:rsidRDefault="00C219F9" w:rsidP="00166593">
      <w:pPr>
        <w:pStyle w:val="Default"/>
        <w:ind w:left="1134" w:right="1110"/>
        <w:rPr>
          <w:b/>
          <w:bCs/>
          <w:sz w:val="20"/>
          <w:szCs w:val="20"/>
          <w:lang w:val="en-US" w:eastAsia="ja-JP"/>
        </w:rPr>
      </w:pPr>
    </w:p>
    <w:p w14:paraId="2C7CBC2A" w14:textId="62F7BC9F" w:rsidR="00C219F9" w:rsidRPr="00166593" w:rsidRDefault="00C219F9" w:rsidP="00166593">
      <w:pPr>
        <w:adjustRightInd w:val="0"/>
        <w:ind w:left="1134" w:right="1110"/>
        <w:rPr>
          <w:rFonts w:ascii="Times New Roman" w:eastAsia="MS Mincho" w:hAnsi="Times New Roman" w:cs="Times New Roman"/>
          <w:bCs/>
          <w:sz w:val="20"/>
          <w:szCs w:val="20"/>
        </w:rPr>
      </w:pP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Annex 4a - Appendix 3</w:t>
      </w:r>
      <w:r w:rsidR="00622705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Gaseous emissions measurement equipment</w:t>
      </w:r>
    </w:p>
    <w:p w14:paraId="484B536D" w14:textId="5F440B18" w:rsidR="00952DDE" w:rsidRPr="00166593" w:rsidRDefault="00622705" w:rsidP="00B635BB">
      <w:pPr>
        <w:pStyle w:val="Default"/>
        <w:ind w:left="2268" w:right="1110" w:hanging="1134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="00C219F9" w:rsidRPr="00166593">
        <w:rPr>
          <w:sz w:val="20"/>
          <w:szCs w:val="20"/>
          <w:lang w:val="en-US"/>
        </w:rPr>
        <w:t xml:space="preserve">1. </w:t>
      </w:r>
      <w:r w:rsidR="00B635BB">
        <w:rPr>
          <w:sz w:val="20"/>
          <w:szCs w:val="20"/>
          <w:lang w:val="en-US"/>
        </w:rPr>
        <w:tab/>
      </w:r>
      <w:r w:rsidR="00C219F9" w:rsidRPr="00166593">
        <w:rPr>
          <w:sz w:val="20"/>
          <w:szCs w:val="20"/>
          <w:lang w:val="en-US"/>
        </w:rPr>
        <w:t>Specification</w:t>
      </w:r>
    </w:p>
    <w:p w14:paraId="52286618" w14:textId="078D0CF2" w:rsidR="00622705" w:rsidRPr="005E5AF6" w:rsidRDefault="00622705" w:rsidP="00622705">
      <w:pPr>
        <w:ind w:leftChars="1030" w:left="2266" w:right="1110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or</w:t>
      </w:r>
      <w:r w:rsidRPr="005E5AF6">
        <w:rPr>
          <w:rFonts w:ascii="MS Mincho" w:eastAsia="MS Mincho" w:hAnsi="MS Mincho" w:cs="Times New Roman" w:hint="eastAsia"/>
          <w:b/>
          <w:bCs/>
          <w:color w:val="000000"/>
          <w:sz w:val="20"/>
          <w:szCs w:val="20"/>
          <w:lang w:eastAsia="ja-JP"/>
        </w:rPr>
        <w:t xml:space="preserve">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  <w:r w:rsidRPr="0006586B">
        <w:rPr>
          <w:rFonts w:eastAsia="MS Mincho"/>
        </w:rPr>
        <w:t>"</w:t>
      </w:r>
    </w:p>
    <w:p w14:paraId="154B01CE" w14:textId="77777777" w:rsidR="00952DDE" w:rsidRPr="00166593" w:rsidRDefault="00952DDE" w:rsidP="00166593">
      <w:pPr>
        <w:pStyle w:val="Default"/>
        <w:ind w:left="1134" w:right="1110"/>
        <w:rPr>
          <w:b/>
          <w:bCs/>
          <w:sz w:val="20"/>
          <w:szCs w:val="20"/>
          <w:lang w:val="en-US" w:eastAsia="ja-JP"/>
        </w:rPr>
      </w:pPr>
    </w:p>
    <w:p w14:paraId="473F8CFC" w14:textId="158422EF" w:rsidR="00257C7A" w:rsidRPr="00166593" w:rsidRDefault="00257C7A" w:rsidP="00166593">
      <w:pPr>
        <w:adjustRightInd w:val="0"/>
        <w:ind w:left="1134" w:right="1110"/>
        <w:rPr>
          <w:rFonts w:ascii="Times New Roman" w:eastAsia="MS Mincho" w:hAnsi="Times New Roman" w:cs="Times New Roman"/>
          <w:bCs/>
          <w:sz w:val="20"/>
          <w:szCs w:val="20"/>
        </w:rPr>
      </w:pP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Annex 4a - Appendix 4</w:t>
      </w:r>
      <w:r w:rsidR="00B635BB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Particulate mass emissions measurement equipment</w:t>
      </w:r>
    </w:p>
    <w:p w14:paraId="6C108645" w14:textId="2CEC5A53" w:rsidR="00952DDE" w:rsidRPr="00166593" w:rsidRDefault="00B635BB" w:rsidP="00B635BB">
      <w:pPr>
        <w:pStyle w:val="Default"/>
        <w:ind w:left="2268" w:right="1110" w:hanging="1134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="00257C7A" w:rsidRPr="00166593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</w:r>
      <w:r w:rsidR="00257C7A" w:rsidRPr="00166593">
        <w:rPr>
          <w:sz w:val="20"/>
          <w:szCs w:val="20"/>
          <w:lang w:val="en-US"/>
        </w:rPr>
        <w:t>Specification</w:t>
      </w:r>
    </w:p>
    <w:p w14:paraId="2565121F" w14:textId="4432949D" w:rsidR="00B635BB" w:rsidRPr="005E5AF6" w:rsidRDefault="00B635BB" w:rsidP="00B635BB">
      <w:pPr>
        <w:ind w:leftChars="1030" w:left="2266" w:right="1110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or</w:t>
      </w:r>
      <w:r w:rsidRPr="005E5AF6">
        <w:rPr>
          <w:rFonts w:ascii="MS Mincho" w:eastAsia="MS Mincho" w:hAnsi="MS Mincho" w:cs="Times New Roman" w:hint="eastAsia"/>
          <w:b/>
          <w:bCs/>
          <w:color w:val="000000"/>
          <w:sz w:val="20"/>
          <w:szCs w:val="20"/>
          <w:lang w:eastAsia="ja-JP"/>
        </w:rPr>
        <w:t xml:space="preserve">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  <w:r w:rsidRPr="0006586B">
        <w:rPr>
          <w:rFonts w:eastAsia="MS Mincho"/>
        </w:rPr>
        <w:t>"</w:t>
      </w:r>
    </w:p>
    <w:p w14:paraId="5A00835D" w14:textId="60BC68DD" w:rsidR="004D5BB9" w:rsidRPr="00166593" w:rsidRDefault="004D5BB9" w:rsidP="00166593">
      <w:pPr>
        <w:pStyle w:val="Default"/>
        <w:ind w:left="1134" w:right="1110"/>
        <w:rPr>
          <w:b/>
          <w:bCs/>
          <w:sz w:val="20"/>
          <w:szCs w:val="20"/>
          <w:lang w:val="en-US" w:eastAsia="ja-JP"/>
        </w:rPr>
      </w:pPr>
    </w:p>
    <w:p w14:paraId="711BC4EB" w14:textId="31F53DFA" w:rsidR="00952DDE" w:rsidRPr="00166593" w:rsidRDefault="00257C7A" w:rsidP="00B635BB">
      <w:pPr>
        <w:adjustRightInd w:val="0"/>
        <w:ind w:left="1134" w:right="1110"/>
        <w:rPr>
          <w:rFonts w:ascii="Times New Roman" w:hAnsi="Times New Roman" w:cs="Times New Roman"/>
          <w:bCs/>
          <w:sz w:val="20"/>
          <w:szCs w:val="20"/>
        </w:rPr>
      </w:pP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Annex 4a - Appendix 5</w:t>
      </w:r>
      <w:r w:rsidR="00B635BB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Pr="00166593">
        <w:rPr>
          <w:rFonts w:ascii="Times New Roman" w:hAnsi="Times New Roman" w:cs="Times New Roman"/>
          <w:bCs/>
          <w:sz w:val="20"/>
          <w:szCs w:val="20"/>
        </w:rPr>
        <w:t>Particulate number emissions measurement equipment</w:t>
      </w:r>
    </w:p>
    <w:p w14:paraId="691066DB" w14:textId="29C92EE3" w:rsidR="00290B0D" w:rsidRPr="00166593" w:rsidRDefault="00B635BB" w:rsidP="00B635BB">
      <w:pPr>
        <w:pStyle w:val="Default"/>
        <w:ind w:left="2268" w:right="1110" w:hanging="1134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="00290B0D" w:rsidRPr="00166593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</w:r>
      <w:r w:rsidR="00290B0D" w:rsidRPr="00166593">
        <w:rPr>
          <w:sz w:val="20"/>
          <w:szCs w:val="20"/>
          <w:lang w:val="en-US"/>
        </w:rPr>
        <w:t>Specification</w:t>
      </w:r>
    </w:p>
    <w:p w14:paraId="515E5DB6" w14:textId="2AB3ED2A" w:rsidR="00257C7A" w:rsidRPr="00166593" w:rsidRDefault="00B635BB" w:rsidP="00B635BB">
      <w:pPr>
        <w:ind w:leftChars="1030" w:left="2266" w:right="1110"/>
        <w:rPr>
          <w:rFonts w:ascii="Times New Roman" w:eastAsia="Yu Gothic" w:hAnsi="Times New Roman" w:cs="Times New Roman"/>
          <w:b/>
          <w:color w:val="000000" w:themeColor="text1"/>
          <w:kern w:val="2"/>
          <w:sz w:val="20"/>
          <w:szCs w:val="20"/>
          <w:lang w:eastAsia="ja-JP"/>
        </w:rPr>
      </w:pP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or</w:t>
      </w:r>
      <w:r w:rsidRPr="005E5AF6">
        <w:rPr>
          <w:rFonts w:ascii="MS Mincho" w:eastAsia="MS Mincho" w:hAnsi="MS Mincho" w:cs="Times New Roman" w:hint="eastAsia"/>
          <w:b/>
          <w:bCs/>
          <w:color w:val="000000"/>
          <w:sz w:val="20"/>
          <w:szCs w:val="20"/>
          <w:lang w:eastAsia="ja-JP"/>
        </w:rPr>
        <w:t xml:space="preserve">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5E5A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  <w:r w:rsidRPr="0006586B">
        <w:rPr>
          <w:rFonts w:eastAsia="MS Mincho"/>
        </w:rPr>
        <w:t>"</w:t>
      </w:r>
    </w:p>
    <w:p w14:paraId="0BCC1ADE" w14:textId="221C1C10" w:rsidR="00B635BB" w:rsidRPr="00166593" w:rsidRDefault="00B635BB" w:rsidP="00166593">
      <w:pPr>
        <w:pStyle w:val="Default"/>
        <w:ind w:left="1134" w:right="1110"/>
        <w:rPr>
          <w:rFonts w:eastAsia="Yu Gothic"/>
          <w:b/>
          <w:color w:val="000000" w:themeColor="text1"/>
          <w:kern w:val="2"/>
          <w:sz w:val="20"/>
          <w:szCs w:val="20"/>
          <w:lang w:val="en-US" w:eastAsia="ja-JP"/>
        </w:rPr>
      </w:pPr>
    </w:p>
    <w:p w14:paraId="72FE9271" w14:textId="5B0C17E7" w:rsidR="0084084E" w:rsidRPr="00166593" w:rsidRDefault="00257C7A" w:rsidP="00166593">
      <w:pPr>
        <w:adjustRightInd w:val="0"/>
        <w:ind w:left="1134" w:right="1110"/>
        <w:rPr>
          <w:rFonts w:ascii="Times New Roman" w:eastAsia="MS Mincho" w:hAnsi="Times New Roman" w:cs="Times New Roman"/>
          <w:sz w:val="20"/>
          <w:szCs w:val="20"/>
        </w:rPr>
      </w:pPr>
      <w:r w:rsidRPr="00166593">
        <w:rPr>
          <w:rFonts w:ascii="Times New Roman" w:eastAsia="MS Mincho" w:hAnsi="Times New Roman" w:cs="Times New Roman"/>
          <w:bCs/>
          <w:sz w:val="20"/>
          <w:szCs w:val="20"/>
        </w:rPr>
        <w:t>Annex 4a - Appendix 6</w:t>
      </w:r>
      <w:r w:rsidR="00B635BB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="0084084E" w:rsidRPr="00166593">
        <w:rPr>
          <w:rFonts w:ascii="Times New Roman" w:eastAsia="MS Mincho" w:hAnsi="Times New Roman" w:cs="Times New Roman"/>
          <w:bCs/>
          <w:sz w:val="20"/>
          <w:szCs w:val="20"/>
        </w:rPr>
        <w:t>Verification of simulated inertia</w:t>
      </w:r>
    </w:p>
    <w:p w14:paraId="44645CFF" w14:textId="485FFD8C" w:rsidR="0084084E" w:rsidRPr="00166593" w:rsidRDefault="00B635BB" w:rsidP="00B635BB">
      <w:pPr>
        <w:adjustRightInd w:val="0"/>
        <w:ind w:left="2268" w:right="1110" w:hanging="1134"/>
        <w:rPr>
          <w:rFonts w:ascii="Times New Roman" w:eastAsia="MS Mincho" w:hAnsi="Times New Roman" w:cs="Times New Roman"/>
          <w:sz w:val="20"/>
          <w:szCs w:val="20"/>
        </w:rPr>
      </w:pPr>
      <w:r w:rsidRPr="00622705">
        <w:rPr>
          <w:rFonts w:eastAsia="MS Mincho"/>
        </w:rPr>
        <w:t>"</w:t>
      </w:r>
      <w:r w:rsidRPr="00166593">
        <w:rPr>
          <w:rFonts w:ascii="Times New Roman" w:hAnsi="Times New Roman" w:cs="Times New Roman"/>
          <w:sz w:val="20"/>
          <w:szCs w:val="20"/>
        </w:rPr>
        <w:t>1.</w:t>
      </w:r>
      <w:r w:rsidR="0084084E" w:rsidRPr="00166593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</w:rPr>
        <w:tab/>
      </w:r>
      <w:r w:rsidR="0084084E" w:rsidRPr="00166593">
        <w:rPr>
          <w:rFonts w:ascii="Times New Roman" w:eastAsia="MS Mincho" w:hAnsi="Times New Roman" w:cs="Times New Roman"/>
          <w:sz w:val="20"/>
          <w:szCs w:val="20"/>
        </w:rPr>
        <w:t>Object</w:t>
      </w:r>
    </w:p>
    <w:p w14:paraId="720ADE1F" w14:textId="10F4F888" w:rsidR="00290B0D" w:rsidRPr="00166593" w:rsidRDefault="0084084E" w:rsidP="00B635BB">
      <w:pPr>
        <w:adjustRightInd w:val="0"/>
        <w:ind w:leftChars="1030" w:left="2266" w:right="1110"/>
        <w:rPr>
          <w:rFonts w:ascii="Times New Roman" w:eastAsia="MS Mincho" w:hAnsi="Times New Roman" w:cs="Times New Roman"/>
          <w:sz w:val="20"/>
          <w:szCs w:val="20"/>
        </w:rPr>
      </w:pPr>
      <w:r w:rsidRPr="00166593">
        <w:rPr>
          <w:rFonts w:ascii="Times New Roman" w:eastAsia="MS Mincho" w:hAnsi="Times New Roman" w:cs="Times New Roman"/>
          <w:sz w:val="20"/>
          <w:szCs w:val="20"/>
        </w:rPr>
        <w:t>The method described in this appendix makes it possible to check that the</w:t>
      </w:r>
      <w:r w:rsidR="00BE7772" w:rsidRPr="0016659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166593">
        <w:rPr>
          <w:rFonts w:ascii="Times New Roman" w:eastAsia="MS Mincho" w:hAnsi="Times New Roman" w:cs="Times New Roman"/>
          <w:sz w:val="20"/>
          <w:szCs w:val="20"/>
        </w:rPr>
        <w:t>simulated total inertia of the dynamometer is carried out satisfactorily in the</w:t>
      </w:r>
      <w:r w:rsidR="00BE7772" w:rsidRPr="0016659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166593">
        <w:rPr>
          <w:rFonts w:ascii="Times New Roman" w:eastAsia="MS Mincho" w:hAnsi="Times New Roman" w:cs="Times New Roman"/>
          <w:sz w:val="20"/>
          <w:szCs w:val="20"/>
        </w:rPr>
        <w:t xml:space="preserve">running phase of the operating cycle. The </w:t>
      </w:r>
      <w:r w:rsidR="00BE7772" w:rsidRPr="00166593">
        <w:rPr>
          <w:rFonts w:ascii="Times New Roman" w:eastAsia="MS Mincho" w:hAnsi="Times New Roman" w:cs="Times New Roman"/>
          <w:sz w:val="20"/>
          <w:szCs w:val="20"/>
        </w:rPr>
        <w:t>manufacturer of the dynamometer</w:t>
      </w:r>
      <w:r w:rsidR="00BE7772" w:rsidRPr="0016659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166593">
        <w:rPr>
          <w:rFonts w:ascii="Times New Roman" w:eastAsia="MS Mincho" w:hAnsi="Times New Roman" w:cs="Times New Roman"/>
          <w:sz w:val="20"/>
          <w:szCs w:val="20"/>
        </w:rPr>
        <w:t xml:space="preserve">shall specify a method for verifying </w:t>
      </w:r>
      <w:r w:rsidR="00BE7772" w:rsidRPr="00166593">
        <w:rPr>
          <w:rFonts w:ascii="Times New Roman" w:eastAsia="MS Mincho" w:hAnsi="Times New Roman" w:cs="Times New Roman"/>
          <w:sz w:val="20"/>
          <w:szCs w:val="20"/>
        </w:rPr>
        <w:t xml:space="preserve">the specifications according to </w:t>
      </w:r>
      <w:r w:rsidRPr="00166593">
        <w:rPr>
          <w:rFonts w:ascii="Times New Roman" w:eastAsia="MS Mincho" w:hAnsi="Times New Roman" w:cs="Times New Roman"/>
          <w:sz w:val="20"/>
          <w:szCs w:val="20"/>
        </w:rPr>
        <w:t>paragraph 3. of this appendix.</w:t>
      </w:r>
    </w:p>
    <w:p w14:paraId="13CA71D9" w14:textId="0A868A96" w:rsidR="0084084E" w:rsidRPr="00166593" w:rsidRDefault="0084084E" w:rsidP="00B635BB">
      <w:pPr>
        <w:pStyle w:val="SingleTxtG"/>
        <w:ind w:leftChars="1030" w:left="2266" w:right="1110"/>
        <w:rPr>
          <w:rFonts w:eastAsia="MS Mincho"/>
          <w:b/>
        </w:rPr>
      </w:pPr>
      <w:r w:rsidRPr="00166593">
        <w:rPr>
          <w:rFonts w:eastAsia="MS Mincho"/>
          <w:b/>
        </w:rPr>
        <w:t xml:space="preserve">In case of the equipment that meets </w:t>
      </w:r>
      <w:r w:rsidR="00667A31">
        <w:rPr>
          <w:rFonts w:eastAsia="MS Mincho"/>
          <w:b/>
        </w:rPr>
        <w:t>UN Regulation No. 154</w:t>
      </w:r>
      <w:r w:rsidRPr="00166593">
        <w:rPr>
          <w:rFonts w:eastAsia="MS Mincho"/>
          <w:b/>
        </w:rPr>
        <w:t xml:space="preserve"> requirements, this application </w:t>
      </w:r>
      <w:r w:rsidR="00B343D4" w:rsidRPr="00166593">
        <w:rPr>
          <w:rFonts w:eastAsia="MS Mincho"/>
          <w:b/>
        </w:rPr>
        <w:t xml:space="preserve">may not </w:t>
      </w:r>
      <w:r w:rsidR="00B343D4">
        <w:rPr>
          <w:rFonts w:eastAsia="MS Mincho" w:hint="eastAsia"/>
          <w:b/>
          <w:lang w:eastAsia="ja-JP"/>
        </w:rPr>
        <w:t>b</w:t>
      </w:r>
      <w:r w:rsidR="00B343D4">
        <w:rPr>
          <w:rFonts w:eastAsia="MS Mincho"/>
          <w:b/>
          <w:lang w:eastAsia="ja-JP"/>
        </w:rPr>
        <w:t xml:space="preserve">e </w:t>
      </w:r>
      <w:r w:rsidR="00B343D4">
        <w:rPr>
          <w:rFonts w:eastAsia="MS Mincho"/>
          <w:b/>
        </w:rPr>
        <w:t>required</w:t>
      </w:r>
      <w:r w:rsidRPr="00166593">
        <w:rPr>
          <w:rFonts w:eastAsia="MS Mincho"/>
          <w:b/>
        </w:rPr>
        <w:t>.</w:t>
      </w:r>
      <w:r w:rsidR="00B635BB" w:rsidRPr="00622705">
        <w:rPr>
          <w:rFonts w:eastAsia="MS Mincho"/>
          <w:lang w:val="en-US"/>
        </w:rPr>
        <w:t>"</w:t>
      </w:r>
    </w:p>
    <w:p w14:paraId="01AA5444" w14:textId="77777777" w:rsidR="000E1D6C" w:rsidRDefault="000E1D6C" w:rsidP="00166593">
      <w:pPr>
        <w:pStyle w:val="SingleTxtG"/>
        <w:ind w:leftChars="515" w:left="1133" w:right="1110"/>
        <w:rPr>
          <w:i/>
          <w:iCs/>
          <w:lang w:val="en-US"/>
        </w:rPr>
      </w:pPr>
    </w:p>
    <w:p w14:paraId="3636E700" w14:textId="5A8D8168" w:rsidR="00932045" w:rsidRPr="001A13AC" w:rsidRDefault="001A13AC" w:rsidP="00166593">
      <w:pPr>
        <w:pStyle w:val="SingleTxtG"/>
        <w:ind w:leftChars="515" w:left="1133" w:right="1110"/>
        <w:rPr>
          <w:lang w:val="en-US"/>
        </w:rPr>
      </w:pPr>
      <w:r>
        <w:rPr>
          <w:i/>
          <w:iCs/>
          <w:lang w:val="en-US"/>
        </w:rPr>
        <w:t>P</w:t>
      </w:r>
      <w:r w:rsidR="00C9089E" w:rsidRPr="001A13AC">
        <w:rPr>
          <w:i/>
          <w:iCs/>
          <w:lang w:val="en-US"/>
        </w:rPr>
        <w:t>aragraph 4</w:t>
      </w:r>
      <w:r>
        <w:rPr>
          <w:i/>
          <w:iCs/>
          <w:lang w:val="en-US"/>
        </w:rPr>
        <w:t xml:space="preserve"> of Annex 7</w:t>
      </w:r>
      <w:r w:rsidR="00C9089E" w:rsidRPr="001A13AC">
        <w:rPr>
          <w:i/>
          <w:iCs/>
          <w:lang w:val="en-US"/>
        </w:rPr>
        <w:t xml:space="preserve"> </w:t>
      </w:r>
      <w:r w:rsidR="00932045" w:rsidRPr="001A13AC">
        <w:rPr>
          <w:i/>
          <w:iCs/>
          <w:lang w:val="en-US"/>
        </w:rPr>
        <w:t>(Type4 test)</w:t>
      </w:r>
      <w:r w:rsidR="00B635BB" w:rsidRPr="001A13AC">
        <w:rPr>
          <w:i/>
          <w:iCs/>
          <w:lang w:val="en-US"/>
        </w:rPr>
        <w:t xml:space="preserve">; </w:t>
      </w:r>
      <w:r w:rsidR="00932045" w:rsidRPr="001A13AC">
        <w:rPr>
          <w:lang w:val="en-US"/>
        </w:rPr>
        <w:t>amend to read:</w:t>
      </w:r>
    </w:p>
    <w:p w14:paraId="1039B397" w14:textId="5994259C" w:rsidR="001F5C88" w:rsidRPr="001A13AC" w:rsidRDefault="001A13AC" w:rsidP="001A13AC">
      <w:pPr>
        <w:pStyle w:val="SingleTxtG"/>
        <w:ind w:left="2268" w:right="1110" w:hanging="1134"/>
        <w:rPr>
          <w:i/>
          <w:iCs/>
          <w:lang w:val="en-US"/>
        </w:rPr>
      </w:pPr>
      <w:r w:rsidRPr="001A13AC">
        <w:rPr>
          <w:rFonts w:eastAsia="MS Mincho"/>
          <w:lang w:val="en-US"/>
        </w:rPr>
        <w:t>"</w:t>
      </w:r>
      <w:r w:rsidR="001F5C88" w:rsidRPr="001A13AC">
        <w:rPr>
          <w:rFonts w:eastAsia="MS Mincho"/>
        </w:rPr>
        <w:t xml:space="preserve">4. </w:t>
      </w:r>
      <w:r w:rsidRPr="001A13AC">
        <w:rPr>
          <w:rFonts w:eastAsia="MS Mincho"/>
        </w:rPr>
        <w:tab/>
      </w:r>
      <w:r w:rsidR="001F5C88" w:rsidRPr="001A13AC">
        <w:rPr>
          <w:rFonts w:eastAsia="MS Mincho"/>
        </w:rPr>
        <w:t>Test equipment for evaporative test</w:t>
      </w:r>
    </w:p>
    <w:p w14:paraId="1F0FC9A5" w14:textId="750F614D" w:rsidR="009B01AB" w:rsidRPr="009B01AB" w:rsidRDefault="009B01AB" w:rsidP="003609BD">
      <w:pPr>
        <w:ind w:leftChars="1030" w:left="2266" w:right="1110" w:firstLine="1"/>
        <w:rPr>
          <w:rFonts w:eastAsia="Yu Gothic"/>
          <w:b/>
          <w:color w:val="000000" w:themeColor="text1"/>
          <w:kern w:val="2"/>
          <w:lang w:eastAsia="ja-JP"/>
        </w:rPr>
      </w:pP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</w:t>
      </w:r>
      <w:r w:rsidR="005D13D9"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</w:t>
      </w:r>
      <w:r w:rsidRPr="001A13AC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  <w:t xml:space="preserve"> 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</w:p>
    <w:p w14:paraId="59569D42" w14:textId="77777777" w:rsidR="00290B0D" w:rsidRPr="001A13AC" w:rsidRDefault="00290B0D" w:rsidP="00290B0D">
      <w:pPr>
        <w:adjustRightInd w:val="0"/>
        <w:rPr>
          <w:rFonts w:ascii="Times New Roman" w:eastAsia="MS Mincho" w:hAnsi="Times New Roman" w:cs="Times New Roman"/>
          <w:sz w:val="20"/>
          <w:szCs w:val="20"/>
        </w:rPr>
      </w:pPr>
    </w:p>
    <w:p w14:paraId="03B7694C" w14:textId="2D988BC2" w:rsidR="00290B0D" w:rsidRPr="001A13AC" w:rsidRDefault="00290B0D" w:rsidP="001A13AC">
      <w:pPr>
        <w:adjustRightInd w:val="0"/>
        <w:ind w:left="2268" w:hanging="1134"/>
        <w:rPr>
          <w:rFonts w:ascii="Times New Roman" w:eastAsia="MS Mincho" w:hAnsi="Times New Roman" w:cs="Times New Roman"/>
          <w:sz w:val="20"/>
          <w:szCs w:val="20"/>
        </w:rPr>
      </w:pPr>
      <w:r w:rsidRPr="001A13AC">
        <w:rPr>
          <w:rFonts w:ascii="Times New Roman" w:eastAsia="MS Mincho" w:hAnsi="Times New Roman" w:cs="Times New Roman"/>
          <w:sz w:val="20"/>
          <w:szCs w:val="20"/>
        </w:rPr>
        <w:t xml:space="preserve">4.1. </w:t>
      </w:r>
      <w:r w:rsidR="001A13AC" w:rsidRPr="001A13AC">
        <w:rPr>
          <w:rFonts w:ascii="Times New Roman" w:eastAsia="MS Mincho" w:hAnsi="Times New Roman" w:cs="Times New Roman"/>
          <w:sz w:val="20"/>
          <w:szCs w:val="20"/>
        </w:rPr>
        <w:tab/>
      </w:r>
      <w:r w:rsidRPr="001A13AC">
        <w:rPr>
          <w:rFonts w:ascii="Times New Roman" w:eastAsia="MS Mincho" w:hAnsi="Times New Roman" w:cs="Times New Roman"/>
          <w:sz w:val="20"/>
          <w:szCs w:val="20"/>
        </w:rPr>
        <w:t>Chassis dynamometer</w:t>
      </w:r>
    </w:p>
    <w:p w14:paraId="1B4E415C" w14:textId="4F8BEAAA" w:rsidR="00004440" w:rsidRPr="001A13AC" w:rsidRDefault="00290B0D" w:rsidP="001A13AC">
      <w:pPr>
        <w:adjustRightInd w:val="0"/>
        <w:ind w:left="2268" w:right="1110"/>
        <w:rPr>
          <w:rFonts w:ascii="Times New Roman" w:hAnsi="Times New Roman" w:cs="Times New Roman"/>
          <w:sz w:val="20"/>
          <w:szCs w:val="20"/>
        </w:rPr>
      </w:pPr>
      <w:r w:rsidRPr="001A13AC">
        <w:rPr>
          <w:rFonts w:ascii="Times New Roman" w:eastAsia="MS Mincho" w:hAnsi="Times New Roman" w:cs="Times New Roman"/>
          <w:sz w:val="20"/>
          <w:szCs w:val="20"/>
        </w:rPr>
        <w:t>The chassis dynamometer shall meet the requirements of Appendix 1 to</w:t>
      </w:r>
      <w:r w:rsidR="001A13AC" w:rsidRPr="001A13A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A13AC">
        <w:rPr>
          <w:rFonts w:ascii="Times New Roman" w:hAnsi="Times New Roman" w:cs="Times New Roman"/>
          <w:sz w:val="20"/>
          <w:szCs w:val="20"/>
        </w:rPr>
        <w:t>Annex 4a to this Regulation.</w:t>
      </w:r>
      <w:r w:rsidR="001A13AC" w:rsidRPr="001A13AC">
        <w:rPr>
          <w:rFonts w:ascii="Times New Roman" w:eastAsia="MS Mincho" w:hAnsi="Times New Roman" w:cs="Times New Roman"/>
          <w:sz w:val="20"/>
          <w:szCs w:val="20"/>
        </w:rPr>
        <w:t>"</w:t>
      </w:r>
    </w:p>
    <w:p w14:paraId="794F9C1A" w14:textId="77777777" w:rsidR="00290B0D" w:rsidRPr="00C84AAB" w:rsidRDefault="00290B0D" w:rsidP="00290B0D">
      <w:pPr>
        <w:pStyle w:val="Default"/>
        <w:ind w:left="420" w:right="805" w:hangingChars="150" w:hanging="420"/>
        <w:rPr>
          <w:bCs/>
          <w:sz w:val="28"/>
          <w:szCs w:val="28"/>
          <w:lang w:val="en-US" w:eastAsia="ja-JP"/>
        </w:rPr>
      </w:pPr>
    </w:p>
    <w:p w14:paraId="1AEBB877" w14:textId="1EB35434" w:rsidR="00004440" w:rsidRPr="001A13AC" w:rsidRDefault="00004440" w:rsidP="001A13AC">
      <w:pPr>
        <w:adjustRightInd w:val="0"/>
        <w:ind w:left="1134"/>
        <w:rPr>
          <w:rFonts w:ascii="Times New Roman" w:eastAsia="MS Mincho" w:hAnsi="Times New Roman" w:cs="Times New Roman"/>
          <w:bCs/>
          <w:sz w:val="20"/>
          <w:szCs w:val="20"/>
        </w:rPr>
      </w:pPr>
      <w:r w:rsidRPr="001A13AC">
        <w:rPr>
          <w:rFonts w:ascii="Times New Roman" w:eastAsia="MS Mincho" w:hAnsi="Times New Roman" w:cs="Times New Roman"/>
          <w:bCs/>
          <w:sz w:val="20"/>
          <w:szCs w:val="20"/>
        </w:rPr>
        <w:t>Annex 7 - Appendix 1</w:t>
      </w:r>
      <w:r w:rsidR="001A13AC">
        <w:rPr>
          <w:rFonts w:ascii="Times New Roman" w:eastAsia="MS Mincho" w:hAnsi="Times New Roman" w:cs="Times New Roman"/>
          <w:bCs/>
          <w:sz w:val="20"/>
          <w:szCs w:val="20"/>
        </w:rPr>
        <w:t xml:space="preserve"> - </w:t>
      </w:r>
      <w:r w:rsidRPr="001A13AC">
        <w:rPr>
          <w:rFonts w:ascii="Times New Roman" w:eastAsia="MS Mincho" w:hAnsi="Times New Roman" w:cs="Times New Roman"/>
          <w:bCs/>
          <w:sz w:val="20"/>
          <w:szCs w:val="20"/>
        </w:rPr>
        <w:t xml:space="preserve">Calibration of equipment for evaporative emission testing  </w:t>
      </w:r>
    </w:p>
    <w:p w14:paraId="60107888" w14:textId="4E1224DB" w:rsidR="00932045" w:rsidRPr="001A13AC" w:rsidRDefault="003609BD" w:rsidP="003609BD">
      <w:pPr>
        <w:pStyle w:val="Default"/>
        <w:ind w:left="2268" w:right="805" w:hanging="1134"/>
        <w:rPr>
          <w:sz w:val="20"/>
          <w:szCs w:val="20"/>
          <w:lang w:val="en-US"/>
        </w:rPr>
      </w:pPr>
      <w:r w:rsidRPr="001A13AC">
        <w:rPr>
          <w:sz w:val="20"/>
          <w:szCs w:val="20"/>
          <w:lang w:val="en-US"/>
        </w:rPr>
        <w:t>"</w:t>
      </w:r>
      <w:r w:rsidR="00004440" w:rsidRPr="001A13AC">
        <w:rPr>
          <w:sz w:val="20"/>
          <w:szCs w:val="20"/>
          <w:lang w:val="en-US"/>
        </w:rPr>
        <w:t xml:space="preserve">1.    </w:t>
      </w:r>
      <w:r>
        <w:rPr>
          <w:sz w:val="20"/>
          <w:szCs w:val="20"/>
          <w:lang w:val="en-US"/>
        </w:rPr>
        <w:tab/>
      </w:r>
      <w:r w:rsidR="00004440" w:rsidRPr="001A13AC">
        <w:rPr>
          <w:sz w:val="20"/>
          <w:szCs w:val="20"/>
          <w:lang w:val="en-US"/>
        </w:rPr>
        <w:t>Calibration frequency and methods</w:t>
      </w:r>
    </w:p>
    <w:p w14:paraId="37D1F368" w14:textId="216FC0C2" w:rsidR="003609BD" w:rsidRPr="001A13AC" w:rsidRDefault="003609BD" w:rsidP="003609BD">
      <w:pPr>
        <w:ind w:leftChars="1030" w:left="2266" w:right="1110" w:firstLine="1"/>
        <w:rPr>
          <w:rFonts w:ascii="Times New Roman" w:eastAsia="MS PGothic" w:hAnsi="Times New Roman" w:cs="Times New Roman"/>
          <w:b/>
          <w:bCs/>
          <w:color w:val="000000"/>
          <w:sz w:val="20"/>
          <w:szCs w:val="20"/>
        </w:rPr>
      </w:pP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For test and measurement equipment that is compliant with the technical requirements of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 Regulation No. 154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original series or</w:t>
      </w:r>
      <w:r w:rsidRPr="001A13AC">
        <w:rPr>
          <w:rFonts w:ascii="Times New Roman" w:eastAsia="MS Mincho" w:hAnsi="Times New Roman" w:cs="Times New Roman"/>
          <w:b/>
          <w:bCs/>
          <w:color w:val="000000"/>
          <w:sz w:val="20"/>
          <w:szCs w:val="20"/>
          <w:lang w:eastAsia="ja-JP"/>
        </w:rPr>
        <w:t xml:space="preserve"> 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later version, the requirements on the technical equipment described in </w:t>
      </w:r>
      <w:r w:rsidR="00667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Regulation No. 154 </w:t>
      </w:r>
      <w:r w:rsidRPr="001A13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be followed, in all other cases the following requirements shall apply:</w:t>
      </w:r>
      <w:r w:rsidRPr="001A13AC">
        <w:rPr>
          <w:rFonts w:ascii="Times New Roman" w:eastAsia="MS Mincho" w:hAnsi="Times New Roman" w:cs="Times New Roman"/>
          <w:sz w:val="20"/>
          <w:szCs w:val="20"/>
        </w:rPr>
        <w:t>"</w:t>
      </w:r>
    </w:p>
    <w:p w14:paraId="0598A539" w14:textId="68163CB4" w:rsidR="00004440" w:rsidRPr="001A13AC" w:rsidRDefault="00004440" w:rsidP="001A13AC">
      <w:pPr>
        <w:pStyle w:val="Default"/>
        <w:ind w:left="1134" w:right="805"/>
        <w:rPr>
          <w:bCs/>
          <w:sz w:val="20"/>
          <w:szCs w:val="20"/>
          <w:lang w:val="en-US"/>
        </w:rPr>
      </w:pPr>
    </w:p>
    <w:p w14:paraId="3823C0E0" w14:textId="77777777" w:rsidR="000737FE" w:rsidRPr="00C84AAB" w:rsidRDefault="000737FE" w:rsidP="00004440">
      <w:pPr>
        <w:pStyle w:val="Default"/>
        <w:ind w:left="360" w:right="805"/>
        <w:rPr>
          <w:bCs/>
          <w:sz w:val="28"/>
          <w:szCs w:val="28"/>
          <w:lang w:val="en-US"/>
        </w:rPr>
      </w:pPr>
    </w:p>
    <w:p w14:paraId="4C0727B1" w14:textId="77777777" w:rsidR="00951AE1" w:rsidRPr="003609BD" w:rsidRDefault="00951AE1" w:rsidP="00951AE1">
      <w:pPr>
        <w:pStyle w:val="Default"/>
        <w:ind w:right="805"/>
        <w:rPr>
          <w:b/>
          <w:sz w:val="28"/>
          <w:szCs w:val="28"/>
          <w:lang w:val="en-US"/>
        </w:rPr>
      </w:pPr>
      <w:r w:rsidRPr="003609BD">
        <w:rPr>
          <w:b/>
          <w:sz w:val="28"/>
          <w:szCs w:val="28"/>
          <w:lang w:val="en-US"/>
        </w:rPr>
        <w:t>II. Justification</w:t>
      </w:r>
    </w:p>
    <w:p w14:paraId="60DDEEB5" w14:textId="54D6B8A6" w:rsidR="00B67B2B" w:rsidRPr="003609BD" w:rsidRDefault="00B67B2B" w:rsidP="00EB0095">
      <w:pPr>
        <w:pStyle w:val="PlainText"/>
        <w:ind w:leftChars="515" w:left="1133" w:right="1110"/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>For OICA as well, we would like to make the following proposals in consideration of further operational efficiency.</w:t>
      </w:r>
    </w:p>
    <w:p w14:paraId="093B9169" w14:textId="46B44C56" w:rsidR="00E24ED7" w:rsidRPr="003609BD" w:rsidRDefault="00E24ED7" w:rsidP="003609BD">
      <w:pPr>
        <w:pStyle w:val="PlainText"/>
        <w:ind w:leftChars="515" w:left="1133" w:right="1110"/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>In fact, the R154 equipment has been updated and regulated</w:t>
      </w:r>
      <w:r w:rsidR="00A906C1" w:rsidRPr="003609BD">
        <w:rPr>
          <w:rFonts w:ascii="Times New Roman" w:hAnsi="Times New Roman" w:cs="Times New Roman"/>
          <w:sz w:val="20"/>
          <w:szCs w:val="20"/>
        </w:rPr>
        <w:t xml:space="preserve"> based on the R83 equipment,</w:t>
      </w:r>
    </w:p>
    <w:p w14:paraId="0DE16692" w14:textId="177F3562" w:rsidR="00A906C1" w:rsidRDefault="00A906C1" w:rsidP="003609BD">
      <w:pPr>
        <w:pStyle w:val="PlainText"/>
        <w:ind w:leftChars="515" w:left="1133" w:right="1110"/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>an example is shown below,</w:t>
      </w:r>
    </w:p>
    <w:p w14:paraId="6BADF0D5" w14:textId="77777777" w:rsidR="00D03622" w:rsidRPr="00D03622" w:rsidRDefault="00D03622" w:rsidP="00D03622">
      <w:pPr>
        <w:adjustRightInd w:val="0"/>
        <w:ind w:right="1110" w:firstLineChars="550" w:firstLine="1100"/>
        <w:rPr>
          <w:rFonts w:ascii="Times New Roman" w:eastAsia="MS Mincho" w:hAnsi="Times New Roman" w:cs="Times New Roman"/>
          <w:bCs/>
          <w:sz w:val="20"/>
          <w:szCs w:val="20"/>
          <w:lang w:eastAsia="ja-JP"/>
        </w:rPr>
      </w:pPr>
      <w:r w:rsidRPr="00D03622">
        <w:rPr>
          <w:rFonts w:ascii="Times New Roman" w:eastAsia="MS Mincho" w:hAnsi="Times New Roman" w:cs="Times New Roman"/>
          <w:bCs/>
          <w:sz w:val="20"/>
          <w:szCs w:val="20"/>
          <w:lang w:eastAsia="ja-JP"/>
        </w:rPr>
        <w:t>As reference, n</w:t>
      </w:r>
      <w:r w:rsidRPr="00D03622">
        <w:rPr>
          <w:rFonts w:ascii="Times New Roman" w:eastAsia="MS Mincho" w:hAnsi="Times New Roman" w:cs="Times New Roman" w:hint="eastAsia"/>
          <w:bCs/>
          <w:sz w:val="20"/>
          <w:szCs w:val="20"/>
          <w:lang w:eastAsia="ja-JP"/>
        </w:rPr>
        <w:t xml:space="preserve">o modification on UNR101 is necessary since UNR101 refers UNR83 for </w:t>
      </w:r>
    </w:p>
    <w:p w14:paraId="0AFD16A4" w14:textId="77777777" w:rsidR="00D03622" w:rsidRPr="00D03622" w:rsidRDefault="00D03622" w:rsidP="00D03622">
      <w:pPr>
        <w:adjustRightInd w:val="0"/>
        <w:ind w:right="1110" w:firstLineChars="550" w:firstLine="1100"/>
        <w:rPr>
          <w:rFonts w:ascii="Times New Roman" w:eastAsia="MS Mincho" w:hAnsi="Times New Roman" w:cs="Times New Roman"/>
          <w:bCs/>
          <w:sz w:val="20"/>
          <w:szCs w:val="20"/>
          <w:lang w:eastAsia="ja-JP"/>
        </w:rPr>
      </w:pPr>
      <w:r w:rsidRPr="00D03622">
        <w:rPr>
          <w:rFonts w:ascii="Times New Roman" w:eastAsia="MS Mincho" w:hAnsi="Times New Roman" w:cs="Times New Roman" w:hint="eastAsia"/>
          <w:bCs/>
          <w:sz w:val="20"/>
          <w:szCs w:val="20"/>
          <w:lang w:eastAsia="ja-JP"/>
        </w:rPr>
        <w:t>equipment requirement.</w:t>
      </w:r>
    </w:p>
    <w:p w14:paraId="062F9D30" w14:textId="77777777" w:rsidR="00D03622" w:rsidRPr="003609BD" w:rsidRDefault="00D03622" w:rsidP="003609BD">
      <w:pPr>
        <w:pStyle w:val="PlainText"/>
        <w:ind w:leftChars="515" w:left="1133" w:right="1110"/>
        <w:rPr>
          <w:rFonts w:ascii="Times New Roman" w:hAnsi="Times New Roman" w:cs="Times New Roman"/>
          <w:sz w:val="20"/>
          <w:szCs w:val="20"/>
        </w:rPr>
      </w:pPr>
    </w:p>
    <w:p w14:paraId="3D1B8B3E" w14:textId="19F6CB24" w:rsidR="00376940" w:rsidRPr="003609BD" w:rsidRDefault="00376940" w:rsidP="003609BD">
      <w:pPr>
        <w:adjustRightInd w:val="0"/>
        <w:ind w:leftChars="515" w:left="1133" w:right="1110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14:paraId="1CD84F47" w14:textId="77777777" w:rsidR="00E85660" w:rsidRPr="003609BD" w:rsidRDefault="00E85660" w:rsidP="00A842CA">
      <w:pPr>
        <w:ind w:right="1110"/>
        <w:rPr>
          <w:rFonts w:ascii="Times New Roman" w:eastAsia="MS PGothic" w:hAnsi="Times New Roman" w:cs="Times New Roman"/>
          <w:b/>
          <w:bCs/>
          <w:sz w:val="20"/>
          <w:szCs w:val="20"/>
          <w:u w:val="single"/>
        </w:rPr>
      </w:pPr>
      <w:r w:rsidRPr="003609BD">
        <w:rPr>
          <w:rFonts w:ascii="Times New Roman" w:hAnsi="Times New Roman" w:cs="Times New Roman"/>
          <w:b/>
          <w:bCs/>
          <w:sz w:val="20"/>
          <w:szCs w:val="20"/>
          <w:u w:val="single"/>
        </w:rPr>
        <w:t>Example 1: particulate sampling system</w:t>
      </w:r>
    </w:p>
    <w:p w14:paraId="31660879" w14:textId="77777777" w:rsidR="00E85660" w:rsidRPr="003609BD" w:rsidRDefault="00E85660" w:rsidP="00A842CA">
      <w:pPr>
        <w:ind w:right="1110"/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 xml:space="preserve">ECE R83/05 Annex 4 Appendix 5 </w:t>
      </w:r>
      <w:r w:rsidRPr="003609BD">
        <w:rPr>
          <w:rFonts w:ascii="Times New Roman" w:hAnsi="Times New Roman" w:cs="Times New Roman"/>
          <w:sz w:val="20"/>
          <w:szCs w:val="20"/>
        </w:rPr>
        <w:t> shall be as indicated ….</w:t>
      </w:r>
    </w:p>
    <w:p w14:paraId="325FCDD8" w14:textId="237A5C56" w:rsidR="00E85660" w:rsidRDefault="00E85660" w:rsidP="00E85660">
      <w:pPr>
        <w:rPr>
          <w:color w:val="1F497D"/>
          <w:lang w:val="de-DE"/>
        </w:rPr>
      </w:pPr>
      <w:r>
        <w:rPr>
          <w:noProof/>
          <w:lang w:eastAsia="ja-JP"/>
        </w:rPr>
        <w:lastRenderedPageBreak/>
        <w:drawing>
          <wp:inline distT="0" distB="0" distL="0" distR="0" wp14:anchorId="5A8332CA" wp14:editId="4942D1E0">
            <wp:extent cx="5810250" cy="857250"/>
            <wp:effectExtent l="0" t="0" r="0" b="0"/>
            <wp:docPr id="5" name="図 5" descr="cid:image002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A0AD" w14:textId="3C28E6AC" w:rsidR="00E85660" w:rsidRDefault="00E85660" w:rsidP="00E85660">
      <w:pPr>
        <w:rPr>
          <w:color w:val="1F497D"/>
          <w:lang w:val="de-DE"/>
        </w:rPr>
      </w:pPr>
      <w:r>
        <w:rPr>
          <w:noProof/>
          <w:lang w:eastAsia="ja-JP"/>
        </w:rPr>
        <w:drawing>
          <wp:inline distT="0" distB="0" distL="0" distR="0" wp14:anchorId="764053B5" wp14:editId="0A8219EA">
            <wp:extent cx="4210050" cy="2717800"/>
            <wp:effectExtent l="0" t="0" r="0" b="6350"/>
            <wp:docPr id="4" name="図 4" descr="cid:image004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D214" w14:textId="77777777" w:rsidR="00E85660" w:rsidRDefault="00E85660" w:rsidP="00E85660">
      <w:pPr>
        <w:rPr>
          <w:color w:val="1F497D"/>
          <w:lang w:val="de-DE"/>
        </w:rPr>
      </w:pPr>
    </w:p>
    <w:p w14:paraId="2BDBF17B" w14:textId="277EE662" w:rsidR="00306661" w:rsidRDefault="00306661" w:rsidP="005E268C">
      <w:pPr>
        <w:adjustRightInd w:val="0"/>
        <w:rPr>
          <w:rFonts w:ascii="Times New Roman" w:eastAsia="MS Mincho" w:hAnsi="Times New Roman" w:cs="Times New Roman"/>
          <w:b/>
          <w:bCs/>
          <w:sz w:val="21"/>
          <w:szCs w:val="21"/>
        </w:rPr>
      </w:pPr>
    </w:p>
    <w:p w14:paraId="4D1BC9E4" w14:textId="3A4C9863" w:rsidR="00A906C1" w:rsidRDefault="00A906C1" w:rsidP="005E268C">
      <w:pPr>
        <w:adjustRightInd w:val="0"/>
        <w:rPr>
          <w:rFonts w:ascii="Times New Roman" w:eastAsia="MS Mincho" w:hAnsi="Times New Roman" w:cs="Times New Roman"/>
          <w:b/>
          <w:bCs/>
          <w:sz w:val="21"/>
          <w:szCs w:val="21"/>
        </w:rPr>
      </w:pPr>
    </w:p>
    <w:p w14:paraId="1A7524A8" w14:textId="77777777" w:rsidR="00E85660" w:rsidRPr="003609BD" w:rsidRDefault="00E85660" w:rsidP="00E85660">
      <w:pPr>
        <w:rPr>
          <w:rFonts w:ascii="Times New Roman" w:eastAsia="MS PGothic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 xml:space="preserve">UN R 154 </w:t>
      </w:r>
      <w:r w:rsidRPr="003609BD">
        <w:rPr>
          <w:rFonts w:ascii="Times New Roman" w:hAnsi="Times New Roman" w:cs="Times New Roman"/>
          <w:sz w:val="20"/>
          <w:szCs w:val="20"/>
          <w:lang w:val="de-DE"/>
        </w:rPr>
        <w:t></w:t>
      </w:r>
      <w:r w:rsidRPr="003609BD">
        <w:rPr>
          <w:rFonts w:ascii="Times New Roman" w:hAnsi="Times New Roman" w:cs="Times New Roman"/>
          <w:sz w:val="20"/>
          <w:szCs w:val="20"/>
        </w:rPr>
        <w:t xml:space="preserve"> pre-classifier may be used</w:t>
      </w:r>
    </w:p>
    <w:p w14:paraId="1B0BFC01" w14:textId="294AEC01" w:rsidR="00E85660" w:rsidRDefault="00E85660" w:rsidP="00E85660">
      <w:pPr>
        <w:rPr>
          <w:color w:val="1F497D"/>
          <w:lang w:val="de-DE"/>
        </w:rPr>
      </w:pPr>
      <w:r>
        <w:rPr>
          <w:noProof/>
          <w:lang w:eastAsia="ja-JP"/>
        </w:rPr>
        <w:drawing>
          <wp:inline distT="0" distB="0" distL="0" distR="0" wp14:anchorId="5D72DC2A" wp14:editId="1C8B5BBC">
            <wp:extent cx="4648200" cy="3638550"/>
            <wp:effectExtent l="0" t="0" r="0" b="0"/>
            <wp:docPr id="3" name="図 3" descr="cid:image006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6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9C73" w14:textId="2835208B" w:rsidR="00E85660" w:rsidRDefault="00E85660" w:rsidP="005E268C">
      <w:pPr>
        <w:adjustRightInd w:val="0"/>
        <w:rPr>
          <w:rFonts w:ascii="Times New Roman" w:eastAsia="MS Mincho" w:hAnsi="Times New Roman" w:cs="Times New Roman"/>
          <w:b/>
          <w:bCs/>
          <w:sz w:val="21"/>
          <w:szCs w:val="21"/>
        </w:rPr>
      </w:pPr>
    </w:p>
    <w:p w14:paraId="1DF7D588" w14:textId="674EBB3F" w:rsidR="00C2247A" w:rsidRPr="00924B95" w:rsidRDefault="00C2247A" w:rsidP="00C2247A">
      <w:pPr>
        <w:rPr>
          <w:rFonts w:ascii="Times New Roman" w:eastAsia="MS PGothic" w:hAnsi="Times New Roman" w:cs="Times New Roman"/>
          <w:b/>
          <w:bCs/>
          <w:sz w:val="20"/>
          <w:szCs w:val="20"/>
          <w:u w:val="single"/>
        </w:rPr>
      </w:pPr>
      <w:r w:rsidRPr="003609BD">
        <w:rPr>
          <w:rFonts w:ascii="Times New Roman" w:hAnsi="Times New Roman" w:cs="Times New Roman"/>
          <w:b/>
          <w:bCs/>
          <w:sz w:val="20"/>
          <w:szCs w:val="20"/>
          <w:u w:val="single"/>
        </w:rPr>
        <w:t>Example 2: length of pipe</w:t>
      </w:r>
    </w:p>
    <w:p w14:paraId="47C7780E" w14:textId="77777777" w:rsidR="00C2247A" w:rsidRPr="003609BD" w:rsidRDefault="00C2247A" w:rsidP="00C2247A">
      <w:pPr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 xml:space="preserve">ECE R83-05 Annex 4 Appendix 5 </w:t>
      </w:r>
      <w:r w:rsidRPr="003609BD">
        <w:rPr>
          <w:rFonts w:ascii="Times New Roman" w:hAnsi="Times New Roman" w:cs="Times New Roman"/>
          <w:sz w:val="20"/>
          <w:szCs w:val="20"/>
          <w:lang w:val="de-DE"/>
        </w:rPr>
        <w:t></w:t>
      </w:r>
      <w:r w:rsidRPr="003609BD">
        <w:rPr>
          <w:rFonts w:ascii="Times New Roman" w:hAnsi="Times New Roman" w:cs="Times New Roman"/>
          <w:sz w:val="20"/>
          <w:szCs w:val="20"/>
        </w:rPr>
        <w:t xml:space="preserve"> max. 3,6 m to dilution tunnel inlet </w:t>
      </w:r>
    </w:p>
    <w:p w14:paraId="4A558D06" w14:textId="03C4DE99" w:rsidR="00C2247A" w:rsidRPr="003609BD" w:rsidRDefault="00C2247A" w:rsidP="00C2247A">
      <w:pPr>
        <w:rPr>
          <w:rFonts w:ascii="Times New Roman" w:hAnsi="Times New Roman" w:cs="Times New Roman"/>
          <w:color w:val="1F497D"/>
          <w:lang w:val="de-DE"/>
        </w:rPr>
      </w:pPr>
      <w:r w:rsidRPr="003609BD">
        <w:rPr>
          <w:rFonts w:ascii="Times New Roman" w:hAnsi="Times New Roman" w:cs="Times New Roman"/>
          <w:noProof/>
          <w:lang w:eastAsia="ja-JP"/>
        </w:rPr>
        <w:lastRenderedPageBreak/>
        <w:drawing>
          <wp:inline distT="0" distB="0" distL="0" distR="0" wp14:anchorId="65DE4583" wp14:editId="15A8B217">
            <wp:extent cx="5861050" cy="546100"/>
            <wp:effectExtent l="0" t="0" r="6350" b="6350"/>
            <wp:docPr id="8" name="図 8" descr="cid:image008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8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F426" w14:textId="77777777" w:rsidR="00C2247A" w:rsidRPr="003609BD" w:rsidRDefault="00C2247A" w:rsidP="00C2247A">
      <w:pPr>
        <w:rPr>
          <w:rFonts w:ascii="Times New Roman" w:hAnsi="Times New Roman" w:cs="Times New Roman"/>
          <w:color w:val="1F497D"/>
          <w:lang w:val="de-DE"/>
        </w:rPr>
      </w:pPr>
    </w:p>
    <w:p w14:paraId="32162EE5" w14:textId="77777777" w:rsidR="00C2247A" w:rsidRPr="003609BD" w:rsidRDefault="00C2247A" w:rsidP="00C2247A">
      <w:pPr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 xml:space="preserve">UN R 154 </w:t>
      </w:r>
      <w:r w:rsidRPr="003609BD">
        <w:rPr>
          <w:rFonts w:ascii="Times New Roman" w:hAnsi="Times New Roman" w:cs="Times New Roman"/>
          <w:sz w:val="20"/>
          <w:szCs w:val="20"/>
          <w:lang w:val="de-DE"/>
        </w:rPr>
        <w:t></w:t>
      </w:r>
      <w:r w:rsidRPr="003609BD">
        <w:rPr>
          <w:rFonts w:ascii="Times New Roman" w:hAnsi="Times New Roman" w:cs="Times New Roman"/>
          <w:sz w:val="20"/>
          <w:szCs w:val="20"/>
        </w:rPr>
        <w:t xml:space="preserve"> max. 3,6 m …or first point of dilution</w:t>
      </w:r>
    </w:p>
    <w:p w14:paraId="1811DFE9" w14:textId="7A59E197" w:rsidR="00C2247A" w:rsidRDefault="00C2247A" w:rsidP="00C2247A">
      <w:pPr>
        <w:rPr>
          <w:color w:val="1F497D"/>
          <w:lang w:val="de-DE"/>
        </w:rPr>
      </w:pPr>
      <w:r>
        <w:rPr>
          <w:noProof/>
          <w:lang w:eastAsia="ja-JP"/>
        </w:rPr>
        <w:drawing>
          <wp:inline distT="0" distB="0" distL="0" distR="0" wp14:anchorId="1B1D96B2" wp14:editId="0FD1B001">
            <wp:extent cx="5867400" cy="1003300"/>
            <wp:effectExtent l="0" t="0" r="0" b="6350"/>
            <wp:docPr id="7" name="図 7" descr="cid:image010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10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A386" w14:textId="37AE3D58" w:rsidR="00C2247A" w:rsidRDefault="00C2247A" w:rsidP="00C2247A">
      <w:pPr>
        <w:rPr>
          <w:color w:val="1F497D"/>
          <w:lang w:val="de-DE"/>
        </w:rPr>
      </w:pPr>
      <w:r>
        <w:rPr>
          <w:noProof/>
          <w:lang w:eastAsia="ja-JP"/>
        </w:rPr>
        <w:drawing>
          <wp:inline distT="0" distB="0" distL="0" distR="0" wp14:anchorId="592AF7EA" wp14:editId="06564C00">
            <wp:extent cx="5715000" cy="1371600"/>
            <wp:effectExtent l="0" t="0" r="0" b="0"/>
            <wp:docPr id="6" name="図 6" descr="cid:image012.jpg@01D7E12E.4C0B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id:image012.jpg@01D7E12E.4C0B407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8299" w14:textId="7B60623E" w:rsidR="00951AE1" w:rsidRPr="00951AE1" w:rsidRDefault="00951AE1" w:rsidP="003A15CC">
      <w:pPr>
        <w:tabs>
          <w:tab w:val="left" w:pos="1959"/>
        </w:tabs>
        <w:spacing w:line="259" w:lineRule="auto"/>
        <w:ind w:right="-24"/>
        <w:rPr>
          <w:sz w:val="28"/>
          <w:lang w:val="en-GB"/>
        </w:rPr>
      </w:pPr>
    </w:p>
    <w:sectPr w:rsidR="00951AE1" w:rsidRPr="00951AE1" w:rsidSect="009A09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1580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9ED3" w14:textId="77777777" w:rsidR="00F37178" w:rsidRDefault="00F37178" w:rsidP="00F06571">
      <w:r>
        <w:separator/>
      </w:r>
    </w:p>
  </w:endnote>
  <w:endnote w:type="continuationSeparator" w:id="0">
    <w:p w14:paraId="49F8B289" w14:textId="77777777" w:rsidR="00F37178" w:rsidRDefault="00F37178" w:rsidP="00F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EDF1" w14:textId="77777777" w:rsidR="00667A31" w:rsidRDefault="00667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1E84" w14:textId="77777777" w:rsidR="00667A31" w:rsidRDefault="0066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8608" w14:textId="77777777" w:rsidR="00667A31" w:rsidRDefault="0066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CC47" w14:textId="77777777" w:rsidR="00F37178" w:rsidRDefault="00F37178" w:rsidP="00F06571">
      <w:r>
        <w:separator/>
      </w:r>
    </w:p>
  </w:footnote>
  <w:footnote w:type="continuationSeparator" w:id="0">
    <w:p w14:paraId="1A40F2D8" w14:textId="77777777" w:rsidR="00F37178" w:rsidRDefault="00F37178" w:rsidP="00F0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7050" w14:textId="77777777" w:rsidR="00667A31" w:rsidRDefault="00667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38"/>
    </w:tblGrid>
    <w:tr w:rsidR="001212DD" w:rsidRPr="001212DD" w14:paraId="78A2DCE2" w14:textId="77777777" w:rsidTr="00B555BE">
      <w:tc>
        <w:tcPr>
          <w:tcW w:w="4927" w:type="dxa"/>
        </w:tcPr>
        <w:p w14:paraId="675B3CB9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</w:rPr>
          </w:pPr>
          <w:r w:rsidRPr="001212DD">
            <w:rPr>
              <w:rFonts w:ascii="Times New Roman" w:eastAsia="Times New Roman" w:hAnsi="Times New Roman" w:cs="Times New Roman"/>
            </w:rPr>
            <w:t>Submitted by the expert from OICA</w:t>
          </w:r>
        </w:p>
      </w:tc>
      <w:tc>
        <w:tcPr>
          <w:tcW w:w="4928" w:type="dxa"/>
        </w:tcPr>
        <w:p w14:paraId="32356FFB" w14:textId="7D9CE043" w:rsidR="001212DD" w:rsidRPr="005D13D9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lang w:val="en-US"/>
            </w:rPr>
          </w:pPr>
          <w:r w:rsidRPr="005D13D9">
            <w:rPr>
              <w:rFonts w:ascii="Times New Roman" w:eastAsia="Times New Roman" w:hAnsi="Times New Roman" w:cs="Times New Roman"/>
              <w:u w:val="single"/>
              <w:lang w:val="en-US"/>
            </w:rPr>
            <w:t>Informal document</w:t>
          </w:r>
          <w:r w:rsidRPr="005D13D9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r w:rsidRPr="005D13D9">
            <w:rPr>
              <w:rFonts w:ascii="Times New Roman" w:eastAsia="Times New Roman" w:hAnsi="Times New Roman" w:cs="Times New Roman"/>
              <w:b/>
              <w:bCs/>
              <w:lang w:val="en-US"/>
            </w:rPr>
            <w:t>GRPE-</w:t>
          </w:r>
          <w:r w:rsidR="00951AE1" w:rsidRPr="005D13D9">
            <w:rPr>
              <w:rFonts w:ascii="Times New Roman" w:eastAsia="Times New Roman" w:hAnsi="Times New Roman" w:cs="Times New Roman"/>
              <w:b/>
              <w:bCs/>
              <w:lang w:val="en-US"/>
            </w:rPr>
            <w:t>8</w:t>
          </w:r>
          <w:r w:rsidR="00FD1C3C" w:rsidRPr="005D13D9">
            <w:rPr>
              <w:rFonts w:ascii="Times New Roman" w:eastAsia="Times New Roman" w:hAnsi="Times New Roman" w:cs="Times New Roman"/>
              <w:b/>
              <w:bCs/>
              <w:lang w:val="en-US"/>
            </w:rPr>
            <w:t>5</w:t>
          </w:r>
          <w:r w:rsidR="0035613B" w:rsidRPr="005D13D9">
            <w:rPr>
              <w:rFonts w:ascii="Times New Roman" w:eastAsia="Times New Roman" w:hAnsi="Times New Roman" w:cs="Times New Roman"/>
              <w:b/>
              <w:bCs/>
              <w:lang w:val="en-US"/>
            </w:rPr>
            <w:t>-</w:t>
          </w:r>
          <w:r w:rsidR="00C2456B">
            <w:rPr>
              <w:rFonts w:ascii="Times New Roman" w:eastAsia="Times New Roman" w:hAnsi="Times New Roman" w:cs="Times New Roman"/>
              <w:b/>
              <w:bCs/>
              <w:lang w:val="en-US"/>
            </w:rPr>
            <w:t>10</w:t>
          </w:r>
        </w:p>
        <w:p w14:paraId="4715C3CE" w14:textId="77777777" w:rsidR="001212DD" w:rsidRPr="005D13D9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Cs/>
              <w:lang w:val="en-US"/>
            </w:rPr>
          </w:pPr>
          <w:r w:rsidRPr="005D13D9">
            <w:rPr>
              <w:rFonts w:ascii="Times New Roman" w:eastAsia="Times New Roman" w:hAnsi="Times New Roman" w:cs="Times New Roman"/>
              <w:bCs/>
              <w:lang w:val="en-US"/>
            </w:rPr>
            <w:t>8</w:t>
          </w:r>
          <w:r w:rsidR="00FD1C3C" w:rsidRPr="005D13D9">
            <w:rPr>
              <w:rFonts w:ascii="Times New Roman" w:eastAsia="Times New Roman" w:hAnsi="Times New Roman" w:cs="Times New Roman"/>
              <w:bCs/>
              <w:lang w:val="en-US"/>
            </w:rPr>
            <w:t>5</w:t>
          </w:r>
          <w:r w:rsidR="000E165B" w:rsidRPr="005D13D9">
            <w:rPr>
              <w:rFonts w:ascii="Times New Roman" w:eastAsia="Times New Roman" w:hAnsi="Times New Roman" w:cs="Times New Roman"/>
              <w:bCs/>
              <w:vertAlign w:val="superscript"/>
              <w:lang w:val="en-US"/>
            </w:rPr>
            <w:t>th</w:t>
          </w:r>
          <w:r w:rsidR="0035613B" w:rsidRPr="005D13D9">
            <w:rPr>
              <w:rFonts w:ascii="Times New Roman" w:eastAsia="Times New Roman" w:hAnsi="Times New Roman" w:cs="Times New Roman"/>
              <w:bCs/>
              <w:lang w:val="en-US"/>
            </w:rPr>
            <w:t xml:space="preserve"> </w:t>
          </w:r>
          <w:r w:rsidR="00951AE1" w:rsidRPr="005D13D9">
            <w:rPr>
              <w:rFonts w:ascii="Times New Roman" w:eastAsia="Times New Roman" w:hAnsi="Times New Roman" w:cs="Times New Roman"/>
              <w:bCs/>
              <w:lang w:val="en-US"/>
            </w:rPr>
            <w:t>G</w:t>
          </w:r>
          <w:r w:rsidRPr="005D13D9">
            <w:rPr>
              <w:rFonts w:ascii="Times New Roman" w:eastAsia="Times New Roman" w:hAnsi="Times New Roman" w:cs="Times New Roman"/>
              <w:bCs/>
              <w:lang w:val="en-US"/>
            </w:rPr>
            <w:t xml:space="preserve">RPE, </w:t>
          </w:r>
          <w:r w:rsidR="00951AE1" w:rsidRPr="005D13D9">
            <w:rPr>
              <w:rFonts w:ascii="Times New Roman" w:eastAsia="Times New Roman" w:hAnsi="Times New Roman" w:cs="Times New Roman"/>
              <w:bCs/>
              <w:lang w:val="en-US"/>
            </w:rPr>
            <w:t>1</w:t>
          </w:r>
          <w:r w:rsidR="00EF479A" w:rsidRPr="005D13D9">
            <w:rPr>
              <w:rFonts w:ascii="Times New Roman" w:eastAsia="Times New Roman" w:hAnsi="Times New Roman" w:cs="Times New Roman"/>
              <w:bCs/>
              <w:lang w:val="en-US"/>
            </w:rPr>
            <w:t>1</w:t>
          </w:r>
          <w:r w:rsidR="00951AE1" w:rsidRPr="005D13D9">
            <w:rPr>
              <w:rFonts w:ascii="Times New Roman" w:eastAsia="Times New Roman" w:hAnsi="Times New Roman" w:cs="Times New Roman"/>
              <w:bCs/>
              <w:lang w:val="en-US"/>
            </w:rPr>
            <w:t>-</w:t>
          </w:r>
          <w:r w:rsidR="000E165B" w:rsidRPr="005D13D9">
            <w:rPr>
              <w:rFonts w:ascii="Times New Roman" w:eastAsia="Times New Roman" w:hAnsi="Times New Roman" w:cs="Times New Roman"/>
              <w:bCs/>
              <w:lang w:val="en-US"/>
            </w:rPr>
            <w:t>1</w:t>
          </w:r>
          <w:r w:rsidR="0035613B" w:rsidRPr="005D13D9">
            <w:rPr>
              <w:rFonts w:ascii="Times New Roman" w:eastAsia="Times New Roman" w:hAnsi="Times New Roman" w:cs="Times New Roman"/>
              <w:bCs/>
              <w:lang w:val="en-US"/>
            </w:rPr>
            <w:t>4 J</w:t>
          </w:r>
          <w:r w:rsidR="000E165B" w:rsidRPr="005D13D9">
            <w:rPr>
              <w:rFonts w:ascii="Times New Roman" w:eastAsia="Times New Roman" w:hAnsi="Times New Roman" w:cs="Times New Roman"/>
              <w:bCs/>
              <w:lang w:val="en-US"/>
            </w:rPr>
            <w:t>anuary</w:t>
          </w:r>
          <w:r w:rsidRPr="005D13D9">
            <w:rPr>
              <w:rFonts w:ascii="Times New Roman" w:eastAsia="Times New Roman" w:hAnsi="Times New Roman" w:cs="Times New Roman"/>
              <w:bCs/>
              <w:lang w:val="en-US"/>
            </w:rPr>
            <w:t xml:space="preserve"> 202</w:t>
          </w:r>
          <w:r w:rsidR="000E165B" w:rsidRPr="005D13D9">
            <w:rPr>
              <w:rFonts w:ascii="Times New Roman" w:eastAsia="Times New Roman" w:hAnsi="Times New Roman" w:cs="Times New Roman"/>
              <w:bCs/>
              <w:lang w:val="en-US"/>
            </w:rPr>
            <w:t>2</w:t>
          </w:r>
        </w:p>
        <w:p w14:paraId="29058496" w14:textId="6343DE9E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</w:rPr>
          </w:pPr>
          <w:r w:rsidRPr="001212DD">
            <w:rPr>
              <w:rFonts w:ascii="Times New Roman" w:eastAsia="Times New Roman" w:hAnsi="Times New Roman" w:cs="Times New Roman"/>
            </w:rPr>
            <w:t xml:space="preserve">Agenda item </w:t>
          </w:r>
          <w:r w:rsidR="005E5AF6">
            <w:rPr>
              <w:rFonts w:ascii="Times New Roman" w:eastAsia="Times New Roman" w:hAnsi="Times New Roman" w:cs="Times New Roman"/>
            </w:rPr>
            <w:t>3.</w:t>
          </w:r>
          <w:r w:rsidR="008B1670">
            <w:rPr>
              <w:rFonts w:ascii="Times New Roman" w:eastAsia="Times New Roman" w:hAnsi="Times New Roman" w:cs="Times New Roman"/>
            </w:rPr>
            <w:t>(</w:t>
          </w:r>
          <w:r w:rsidR="005E5AF6">
            <w:rPr>
              <w:rFonts w:ascii="Times New Roman" w:eastAsia="Times New Roman" w:hAnsi="Times New Roman" w:cs="Times New Roman"/>
            </w:rPr>
            <w:t>a</w:t>
          </w:r>
          <w:r w:rsidR="008B1670">
            <w:rPr>
              <w:rFonts w:ascii="Times New Roman" w:eastAsia="Times New Roman" w:hAnsi="Times New Roman" w:cs="Times New Roman"/>
            </w:rPr>
            <w:t>)</w:t>
          </w:r>
        </w:p>
        <w:p w14:paraId="53BC44A9" w14:textId="77777777" w:rsidR="001212DD" w:rsidRPr="001212DD" w:rsidRDefault="001212DD" w:rsidP="001212DD">
          <w:pPr>
            <w:tabs>
              <w:tab w:val="center" w:pos="4513"/>
              <w:tab w:val="right" w:pos="9026"/>
            </w:tabs>
            <w:ind w:left="1691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1B00D3F9" w14:textId="77777777" w:rsidR="001212DD" w:rsidRDefault="00121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6CBD" w14:textId="77777777" w:rsidR="00667A31" w:rsidRDefault="00667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2344"/>
    <w:multiLevelType w:val="hybridMultilevel"/>
    <w:tmpl w:val="DFC2A7F0"/>
    <w:lvl w:ilvl="0" w:tplc="A38A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77958"/>
    <w:multiLevelType w:val="hybridMultilevel"/>
    <w:tmpl w:val="A2507370"/>
    <w:lvl w:ilvl="0" w:tplc="82626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B42D2"/>
    <w:multiLevelType w:val="hybridMultilevel"/>
    <w:tmpl w:val="6E9AA5EC"/>
    <w:lvl w:ilvl="0" w:tplc="E13EB0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1F13"/>
    <w:multiLevelType w:val="hybridMultilevel"/>
    <w:tmpl w:val="9B022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2ED9"/>
    <w:multiLevelType w:val="hybridMultilevel"/>
    <w:tmpl w:val="06347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EB5D55"/>
    <w:multiLevelType w:val="hybridMultilevel"/>
    <w:tmpl w:val="883CFE66"/>
    <w:lvl w:ilvl="0" w:tplc="E13EB0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54B314C"/>
    <w:multiLevelType w:val="hybridMultilevel"/>
    <w:tmpl w:val="8142455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AD23832"/>
    <w:multiLevelType w:val="hybridMultilevel"/>
    <w:tmpl w:val="9BDCC7A0"/>
    <w:lvl w:ilvl="0" w:tplc="4FD62F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EC11C0"/>
    <w:multiLevelType w:val="hybridMultilevel"/>
    <w:tmpl w:val="7AA23976"/>
    <w:lvl w:ilvl="0" w:tplc="2A3E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471F15"/>
    <w:multiLevelType w:val="hybridMultilevel"/>
    <w:tmpl w:val="2D6E22F6"/>
    <w:lvl w:ilvl="0" w:tplc="FF480F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33B77"/>
    <w:multiLevelType w:val="hybridMultilevel"/>
    <w:tmpl w:val="8BEAF294"/>
    <w:lvl w:ilvl="0" w:tplc="BCE6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8254A"/>
    <w:multiLevelType w:val="hybridMultilevel"/>
    <w:tmpl w:val="AC20BF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1808B3"/>
    <w:multiLevelType w:val="hybridMultilevel"/>
    <w:tmpl w:val="F2984F6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8"/>
    <w:rsid w:val="00004440"/>
    <w:rsid w:val="000216C8"/>
    <w:rsid w:val="000277EF"/>
    <w:rsid w:val="00055F13"/>
    <w:rsid w:val="00061C71"/>
    <w:rsid w:val="000737FE"/>
    <w:rsid w:val="00073F84"/>
    <w:rsid w:val="0009755F"/>
    <w:rsid w:val="000C67C7"/>
    <w:rsid w:val="000E165B"/>
    <w:rsid w:val="000E1D6C"/>
    <w:rsid w:val="000E26D6"/>
    <w:rsid w:val="00114BAC"/>
    <w:rsid w:val="00117703"/>
    <w:rsid w:val="001212DD"/>
    <w:rsid w:val="00150B5F"/>
    <w:rsid w:val="00152CA0"/>
    <w:rsid w:val="00166593"/>
    <w:rsid w:val="00176A08"/>
    <w:rsid w:val="001818BF"/>
    <w:rsid w:val="00182807"/>
    <w:rsid w:val="001A13AC"/>
    <w:rsid w:val="001F5C88"/>
    <w:rsid w:val="002070DF"/>
    <w:rsid w:val="002171C9"/>
    <w:rsid w:val="0023374B"/>
    <w:rsid w:val="0024602C"/>
    <w:rsid w:val="00257C7A"/>
    <w:rsid w:val="00286EBB"/>
    <w:rsid w:val="00290B0D"/>
    <w:rsid w:val="002D7446"/>
    <w:rsid w:val="00306661"/>
    <w:rsid w:val="00321F0F"/>
    <w:rsid w:val="00327D8E"/>
    <w:rsid w:val="0035613B"/>
    <w:rsid w:val="003609BD"/>
    <w:rsid w:val="00373C5B"/>
    <w:rsid w:val="00376940"/>
    <w:rsid w:val="003A15CC"/>
    <w:rsid w:val="003A4E24"/>
    <w:rsid w:val="003A7086"/>
    <w:rsid w:val="003B3089"/>
    <w:rsid w:val="003B60B8"/>
    <w:rsid w:val="003E2571"/>
    <w:rsid w:val="00460D24"/>
    <w:rsid w:val="00472DAE"/>
    <w:rsid w:val="00474A66"/>
    <w:rsid w:val="00475B7E"/>
    <w:rsid w:val="004814F0"/>
    <w:rsid w:val="00485566"/>
    <w:rsid w:val="00487ACC"/>
    <w:rsid w:val="004921D2"/>
    <w:rsid w:val="004A6BA4"/>
    <w:rsid w:val="004D5BB9"/>
    <w:rsid w:val="00542229"/>
    <w:rsid w:val="00543F57"/>
    <w:rsid w:val="005467A8"/>
    <w:rsid w:val="00557D35"/>
    <w:rsid w:val="0056570C"/>
    <w:rsid w:val="00592535"/>
    <w:rsid w:val="005C4DA1"/>
    <w:rsid w:val="005D089B"/>
    <w:rsid w:val="005D13D9"/>
    <w:rsid w:val="005E268C"/>
    <w:rsid w:val="005E5AF6"/>
    <w:rsid w:val="005F7120"/>
    <w:rsid w:val="00622705"/>
    <w:rsid w:val="00667A31"/>
    <w:rsid w:val="00692505"/>
    <w:rsid w:val="006E0C92"/>
    <w:rsid w:val="006E27DC"/>
    <w:rsid w:val="006E50CC"/>
    <w:rsid w:val="006F69E5"/>
    <w:rsid w:val="00723C98"/>
    <w:rsid w:val="007402C4"/>
    <w:rsid w:val="00751B28"/>
    <w:rsid w:val="0075489F"/>
    <w:rsid w:val="00795364"/>
    <w:rsid w:val="007A33DD"/>
    <w:rsid w:val="007A561F"/>
    <w:rsid w:val="007B7932"/>
    <w:rsid w:val="007E0FCC"/>
    <w:rsid w:val="0081205A"/>
    <w:rsid w:val="00820FEB"/>
    <w:rsid w:val="00824231"/>
    <w:rsid w:val="00840544"/>
    <w:rsid w:val="0084084E"/>
    <w:rsid w:val="00877EF5"/>
    <w:rsid w:val="00892D87"/>
    <w:rsid w:val="008B1670"/>
    <w:rsid w:val="008C1F84"/>
    <w:rsid w:val="008D6027"/>
    <w:rsid w:val="0090170F"/>
    <w:rsid w:val="00911A23"/>
    <w:rsid w:val="009235B8"/>
    <w:rsid w:val="00924B95"/>
    <w:rsid w:val="00932045"/>
    <w:rsid w:val="00951AE1"/>
    <w:rsid w:val="00952DDE"/>
    <w:rsid w:val="00976687"/>
    <w:rsid w:val="00987669"/>
    <w:rsid w:val="00996E80"/>
    <w:rsid w:val="009A0930"/>
    <w:rsid w:val="009A7AC3"/>
    <w:rsid w:val="009B01AB"/>
    <w:rsid w:val="009C4623"/>
    <w:rsid w:val="00A05431"/>
    <w:rsid w:val="00A57D12"/>
    <w:rsid w:val="00A76EBA"/>
    <w:rsid w:val="00A842CA"/>
    <w:rsid w:val="00A906C1"/>
    <w:rsid w:val="00AB1A99"/>
    <w:rsid w:val="00AF182B"/>
    <w:rsid w:val="00AF473D"/>
    <w:rsid w:val="00AF541B"/>
    <w:rsid w:val="00B1593C"/>
    <w:rsid w:val="00B343D4"/>
    <w:rsid w:val="00B35549"/>
    <w:rsid w:val="00B635BB"/>
    <w:rsid w:val="00B67B2B"/>
    <w:rsid w:val="00B86189"/>
    <w:rsid w:val="00B86392"/>
    <w:rsid w:val="00BA17D0"/>
    <w:rsid w:val="00BB0718"/>
    <w:rsid w:val="00BC4AB7"/>
    <w:rsid w:val="00BC5101"/>
    <w:rsid w:val="00BD50BF"/>
    <w:rsid w:val="00BE7772"/>
    <w:rsid w:val="00BF7CF9"/>
    <w:rsid w:val="00C219F9"/>
    <w:rsid w:val="00C2247A"/>
    <w:rsid w:val="00C2456B"/>
    <w:rsid w:val="00C66D32"/>
    <w:rsid w:val="00C84AAB"/>
    <w:rsid w:val="00C9089E"/>
    <w:rsid w:val="00C90C85"/>
    <w:rsid w:val="00CA1F03"/>
    <w:rsid w:val="00CB314E"/>
    <w:rsid w:val="00CE0DD3"/>
    <w:rsid w:val="00D03622"/>
    <w:rsid w:val="00D17263"/>
    <w:rsid w:val="00D17573"/>
    <w:rsid w:val="00D42C29"/>
    <w:rsid w:val="00D7097E"/>
    <w:rsid w:val="00DA31E5"/>
    <w:rsid w:val="00DE2D8F"/>
    <w:rsid w:val="00E24ED7"/>
    <w:rsid w:val="00E25BF0"/>
    <w:rsid w:val="00E57784"/>
    <w:rsid w:val="00E85660"/>
    <w:rsid w:val="00EB0095"/>
    <w:rsid w:val="00EE439B"/>
    <w:rsid w:val="00EF479A"/>
    <w:rsid w:val="00F06571"/>
    <w:rsid w:val="00F15553"/>
    <w:rsid w:val="00F37178"/>
    <w:rsid w:val="00F40C20"/>
    <w:rsid w:val="00F4130C"/>
    <w:rsid w:val="00F4362E"/>
    <w:rsid w:val="00F9065F"/>
    <w:rsid w:val="00F92936"/>
    <w:rsid w:val="00FA15C3"/>
    <w:rsid w:val="00FD1C3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2B60FB"/>
  <w15:docId w15:val="{576B4505-9FB7-43E8-86CC-BD6EF251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C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65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593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1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3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212DD"/>
    <w:pPr>
      <w:widowControl/>
      <w:suppressAutoHyphens/>
      <w:autoSpaceDE/>
      <w:autoSpaceDN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51AE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customStyle="1" w:styleId="SingleTxtG">
    <w:name w:val="_ Single Txt_G"/>
    <w:basedOn w:val="Normal"/>
    <w:link w:val="SingleTxtGChar"/>
    <w:qFormat/>
    <w:rsid w:val="00951AE1"/>
    <w:pPr>
      <w:widowControl/>
      <w:autoSpaceDE/>
      <w:autoSpaceDN/>
      <w:spacing w:after="120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951A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0C67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argeG">
    <w:name w:val="__XLarge_G"/>
    <w:basedOn w:val="Normal"/>
    <w:next w:val="Normal"/>
    <w:rsid w:val="0035613B"/>
    <w:pPr>
      <w:keepNext/>
      <w:keepLines/>
      <w:widowControl/>
      <w:suppressAutoHyphens/>
      <w:autoSpaceDE/>
      <w:autoSpaceDN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CA1F03"/>
    <w:pPr>
      <w:suppressAutoHyphens/>
      <w:spacing w:line="240" w:lineRule="atLeast"/>
      <w:ind w:left="2268" w:hanging="1134"/>
    </w:pPr>
    <w:rPr>
      <w:lang w:val="fr-CH"/>
    </w:rPr>
  </w:style>
  <w:style w:type="character" w:customStyle="1" w:styleId="paraChar">
    <w:name w:val="para Char"/>
    <w:link w:val="para"/>
    <w:rsid w:val="00CA1F03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PlainText">
    <w:name w:val="Plain Text"/>
    <w:basedOn w:val="Normal"/>
    <w:link w:val="PlainTextChar"/>
    <w:uiPriority w:val="99"/>
    <w:unhideWhenUsed/>
    <w:rsid w:val="00061C71"/>
    <w:pPr>
      <w:autoSpaceDE/>
      <w:autoSpaceDN/>
    </w:pPr>
    <w:rPr>
      <w:rFonts w:ascii="Yu Gothic" w:eastAsia="Yu Gothic" w:hAnsi="Courier New" w:cs="Courier New"/>
      <w:kern w:val="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61C71"/>
    <w:rPr>
      <w:rFonts w:ascii="Yu Gothic" w:eastAsia="Yu Gothic" w:hAnsi="Courier New" w:cs="Courier New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61C71"/>
    <w:rPr>
      <w:rFonts w:asciiTheme="majorHAnsi" w:eastAsiaTheme="majorEastAsia" w:hAnsiTheme="majorHAnsi" w:cstheme="maj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AE"/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A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cid:image008.jpg@01D7E12E.4C0B407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cid:image002.jpg@01D7E12E.4C0B4070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06.jpg@01D7E12E.4C0B4070" TargetMode="External"/><Relationship Id="rId20" Type="http://schemas.openxmlformats.org/officeDocument/2006/relationships/image" Target="cid:image010.jpg@01D7E12E.4C0B407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4.jpg@01D7E12E.4C0B4070" TargetMode="External"/><Relationship Id="rId22" Type="http://schemas.openxmlformats.org/officeDocument/2006/relationships/image" Target="cid:image012.jpg@01D7E12E.4C0B407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B07C8-354B-45CE-93DF-81F5022E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B92B8-2EFD-4E61-A29E-6725C02468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3CE66D-FED6-4DCD-B903-F3D16BA235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D90BEA-E006-4522-BBE7-4517452EB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Volkswagen AG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Francois Cuenot</cp:lastModifiedBy>
  <cp:revision>6</cp:revision>
  <dcterms:created xsi:type="dcterms:W3CDTF">2022-01-07T13:22:00Z</dcterms:created>
  <dcterms:modified xsi:type="dcterms:W3CDTF">2022-01-07T16:46:00Z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ContentTypeId">
    <vt:lpwstr>0x0101003B8422D08C252547BB1CFA7F78E2CB83</vt:lpwstr>
  </property>
</Properties>
</file>