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3544"/>
        <w:gridCol w:w="5954"/>
      </w:tblGrid>
      <w:tr w:rsidR="00F5631D" w:rsidRPr="005222E5" w14:paraId="3A5E54EB" w14:textId="77777777" w:rsidTr="00E27D2D">
        <w:trPr>
          <w:cantSplit/>
          <w:trHeight w:val="714"/>
        </w:trPr>
        <w:tc>
          <w:tcPr>
            <w:tcW w:w="3544" w:type="dxa"/>
            <w:shd w:val="clear" w:color="auto" w:fill="auto"/>
          </w:tcPr>
          <w:p w14:paraId="496081BF" w14:textId="4C21B1B3" w:rsidR="00F5631D" w:rsidRPr="00DC3460" w:rsidRDefault="00F5631D" w:rsidP="009F525B">
            <w:pPr>
              <w:spacing w:after="80"/>
              <w:rPr>
                <w:b/>
                <w:sz w:val="24"/>
                <w:szCs w:val="24"/>
                <w:lang w:val="en-GB"/>
              </w:rPr>
            </w:pPr>
            <w:bookmarkStart w:id="0" w:name="_Hlk87433416"/>
            <w:bookmarkEnd w:id="0"/>
            <w:r w:rsidRPr="00D203F4">
              <w:rPr>
                <w:lang w:val="en-GB"/>
              </w:rPr>
              <w:t xml:space="preserve">Transmitted by the experts of the </w:t>
            </w:r>
            <w:r w:rsidR="009F525B">
              <w:rPr>
                <w:lang w:val="en-GB"/>
              </w:rPr>
              <w:br/>
            </w:r>
            <w:r w:rsidRPr="00D203F4">
              <w:rPr>
                <w:lang w:val="en-GB"/>
              </w:rPr>
              <w:t xml:space="preserve">Informal Working Group on </w:t>
            </w:r>
            <w:r w:rsidR="009F525B">
              <w:rPr>
                <w:lang w:val="en-GB"/>
              </w:rPr>
              <w:br/>
            </w:r>
            <w:r w:rsidRPr="00D203F4">
              <w:rPr>
                <w:lang w:val="en-GB"/>
              </w:rPr>
              <w:t>Measurement Uncertainties (IWG MU)</w:t>
            </w:r>
            <w:r w:rsidRPr="00D203F4">
              <w:rPr>
                <w:lang w:val="en-GB"/>
              </w:rPr>
              <w:tab/>
            </w:r>
          </w:p>
        </w:tc>
        <w:tc>
          <w:tcPr>
            <w:tcW w:w="5954" w:type="dxa"/>
            <w:shd w:val="clear" w:color="auto" w:fill="auto"/>
          </w:tcPr>
          <w:p w14:paraId="7E489549" w14:textId="317BAACC" w:rsidR="001E0254" w:rsidRPr="00FE0C59" w:rsidRDefault="001E0254" w:rsidP="0014713A">
            <w:pPr>
              <w:ind w:left="3117"/>
              <w:rPr>
                <w:lang w:val="pt-BR"/>
              </w:rPr>
            </w:pPr>
            <w:r w:rsidRPr="00FE0C59">
              <w:rPr>
                <w:lang w:val="pt-BR"/>
              </w:rPr>
              <w:t xml:space="preserve">Informal document </w:t>
            </w:r>
            <w:r w:rsidRPr="009E5A9D">
              <w:rPr>
                <w:b/>
                <w:bCs/>
                <w:lang w:val="pt-BR"/>
              </w:rPr>
              <w:t>GRBP-</w:t>
            </w:r>
            <w:r w:rsidR="00FE0C59" w:rsidRPr="009E5A9D">
              <w:rPr>
                <w:b/>
                <w:bCs/>
                <w:lang w:val="pt-BR"/>
              </w:rPr>
              <w:t>75-07</w:t>
            </w:r>
          </w:p>
          <w:p w14:paraId="165E4A8A" w14:textId="2EE30295" w:rsidR="00F5631D" w:rsidRPr="00FE0C59" w:rsidRDefault="009E5A9D" w:rsidP="0014713A">
            <w:pPr>
              <w:ind w:left="3117"/>
              <w:rPr>
                <w:lang w:val="en-US"/>
              </w:rPr>
            </w:pPr>
            <w:r>
              <w:rPr>
                <w:lang w:val="en-US"/>
              </w:rPr>
              <w:t>(</w:t>
            </w:r>
            <w:r w:rsidR="001E0254" w:rsidRPr="00FE0C59">
              <w:rPr>
                <w:lang w:val="en-US"/>
              </w:rPr>
              <w:t>7</w:t>
            </w:r>
            <w:r w:rsidR="008B33B3" w:rsidRPr="00FE0C59">
              <w:rPr>
                <w:lang w:val="en-US"/>
              </w:rPr>
              <w:t>5th</w:t>
            </w:r>
            <w:r w:rsidR="001E0254" w:rsidRPr="00FE0C59">
              <w:rPr>
                <w:lang w:val="en-US"/>
              </w:rPr>
              <w:t xml:space="preserve"> GRBP, </w:t>
            </w:r>
            <w:r w:rsidR="00FE0C59" w:rsidRPr="00FE0C59">
              <w:rPr>
                <w:lang w:val="en-US"/>
              </w:rPr>
              <w:t>07-10 February 2022</w:t>
            </w:r>
            <w:r w:rsidR="001E0254" w:rsidRPr="00FE0C59">
              <w:rPr>
                <w:lang w:val="en-US"/>
              </w:rPr>
              <w:t>,</w:t>
            </w:r>
            <w:r w:rsidR="008B33B3" w:rsidRPr="00FE0C59">
              <w:rPr>
                <w:lang w:val="en-US"/>
              </w:rPr>
              <w:t xml:space="preserve"> </w:t>
            </w:r>
            <w:r w:rsidR="00FE0C59">
              <w:rPr>
                <w:lang w:val="en-US"/>
              </w:rPr>
              <w:br/>
            </w:r>
            <w:r w:rsidR="001E0254" w:rsidRPr="00FE0C59">
              <w:rPr>
                <w:lang w:val="en-US"/>
              </w:rPr>
              <w:t>agenda item 3)</w:t>
            </w:r>
          </w:p>
        </w:tc>
      </w:tr>
    </w:tbl>
    <w:p w14:paraId="2A39DC26" w14:textId="46D205C1" w:rsidR="000E43F2" w:rsidRDefault="000E43F2" w:rsidP="00904E96">
      <w:pPr>
        <w:keepNext/>
        <w:keepLines/>
        <w:tabs>
          <w:tab w:val="right" w:pos="851"/>
        </w:tabs>
        <w:spacing w:before="360" w:after="240" w:line="300" w:lineRule="exact"/>
        <w:ind w:left="1134" w:right="1134" w:hanging="1134"/>
        <w:rPr>
          <w:b/>
          <w:sz w:val="28"/>
          <w:lang w:val="en-GB"/>
        </w:rPr>
      </w:pPr>
      <w:bookmarkStart w:id="1" w:name="_Hlk87371461"/>
    </w:p>
    <w:p w14:paraId="0233A232" w14:textId="77777777" w:rsidR="004E7B09" w:rsidRDefault="004E7B09" w:rsidP="00904E96">
      <w:pPr>
        <w:keepNext/>
        <w:keepLines/>
        <w:tabs>
          <w:tab w:val="right" w:pos="851"/>
        </w:tabs>
        <w:spacing w:before="360" w:after="240" w:line="300" w:lineRule="exact"/>
        <w:ind w:left="1134" w:right="1134" w:hanging="1134"/>
        <w:rPr>
          <w:b/>
          <w:sz w:val="28"/>
          <w:lang w:val="en-GB"/>
        </w:rPr>
      </w:pPr>
    </w:p>
    <w:p w14:paraId="50792E1E" w14:textId="4863C154" w:rsidR="00904E96" w:rsidRPr="00103BD0" w:rsidRDefault="000E43F2" w:rsidP="007C284E">
      <w:pPr>
        <w:keepNext/>
        <w:keepLines/>
        <w:tabs>
          <w:tab w:val="right" w:pos="851"/>
        </w:tabs>
        <w:spacing w:before="360" w:after="240" w:line="300" w:lineRule="exact"/>
        <w:rPr>
          <w:b/>
          <w:sz w:val="24"/>
          <w:szCs w:val="24"/>
          <w:lang w:val="en-GB"/>
        </w:rPr>
      </w:pPr>
      <w:r>
        <w:rPr>
          <w:b/>
          <w:sz w:val="28"/>
          <w:lang w:val="en-GB"/>
        </w:rPr>
        <w:tab/>
      </w:r>
      <w:r w:rsidR="00790A7E">
        <w:rPr>
          <w:b/>
          <w:sz w:val="28"/>
          <w:lang w:val="en-GB"/>
        </w:rPr>
        <w:t xml:space="preserve">Proposal for </w:t>
      </w:r>
      <w:r w:rsidR="00F911D4">
        <w:rPr>
          <w:b/>
          <w:sz w:val="28"/>
          <w:lang w:val="en-GB"/>
        </w:rPr>
        <w:t>a</w:t>
      </w:r>
      <w:r w:rsidR="00AC2908">
        <w:rPr>
          <w:b/>
          <w:sz w:val="28"/>
          <w:lang w:val="en-GB"/>
        </w:rPr>
        <w:t>n</w:t>
      </w:r>
      <w:r w:rsidR="00F911D4">
        <w:rPr>
          <w:b/>
          <w:sz w:val="28"/>
          <w:lang w:val="en-GB"/>
        </w:rPr>
        <w:t xml:space="preserve"> </w:t>
      </w:r>
      <w:r w:rsidR="000141E2">
        <w:rPr>
          <w:b/>
          <w:sz w:val="28"/>
          <w:lang w:val="en-GB"/>
        </w:rPr>
        <w:t>amendment to t</w:t>
      </w:r>
      <w:r w:rsidR="00AC2908">
        <w:rPr>
          <w:b/>
          <w:sz w:val="28"/>
          <w:lang w:val="en-GB"/>
        </w:rPr>
        <w:t xml:space="preserve">he </w:t>
      </w:r>
      <w:r>
        <w:rPr>
          <w:b/>
          <w:sz w:val="28"/>
          <w:lang w:val="en-GB"/>
        </w:rPr>
        <w:t>D</w:t>
      </w:r>
      <w:r w:rsidR="00E92C36" w:rsidRPr="00E92C36">
        <w:rPr>
          <w:b/>
          <w:sz w:val="28"/>
          <w:lang w:val="en-GB"/>
        </w:rPr>
        <w:t xml:space="preserve">ocument of </w:t>
      </w:r>
      <w:r>
        <w:rPr>
          <w:b/>
          <w:sz w:val="28"/>
          <w:lang w:val="en-GB"/>
        </w:rPr>
        <w:t>R</w:t>
      </w:r>
      <w:r w:rsidR="00E92C36" w:rsidRPr="00E92C36">
        <w:rPr>
          <w:b/>
          <w:sz w:val="28"/>
          <w:lang w:val="en-GB"/>
        </w:rPr>
        <w:t xml:space="preserve">eference: </w:t>
      </w:r>
      <w:r w:rsidR="00E92C36">
        <w:rPr>
          <w:b/>
          <w:sz w:val="28"/>
          <w:lang w:val="en-GB"/>
        </w:rPr>
        <w:br/>
      </w:r>
      <w:r w:rsidR="004E7B09">
        <w:rPr>
          <w:b/>
          <w:sz w:val="28"/>
          <w:lang w:val="en-GB"/>
        </w:rPr>
        <w:t>“</w:t>
      </w:r>
      <w:r w:rsidR="00B52D31">
        <w:rPr>
          <w:b/>
          <w:sz w:val="28"/>
          <w:lang w:val="en-GB"/>
        </w:rPr>
        <w:t>A</w:t>
      </w:r>
      <w:r w:rsidR="00E92C36" w:rsidRPr="00E92C36">
        <w:rPr>
          <w:b/>
          <w:sz w:val="28"/>
          <w:lang w:val="en-GB"/>
        </w:rPr>
        <w:t xml:space="preserve"> general approach how to handle measurement uncertainty</w:t>
      </w:r>
      <w:bookmarkEnd w:id="1"/>
      <w:r w:rsidR="007C284E">
        <w:rPr>
          <w:b/>
          <w:sz w:val="28"/>
          <w:lang w:val="en-GB"/>
        </w:rPr>
        <w:t xml:space="preserve">” </w:t>
      </w:r>
      <w:r w:rsidR="00FC05F5">
        <w:rPr>
          <w:b/>
          <w:sz w:val="28"/>
          <w:lang w:val="en-GB"/>
        </w:rPr>
        <w:br/>
      </w:r>
      <w:r w:rsidR="007C284E">
        <w:rPr>
          <w:b/>
          <w:sz w:val="28"/>
          <w:lang w:val="en-GB"/>
        </w:rPr>
        <w:t>(GRBP-2022-09)</w:t>
      </w:r>
    </w:p>
    <w:p w14:paraId="6AEAA0A8" w14:textId="39203798" w:rsidR="00870600" w:rsidRDefault="00870600" w:rsidP="00870600">
      <w:pPr>
        <w:pStyle w:val="Default"/>
        <w:jc w:val="both"/>
        <w:rPr>
          <w:sz w:val="20"/>
          <w:szCs w:val="20"/>
        </w:rPr>
      </w:pPr>
      <w:r>
        <w:rPr>
          <w:sz w:val="20"/>
          <w:szCs w:val="20"/>
        </w:rPr>
        <w:t xml:space="preserve">The text below has been prepared by the experts of the Informal Working group on Measurement Uncertainties (IWB MU) in order to introduce </w:t>
      </w:r>
      <w:r w:rsidR="007B4DF5">
        <w:rPr>
          <w:sz w:val="20"/>
          <w:szCs w:val="20"/>
        </w:rPr>
        <w:t>a</w:t>
      </w:r>
      <w:r w:rsidR="007D0A0D">
        <w:rPr>
          <w:sz w:val="20"/>
          <w:szCs w:val="20"/>
        </w:rPr>
        <w:t xml:space="preserve"> general</w:t>
      </w:r>
      <w:r w:rsidR="007B4DF5">
        <w:rPr>
          <w:sz w:val="20"/>
          <w:szCs w:val="20"/>
        </w:rPr>
        <w:t xml:space="preserve"> </w:t>
      </w:r>
      <w:r w:rsidR="007D0A0D">
        <w:rPr>
          <w:sz w:val="20"/>
          <w:szCs w:val="20"/>
        </w:rPr>
        <w:t>guideline</w:t>
      </w:r>
      <w:r>
        <w:rPr>
          <w:sz w:val="20"/>
          <w:szCs w:val="20"/>
        </w:rPr>
        <w:t xml:space="preserve">. </w:t>
      </w:r>
      <w:r w:rsidRPr="00702A55">
        <w:rPr>
          <w:sz w:val="20"/>
          <w:szCs w:val="20"/>
        </w:rPr>
        <w:t xml:space="preserve">The </w:t>
      </w:r>
      <w:r>
        <w:rPr>
          <w:sz w:val="20"/>
          <w:szCs w:val="20"/>
        </w:rPr>
        <w:t xml:space="preserve">modifications to the existing text of the </w:t>
      </w:r>
      <w:r w:rsidR="004E63FC">
        <w:rPr>
          <w:sz w:val="20"/>
          <w:szCs w:val="20"/>
        </w:rPr>
        <w:t>“</w:t>
      </w:r>
      <w:r w:rsidR="004E63FC" w:rsidRPr="004E63FC">
        <w:rPr>
          <w:sz w:val="20"/>
          <w:szCs w:val="20"/>
        </w:rPr>
        <w:t>Document of Reference</w:t>
      </w:r>
      <w:r w:rsidR="004E63FC">
        <w:rPr>
          <w:sz w:val="20"/>
          <w:szCs w:val="20"/>
        </w:rPr>
        <w:t>”</w:t>
      </w:r>
      <w:r w:rsidR="007D0A0D">
        <w:rPr>
          <w:sz w:val="20"/>
          <w:szCs w:val="20"/>
        </w:rPr>
        <w:t xml:space="preserve"> (GRBP2022-9)</w:t>
      </w:r>
      <w:r>
        <w:rPr>
          <w:sz w:val="20"/>
          <w:szCs w:val="20"/>
        </w:rPr>
        <w:t xml:space="preserve"> are marked in </w:t>
      </w:r>
      <w:r w:rsidRPr="00350D24">
        <w:rPr>
          <w:strike/>
          <w:sz w:val="20"/>
          <w:szCs w:val="20"/>
        </w:rPr>
        <w:t>strikethrough</w:t>
      </w:r>
      <w:r>
        <w:rPr>
          <w:sz w:val="20"/>
          <w:szCs w:val="20"/>
        </w:rPr>
        <w:t xml:space="preserve"> for deleted characters. </w:t>
      </w:r>
    </w:p>
    <w:p w14:paraId="4A17BF86" w14:textId="019CD2AD" w:rsidR="00162760" w:rsidRPr="00DC3460" w:rsidRDefault="00162760" w:rsidP="00904E96">
      <w:pPr>
        <w:pStyle w:val="SingleTxtG"/>
        <w:tabs>
          <w:tab w:val="left" w:pos="8505"/>
        </w:tabs>
        <w:spacing w:before="240" w:after="0"/>
        <w:ind w:firstLine="567"/>
        <w:rPr>
          <w:lang w:val="en-GB"/>
        </w:rPr>
      </w:pPr>
    </w:p>
    <w:p w14:paraId="7F0E57F8" w14:textId="77777777" w:rsidR="00805445" w:rsidRPr="00DC3460" w:rsidRDefault="00805445" w:rsidP="00E03A64">
      <w:pPr>
        <w:rPr>
          <w:bCs/>
          <w:lang w:val="en-GB"/>
        </w:rPr>
      </w:pPr>
    </w:p>
    <w:p w14:paraId="7CC1C03F" w14:textId="77777777" w:rsidR="00D02FF3" w:rsidRPr="002B720E" w:rsidRDefault="00D02FF3" w:rsidP="00D66BC5">
      <w:pPr>
        <w:keepNext/>
        <w:keepLines/>
        <w:numPr>
          <w:ilvl w:val="0"/>
          <w:numId w:val="19"/>
        </w:numPr>
        <w:tabs>
          <w:tab w:val="right" w:pos="993"/>
        </w:tabs>
        <w:spacing w:before="360" w:after="240" w:line="300" w:lineRule="exact"/>
        <w:ind w:right="1134"/>
        <w:rPr>
          <w:b/>
          <w:bCs/>
          <w:sz w:val="28"/>
          <w:szCs w:val="28"/>
          <w:lang w:val="en-US"/>
        </w:rPr>
      </w:pPr>
      <w:bookmarkStart w:id="2" w:name="_Toc83987020"/>
      <w:bookmarkStart w:id="3" w:name="_Toc87431065"/>
      <w:r w:rsidRPr="002B720E">
        <w:rPr>
          <w:b/>
          <w:bCs/>
          <w:sz w:val="28"/>
          <w:szCs w:val="28"/>
          <w:lang w:val="en-US"/>
        </w:rPr>
        <w:t>Proposal</w:t>
      </w:r>
    </w:p>
    <w:p w14:paraId="2FF93BBB" w14:textId="071A293F" w:rsidR="00D02FF3" w:rsidRDefault="0036571D" w:rsidP="004E63FC">
      <w:pPr>
        <w:keepNext/>
        <w:keepLines/>
        <w:tabs>
          <w:tab w:val="right" w:leader="dot" w:pos="8505"/>
        </w:tabs>
        <w:spacing w:after="120"/>
        <w:ind w:left="284" w:right="521"/>
        <w:jc w:val="both"/>
        <w:rPr>
          <w:i/>
          <w:lang w:val="en-US"/>
        </w:rPr>
      </w:pPr>
      <w:r w:rsidRPr="00A330FA">
        <w:rPr>
          <w:i/>
          <w:lang w:val="en-US"/>
        </w:rPr>
        <w:t>P</w:t>
      </w:r>
      <w:r w:rsidR="00D02FF3" w:rsidRPr="00A330FA">
        <w:rPr>
          <w:i/>
          <w:lang w:val="en-US"/>
        </w:rPr>
        <w:t>aragraph</w:t>
      </w:r>
      <w:r w:rsidRPr="00A330FA">
        <w:rPr>
          <w:i/>
          <w:lang w:val="en-US"/>
        </w:rPr>
        <w:t xml:space="preserve"> 7</w:t>
      </w:r>
      <w:r w:rsidR="00D02FF3" w:rsidRPr="00A330FA">
        <w:rPr>
          <w:i/>
          <w:lang w:val="en-US"/>
        </w:rPr>
        <w:t>,</w:t>
      </w:r>
      <w:r w:rsidR="00690CB5">
        <w:rPr>
          <w:i/>
          <w:lang w:val="en-US"/>
        </w:rPr>
        <w:t xml:space="preserve"> </w:t>
      </w:r>
      <w:r w:rsidR="0082709B">
        <w:rPr>
          <w:i/>
          <w:lang w:val="en-US"/>
        </w:rPr>
        <w:t>delete table 7.1 and 7.2</w:t>
      </w:r>
      <w:r w:rsidR="00690CB5">
        <w:rPr>
          <w:i/>
          <w:lang w:val="en-US"/>
        </w:rPr>
        <w:t xml:space="preserve"> </w:t>
      </w:r>
    </w:p>
    <w:p w14:paraId="31B9415B" w14:textId="4DC539DA" w:rsidR="00690CB5" w:rsidRPr="00A330FA" w:rsidRDefault="00690CB5" w:rsidP="00D02FF3">
      <w:pPr>
        <w:keepNext/>
        <w:keepLines/>
        <w:tabs>
          <w:tab w:val="right" w:leader="dot" w:pos="8505"/>
        </w:tabs>
        <w:spacing w:after="120"/>
        <w:ind w:left="1701" w:right="521" w:hanging="1134"/>
        <w:jc w:val="both"/>
        <w:rPr>
          <w:i/>
          <w:lang w:val="en-US"/>
        </w:rPr>
      </w:pPr>
      <w:r>
        <w:rPr>
          <w:i/>
          <w:lang w:val="en-US"/>
        </w:rPr>
        <w:t>“</w:t>
      </w:r>
    </w:p>
    <w:p w14:paraId="41F53659" w14:textId="1090F212" w:rsidR="009D07E6" w:rsidRPr="00423874" w:rsidRDefault="009D07E6" w:rsidP="00F35D9E">
      <w:pPr>
        <w:pStyle w:val="HChG"/>
        <w:numPr>
          <w:ilvl w:val="0"/>
          <w:numId w:val="7"/>
        </w:numPr>
        <w:tabs>
          <w:tab w:val="clear" w:pos="851"/>
        </w:tabs>
        <w:ind w:left="1134" w:right="0" w:hanging="567"/>
        <w:rPr>
          <w:lang w:val="en-GB"/>
        </w:rPr>
      </w:pPr>
      <w:r w:rsidRPr="00423874">
        <w:rPr>
          <w:lang w:val="en-GB"/>
        </w:rPr>
        <w:t xml:space="preserve">Example of estimation of expanded uncertainty – </w:t>
      </w:r>
      <w:r w:rsidR="002D558F" w:rsidRPr="00423874">
        <w:rPr>
          <w:lang w:val="en-GB"/>
        </w:rPr>
        <w:t xml:space="preserve">UN </w:t>
      </w:r>
      <w:r w:rsidR="00423874">
        <w:rPr>
          <w:lang w:val="en-GB"/>
        </w:rPr>
        <w:t>R</w:t>
      </w:r>
      <w:r w:rsidR="002D558F" w:rsidRPr="00423874">
        <w:rPr>
          <w:lang w:val="en-GB"/>
        </w:rPr>
        <w:t>egulation No.</w:t>
      </w:r>
      <w:r w:rsidR="000C3588" w:rsidRPr="00423874">
        <w:rPr>
          <w:lang w:val="en-GB"/>
        </w:rPr>
        <w:t xml:space="preserve"> </w:t>
      </w:r>
      <w:r w:rsidRPr="00423874">
        <w:rPr>
          <w:lang w:val="en-GB"/>
        </w:rPr>
        <w:t>51 and ISO 362-1.</w:t>
      </w:r>
      <w:bookmarkEnd w:id="2"/>
      <w:bookmarkEnd w:id="3"/>
    </w:p>
    <w:p w14:paraId="738F3A7B" w14:textId="6468DD4D" w:rsidR="009D07E6" w:rsidRPr="008208C4" w:rsidRDefault="009D07E6" w:rsidP="0014730C">
      <w:pPr>
        <w:keepLines/>
        <w:spacing w:after="120"/>
        <w:ind w:left="1134" w:firstLine="567"/>
        <w:jc w:val="both"/>
        <w:rPr>
          <w:bCs/>
          <w:lang w:val="en-GB"/>
        </w:rPr>
      </w:pPr>
      <w:r w:rsidRPr="008208C4">
        <w:rPr>
          <w:bCs/>
          <w:lang w:val="en-GB"/>
        </w:rPr>
        <w:t xml:space="preserve">In </w:t>
      </w:r>
      <w:r w:rsidR="002D558F" w:rsidRPr="008208C4">
        <w:rPr>
          <w:bCs/>
          <w:lang w:val="en-GB"/>
        </w:rPr>
        <w:t xml:space="preserve">UN </w:t>
      </w:r>
      <w:r w:rsidR="002D558F">
        <w:rPr>
          <w:bCs/>
          <w:lang w:val="en-GB"/>
        </w:rPr>
        <w:t xml:space="preserve">Regulation No. </w:t>
      </w:r>
      <w:r w:rsidRPr="008208C4">
        <w:rPr>
          <w:bCs/>
          <w:lang w:val="en-GB"/>
        </w:rPr>
        <w:t>51, the test method (Annex 3</w:t>
      </w:r>
      <w:r w:rsidR="00564692">
        <w:rPr>
          <w:lang w:val="en-GB"/>
        </w:rPr>
        <w:t xml:space="preserve">), </w:t>
      </w:r>
      <w:r w:rsidR="00564692" w:rsidRPr="0007123C">
        <w:rPr>
          <w:lang w:val="en-GB"/>
        </w:rPr>
        <w:t>f</w:t>
      </w:r>
      <w:r w:rsidR="00564692" w:rsidRPr="0007123C">
        <w:rPr>
          <w:snapToGrid w:val="0"/>
          <w:lang w:val="en-GB"/>
        </w:rPr>
        <w:t>or vehicles of categories M</w:t>
      </w:r>
      <w:r w:rsidR="00564692" w:rsidRPr="0007123C">
        <w:rPr>
          <w:snapToGrid w:val="0"/>
          <w:vertAlign w:val="subscript"/>
          <w:lang w:val="en-GB"/>
        </w:rPr>
        <w:t>1</w:t>
      </w:r>
      <w:r w:rsidR="00564692" w:rsidRPr="0007123C">
        <w:rPr>
          <w:snapToGrid w:val="0"/>
          <w:lang w:val="en-GB"/>
        </w:rPr>
        <w:t xml:space="preserve"> and N</w:t>
      </w:r>
      <w:r w:rsidR="00564692" w:rsidRPr="0007123C">
        <w:rPr>
          <w:snapToGrid w:val="0"/>
          <w:vertAlign w:val="subscript"/>
          <w:lang w:val="en-GB"/>
        </w:rPr>
        <w:t>1,</w:t>
      </w:r>
      <w:r w:rsidR="00564692" w:rsidRPr="0007123C">
        <w:rPr>
          <w:snapToGrid w:val="0"/>
          <w:lang w:val="en-GB"/>
        </w:rPr>
        <w:t xml:space="preserve"> and for vehicles of category M</w:t>
      </w:r>
      <w:r w:rsidR="00564692" w:rsidRPr="0007123C">
        <w:rPr>
          <w:snapToGrid w:val="0"/>
          <w:vertAlign w:val="subscript"/>
          <w:lang w:val="en-GB"/>
        </w:rPr>
        <w:t>2</w:t>
      </w:r>
      <w:r w:rsidR="00564692" w:rsidRPr="0007123C">
        <w:rPr>
          <w:snapToGrid w:val="0"/>
          <w:lang w:val="en-GB"/>
        </w:rPr>
        <w:t xml:space="preserve"> having a maximum authorized mass not exceeding 3,500 kg,</w:t>
      </w:r>
      <w:r w:rsidR="00564692">
        <w:rPr>
          <w:lang w:val="en-GB"/>
        </w:rPr>
        <w:t xml:space="preserve"> </w:t>
      </w:r>
      <w:r w:rsidRPr="008208C4">
        <w:rPr>
          <w:bCs/>
          <w:lang w:val="en-GB"/>
        </w:rPr>
        <w:t xml:space="preserve"> is based on two driving conditions; a constant speed test, L</w:t>
      </w:r>
      <w:r w:rsidRPr="00B533EA">
        <w:rPr>
          <w:bCs/>
          <w:vertAlign w:val="subscript"/>
          <w:lang w:val="en-GB"/>
        </w:rPr>
        <w:t>crs</w:t>
      </w:r>
      <w:r w:rsidRPr="008208C4">
        <w:rPr>
          <w:bCs/>
          <w:lang w:val="en-GB"/>
        </w:rPr>
        <w:t>, and a wide-open throttle acceleration test, L</w:t>
      </w:r>
      <w:r w:rsidRPr="00B533EA">
        <w:rPr>
          <w:bCs/>
          <w:vertAlign w:val="subscript"/>
          <w:lang w:val="en-GB"/>
        </w:rPr>
        <w:t>wot</w:t>
      </w:r>
      <w:r w:rsidRPr="008208C4">
        <w:rPr>
          <w:bCs/>
          <w:lang w:val="en-GB"/>
        </w:rPr>
        <w:t>, to determine the final type-approval level, L</w:t>
      </w:r>
      <w:r w:rsidRPr="00B533EA">
        <w:rPr>
          <w:bCs/>
          <w:vertAlign w:val="subscript"/>
          <w:lang w:val="en-GB"/>
        </w:rPr>
        <w:t>urban</w:t>
      </w:r>
      <w:r w:rsidRPr="008208C4">
        <w:rPr>
          <w:bCs/>
          <w:lang w:val="en-GB"/>
        </w:rPr>
        <w:t>.</w:t>
      </w:r>
    </w:p>
    <w:p w14:paraId="58C37532" w14:textId="11B1B4B6" w:rsidR="009D07E6" w:rsidRPr="008208C4" w:rsidRDefault="009D07E6" w:rsidP="0014730C">
      <w:pPr>
        <w:keepLines/>
        <w:spacing w:after="120"/>
        <w:ind w:left="1134" w:firstLine="567"/>
        <w:jc w:val="both"/>
        <w:rPr>
          <w:bCs/>
          <w:lang w:val="en-GB"/>
        </w:rPr>
      </w:pPr>
      <w:r w:rsidRPr="008208C4">
        <w:rPr>
          <w:bCs/>
          <w:lang w:val="en-GB"/>
        </w:rPr>
        <w:t>In table</w:t>
      </w:r>
      <w:r w:rsidR="001E7B92">
        <w:rPr>
          <w:bCs/>
          <w:lang w:val="en-GB"/>
        </w:rPr>
        <w:t xml:space="preserve"> 7.1 </w:t>
      </w:r>
      <w:r w:rsidRPr="008208C4">
        <w:rPr>
          <w:bCs/>
          <w:lang w:val="en-GB"/>
        </w:rPr>
        <w:t>below, the impact of the different quantities on these indicators has been estimated for the Run-to-run, Day-to-day, Site-to-site and Vehicle-to-vehicle situations.</w:t>
      </w:r>
    </w:p>
    <w:p w14:paraId="5D73EA63" w14:textId="3733CAEA" w:rsidR="00EF1BC9" w:rsidRDefault="009D07E6" w:rsidP="0014730C">
      <w:pPr>
        <w:keepLines/>
        <w:spacing w:after="120"/>
        <w:ind w:left="1134" w:firstLine="567"/>
        <w:jc w:val="both"/>
        <w:rPr>
          <w:bCs/>
          <w:lang w:val="en-GB"/>
        </w:rPr>
      </w:pPr>
      <w:r w:rsidRPr="008208C4">
        <w:rPr>
          <w:bCs/>
          <w:lang w:val="en-GB"/>
        </w:rPr>
        <w:t xml:space="preserve">Some of the different impacts are based on calculations from tolerances in the regulations, while others are based on experiences. Based on the probability distribution, the variance and the standard deviation is calculated. For each of the quantities, their contribution (in %) has been calculated and the colour scheme makes it easy to understand the influence of the quantity to the total uncertainty. Some of these quantities can be compensated for, like the influence of temperature and test track variations, while other is of random type, like instrumentation accuracy and cannot be compensated. In the example shown below, the estimated total expanded uncertainty has been calculated to ± 3.45 dB for a coverage factor of k = 2 (95 </w:t>
      </w:r>
      <w:r w:rsidR="003D7400">
        <w:rPr>
          <w:bCs/>
          <w:lang w:val="en-GB"/>
        </w:rPr>
        <w:t xml:space="preserve">per cent </w:t>
      </w:r>
      <w:r w:rsidRPr="008208C4">
        <w:rPr>
          <w:bCs/>
          <w:lang w:val="en-GB"/>
        </w:rPr>
        <w:t>level of confidence).</w:t>
      </w:r>
    </w:p>
    <w:p w14:paraId="58FC3A1D" w14:textId="77777777" w:rsidR="00EF1BC9" w:rsidRDefault="00EF1BC9">
      <w:pPr>
        <w:suppressAutoHyphens w:val="0"/>
        <w:spacing w:line="240" w:lineRule="auto"/>
        <w:rPr>
          <w:bCs/>
          <w:lang w:val="en-GB"/>
        </w:rPr>
      </w:pPr>
      <w:r>
        <w:rPr>
          <w:bCs/>
          <w:lang w:val="en-GB"/>
        </w:rPr>
        <w:br w:type="page"/>
      </w:r>
    </w:p>
    <w:p w14:paraId="1A211E51" w14:textId="2872BCC2" w:rsidR="003D7400" w:rsidRDefault="00A73A07" w:rsidP="003D7400">
      <w:pPr>
        <w:spacing w:line="240" w:lineRule="auto"/>
        <w:ind w:left="1134"/>
        <w:outlineLvl w:val="0"/>
        <w:rPr>
          <w:bCs/>
          <w:lang w:val="en-GB"/>
        </w:rPr>
      </w:pPr>
      <w:r w:rsidRPr="008208C4">
        <w:rPr>
          <w:bCs/>
          <w:lang w:val="en-GB"/>
        </w:rPr>
        <w:lastRenderedPageBreak/>
        <w:t>Table 7.1</w:t>
      </w:r>
      <w:r w:rsidR="009E7F5F" w:rsidRPr="009E7F5F">
        <w:rPr>
          <w:rStyle w:val="FootnoteReference"/>
          <w:bCs/>
          <w:sz w:val="20"/>
          <w:vertAlign w:val="baseline"/>
          <w:lang w:val="en-US"/>
        </w:rPr>
        <w:footnoteReference w:customMarkFollows="1" w:id="2"/>
        <w:t>**</w:t>
      </w:r>
    </w:p>
    <w:p w14:paraId="18DBDF0C" w14:textId="0D6C779E" w:rsidR="0039236C" w:rsidRDefault="00A73A07" w:rsidP="007F166F">
      <w:pPr>
        <w:ind w:left="1134"/>
        <w:outlineLvl w:val="0"/>
        <w:rPr>
          <w:b/>
          <w:lang w:val="en-GB"/>
        </w:rPr>
      </w:pPr>
      <w:r w:rsidRPr="003D7400">
        <w:rPr>
          <w:b/>
          <w:lang w:val="en-GB"/>
        </w:rPr>
        <w:t xml:space="preserve">Example of calculation of uncertainties for </w:t>
      </w:r>
      <w:r w:rsidR="000052B7" w:rsidRPr="003D7400">
        <w:rPr>
          <w:b/>
          <w:lang w:val="en-GB"/>
        </w:rPr>
        <w:t>UN Regulation No.</w:t>
      </w:r>
      <w:r w:rsidRPr="003D7400">
        <w:rPr>
          <w:b/>
          <w:lang w:val="en-GB"/>
        </w:rPr>
        <w:t xml:space="preserve"> 51</w:t>
      </w:r>
      <w:r w:rsidR="007F166F">
        <w:rPr>
          <w:b/>
          <w:lang w:val="en-GB"/>
        </w:rPr>
        <w:t>:</w:t>
      </w:r>
    </w:p>
    <w:p w14:paraId="4EF723C2" w14:textId="7761BE0B" w:rsidR="00747CE8" w:rsidRDefault="007F166F" w:rsidP="00036BE7">
      <w:pPr>
        <w:spacing w:after="120"/>
        <w:ind w:left="1134"/>
        <w:outlineLvl w:val="0"/>
        <w:rPr>
          <w:bCs/>
          <w:lang w:val="en-GB"/>
        </w:rPr>
      </w:pPr>
      <w:r w:rsidRPr="007F166F">
        <w:rPr>
          <w:b/>
          <w:lang w:val="en-GB"/>
        </w:rPr>
        <w:t>Measurement uncertainty table for an M</w:t>
      </w:r>
      <w:r w:rsidRPr="005F1A4C">
        <w:rPr>
          <w:b/>
          <w:vertAlign w:val="subscript"/>
          <w:lang w:val="en-GB"/>
        </w:rPr>
        <w:t>1</w:t>
      </w:r>
      <w:r w:rsidRPr="007F166F">
        <w:rPr>
          <w:b/>
          <w:lang w:val="en-GB"/>
        </w:rPr>
        <w:t xml:space="preserve"> passenger car with combustion engine - stage 3 limit</w:t>
      </w:r>
      <w:r w:rsidR="005F1A4C" w:rsidRPr="003D7400">
        <w:rPr>
          <w:b/>
          <w:vertAlign w:val="superscript"/>
          <w:lang w:val="en-GB"/>
        </w:rPr>
        <w:t>7</w:t>
      </w:r>
    </w:p>
    <w:tbl>
      <w:tblPr>
        <w:tblW w:w="10349" w:type="dxa"/>
        <w:tblInd w:w="-289" w:type="dxa"/>
        <w:tblLayout w:type="fixed"/>
        <w:tblCellMar>
          <w:left w:w="70" w:type="dxa"/>
          <w:right w:w="70" w:type="dxa"/>
        </w:tblCellMar>
        <w:tblLook w:val="04A0" w:firstRow="1" w:lastRow="0" w:firstColumn="1" w:lastColumn="0" w:noHBand="0" w:noVBand="1"/>
      </w:tblPr>
      <w:tblGrid>
        <w:gridCol w:w="745"/>
        <w:gridCol w:w="1382"/>
        <w:gridCol w:w="567"/>
        <w:gridCol w:w="567"/>
        <w:gridCol w:w="603"/>
        <w:gridCol w:w="992"/>
        <w:gridCol w:w="815"/>
        <w:gridCol w:w="850"/>
        <w:gridCol w:w="993"/>
        <w:gridCol w:w="850"/>
        <w:gridCol w:w="851"/>
        <w:gridCol w:w="567"/>
        <w:gridCol w:w="567"/>
      </w:tblGrid>
      <w:tr w:rsidR="006C62CF" w:rsidRPr="00401EAA" w14:paraId="3ABD7AB9" w14:textId="77777777" w:rsidTr="00187303">
        <w:trPr>
          <w:trHeight w:val="170"/>
        </w:trPr>
        <w:tc>
          <w:tcPr>
            <w:tcW w:w="745" w:type="dxa"/>
            <w:vMerge w:val="restart"/>
            <w:tcBorders>
              <w:top w:val="single" w:sz="4" w:space="0" w:color="auto"/>
              <w:left w:val="single" w:sz="4" w:space="0" w:color="auto"/>
              <w:bottom w:val="single" w:sz="12" w:space="0" w:color="auto"/>
              <w:right w:val="nil"/>
            </w:tcBorders>
            <w:shd w:val="clear" w:color="auto" w:fill="auto"/>
            <w:vAlign w:val="center"/>
            <w:hideMark/>
          </w:tcPr>
          <w:p w14:paraId="5AFBF485" w14:textId="291EA886" w:rsidR="006C62CF" w:rsidRPr="002D7AB6" w:rsidRDefault="006C62CF" w:rsidP="00CC7725">
            <w:pPr>
              <w:suppressAutoHyphens w:val="0"/>
              <w:spacing w:line="240" w:lineRule="auto"/>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Situation</w:t>
            </w:r>
          </w:p>
        </w:tc>
        <w:tc>
          <w:tcPr>
            <w:tcW w:w="138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EE0797F"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Input Quantity</w:t>
            </w:r>
          </w:p>
        </w:tc>
        <w:tc>
          <w:tcPr>
            <w:tcW w:w="113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4A1B52F"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Estimated deviations of the meas. result (peak-peak)</w:t>
            </w:r>
          </w:p>
        </w:tc>
        <w:tc>
          <w:tcPr>
            <w:tcW w:w="603" w:type="dxa"/>
            <w:vMerge w:val="restart"/>
            <w:tcBorders>
              <w:top w:val="single" w:sz="4" w:space="0" w:color="auto"/>
              <w:left w:val="nil"/>
              <w:bottom w:val="single" w:sz="12" w:space="0" w:color="auto"/>
              <w:right w:val="nil"/>
            </w:tcBorders>
            <w:shd w:val="clear" w:color="auto" w:fill="auto"/>
            <w:vAlign w:val="center"/>
            <w:hideMark/>
          </w:tcPr>
          <w:p w14:paraId="5AB0A0D1"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 xml:space="preserve">Impact on </w:t>
            </w:r>
            <w:r w:rsidRPr="002D7AB6">
              <w:rPr>
                <w:rFonts w:asciiTheme="majorBidi" w:hAnsiTheme="majorBidi" w:cstheme="majorBidi"/>
                <w:b/>
                <w:bCs/>
                <w:i/>
                <w:iCs/>
                <w:strike/>
                <w:sz w:val="16"/>
                <w:szCs w:val="16"/>
                <w:lang w:val="en-GB" w:eastAsia="de-DE"/>
              </w:rPr>
              <w:br/>
              <w:t>Lurb</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5165C79"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 xml:space="preserve">Probability </w:t>
            </w:r>
            <w:r w:rsidRPr="002D7AB6">
              <w:rPr>
                <w:rFonts w:asciiTheme="majorBidi" w:hAnsiTheme="majorBidi" w:cstheme="majorBidi"/>
                <w:b/>
                <w:bCs/>
                <w:i/>
                <w:iCs/>
                <w:strike/>
                <w:sz w:val="16"/>
                <w:szCs w:val="16"/>
                <w:lang w:val="en-GB" w:eastAsia="de-DE"/>
              </w:rPr>
              <w:br/>
              <w:t>Distribution</w:t>
            </w:r>
          </w:p>
        </w:tc>
        <w:tc>
          <w:tcPr>
            <w:tcW w:w="815" w:type="dxa"/>
            <w:vMerge w:val="restart"/>
            <w:tcBorders>
              <w:top w:val="single" w:sz="4" w:space="0" w:color="auto"/>
              <w:left w:val="nil"/>
              <w:bottom w:val="single" w:sz="12" w:space="0" w:color="auto"/>
              <w:right w:val="single" w:sz="4" w:space="0" w:color="auto"/>
            </w:tcBorders>
            <w:shd w:val="clear" w:color="auto" w:fill="auto"/>
            <w:vAlign w:val="center"/>
            <w:hideMark/>
          </w:tcPr>
          <w:p w14:paraId="05E6730A"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Variance</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74D7FB61"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Standard deviation</w:t>
            </w:r>
          </w:p>
        </w:tc>
        <w:tc>
          <w:tcPr>
            <w:tcW w:w="9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CD3B3A6" w14:textId="24ECD141"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Share</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009FA114" w14:textId="77777777" w:rsidR="006C62CF" w:rsidRPr="002D7AB6" w:rsidRDefault="006C62CF" w:rsidP="00AF3617">
            <w:pPr>
              <w:suppressAutoHyphens w:val="0"/>
              <w:spacing w:line="240" w:lineRule="auto"/>
              <w:ind w:left="-67" w:right="-72"/>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Combined standard uncertainty</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F33178"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Uncertainty Budgets</w:t>
            </w:r>
          </w:p>
        </w:tc>
      </w:tr>
      <w:tr w:rsidR="006C62CF" w:rsidRPr="00401EAA" w14:paraId="3A337D47" w14:textId="77777777" w:rsidTr="00187303">
        <w:trPr>
          <w:trHeight w:val="170"/>
        </w:trPr>
        <w:tc>
          <w:tcPr>
            <w:tcW w:w="745" w:type="dxa"/>
            <w:vMerge/>
            <w:tcBorders>
              <w:top w:val="single" w:sz="4" w:space="0" w:color="auto"/>
              <w:left w:val="single" w:sz="4" w:space="0" w:color="auto"/>
              <w:bottom w:val="single" w:sz="12" w:space="0" w:color="auto"/>
              <w:right w:val="nil"/>
            </w:tcBorders>
            <w:vAlign w:val="center"/>
            <w:hideMark/>
          </w:tcPr>
          <w:p w14:paraId="1219DE0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5680B1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037E2296"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Lwot</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90194EF"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Lcrs</w:t>
            </w:r>
          </w:p>
        </w:tc>
        <w:tc>
          <w:tcPr>
            <w:tcW w:w="603" w:type="dxa"/>
            <w:vMerge/>
            <w:tcBorders>
              <w:top w:val="single" w:sz="4" w:space="0" w:color="auto"/>
              <w:left w:val="nil"/>
              <w:bottom w:val="single" w:sz="12" w:space="0" w:color="auto"/>
              <w:right w:val="nil"/>
            </w:tcBorders>
            <w:vAlign w:val="center"/>
            <w:hideMark/>
          </w:tcPr>
          <w:p w14:paraId="6CBB5064"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907F5A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15" w:type="dxa"/>
            <w:vMerge/>
            <w:tcBorders>
              <w:top w:val="single" w:sz="4" w:space="0" w:color="auto"/>
              <w:left w:val="nil"/>
              <w:bottom w:val="single" w:sz="12" w:space="0" w:color="auto"/>
              <w:right w:val="single" w:sz="4" w:space="0" w:color="auto"/>
            </w:tcBorders>
            <w:vAlign w:val="center"/>
            <w:hideMark/>
          </w:tcPr>
          <w:p w14:paraId="7168D6A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5E0062B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9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4FD9005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52EF0A5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376C3AF7"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 xml:space="preserve">Type </w:t>
            </w:r>
            <w:r w:rsidRPr="002D7AB6">
              <w:rPr>
                <w:rFonts w:asciiTheme="majorBidi" w:hAnsiTheme="majorBidi" w:cstheme="majorBidi"/>
                <w:b/>
                <w:bCs/>
                <w:i/>
                <w:iCs/>
                <w:strike/>
                <w:sz w:val="16"/>
                <w:szCs w:val="16"/>
                <w:lang w:val="en-GB" w:eastAsia="de-DE"/>
              </w:rPr>
              <w:b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4E1EF8A3"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5355611"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 xml:space="preserve">Field </w:t>
            </w:r>
            <w:r w:rsidRPr="002D7AB6">
              <w:rPr>
                <w:rFonts w:asciiTheme="majorBidi" w:hAnsiTheme="majorBidi" w:cstheme="majorBidi"/>
                <w:b/>
                <w:bCs/>
                <w:i/>
                <w:iCs/>
                <w:strike/>
                <w:sz w:val="16"/>
                <w:szCs w:val="16"/>
                <w:lang w:val="en-GB" w:eastAsia="de-DE"/>
              </w:rPr>
              <w:br/>
              <w:t>Tests</w:t>
            </w:r>
          </w:p>
        </w:tc>
      </w:tr>
      <w:tr w:rsidR="006C62CF" w:rsidRPr="00401EAA" w14:paraId="366DFB65" w14:textId="77777777" w:rsidTr="00187303">
        <w:trPr>
          <w:trHeight w:val="170"/>
        </w:trPr>
        <w:tc>
          <w:tcPr>
            <w:tcW w:w="7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459E1F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Run </w:t>
            </w:r>
            <w:r w:rsidRPr="002D7AB6">
              <w:rPr>
                <w:rFonts w:asciiTheme="majorBidi" w:hAnsiTheme="majorBidi" w:cstheme="majorBidi"/>
                <w:strike/>
                <w:sz w:val="18"/>
                <w:szCs w:val="18"/>
                <w:lang w:val="en-GB" w:eastAsia="de-DE"/>
              </w:rPr>
              <w:br/>
              <w:t xml:space="preserve">to </w:t>
            </w:r>
            <w:r w:rsidRPr="002D7AB6">
              <w:rPr>
                <w:rFonts w:asciiTheme="majorBidi" w:hAnsiTheme="majorBidi" w:cstheme="majorBidi"/>
                <w:strike/>
                <w:sz w:val="18"/>
                <w:szCs w:val="18"/>
                <w:lang w:val="en-GB" w:eastAsia="de-DE"/>
              </w:rPr>
              <w:br/>
              <w:t>Run</w:t>
            </w:r>
          </w:p>
        </w:tc>
        <w:tc>
          <w:tcPr>
            <w:tcW w:w="138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73F6E8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078096D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0,40</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B27E03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0,77</w:t>
            </w:r>
          </w:p>
        </w:tc>
        <w:tc>
          <w:tcPr>
            <w:tcW w:w="603" w:type="dxa"/>
            <w:tcBorders>
              <w:top w:val="single" w:sz="12" w:space="0" w:color="auto"/>
              <w:left w:val="nil"/>
              <w:bottom w:val="single" w:sz="4" w:space="0" w:color="auto"/>
              <w:right w:val="single" w:sz="4" w:space="0" w:color="auto"/>
            </w:tcBorders>
            <w:shd w:val="clear" w:color="auto" w:fill="auto"/>
            <w:noWrap/>
            <w:vAlign w:val="center"/>
            <w:hideMark/>
          </w:tcPr>
          <w:p w14:paraId="73D09E1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0,53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54D3CD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12" w:space="0" w:color="auto"/>
              <w:left w:val="nil"/>
              <w:bottom w:val="single" w:sz="4" w:space="0" w:color="auto"/>
              <w:right w:val="single" w:sz="4" w:space="0" w:color="auto"/>
            </w:tcBorders>
            <w:shd w:val="clear" w:color="auto" w:fill="auto"/>
            <w:vAlign w:val="center"/>
            <w:hideMark/>
          </w:tcPr>
          <w:p w14:paraId="1F24847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0,02 </w:t>
            </w:r>
          </w:p>
        </w:tc>
        <w:tc>
          <w:tcPr>
            <w:tcW w:w="850" w:type="dxa"/>
            <w:tcBorders>
              <w:top w:val="single" w:sz="12" w:space="0" w:color="auto"/>
              <w:left w:val="nil"/>
              <w:bottom w:val="single" w:sz="4" w:space="0" w:color="auto"/>
              <w:right w:val="single" w:sz="4" w:space="0" w:color="auto"/>
            </w:tcBorders>
            <w:shd w:val="clear" w:color="auto" w:fill="auto"/>
            <w:vAlign w:val="center"/>
            <w:hideMark/>
          </w:tcPr>
          <w:p w14:paraId="56F97F3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0,152 </w:t>
            </w:r>
          </w:p>
        </w:tc>
        <w:tc>
          <w:tcPr>
            <w:tcW w:w="993"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C9292F0"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1,0%</w:t>
            </w:r>
          </w:p>
        </w:tc>
        <w:tc>
          <w:tcPr>
            <w:tcW w:w="85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1BC3D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0,37 </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36352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0,37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CA2E02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0,37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7E2C1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0,37 </w:t>
            </w:r>
          </w:p>
        </w:tc>
      </w:tr>
      <w:tr w:rsidR="006C62CF" w:rsidRPr="00401EAA" w14:paraId="54792C5B"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4521C6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182C34" w14:textId="33E5A5FB" w:rsidR="006C62CF" w:rsidRPr="002D7AB6" w:rsidRDefault="003A7DFC"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Driver </w:t>
            </w:r>
            <w:r w:rsidR="006C62CF" w:rsidRPr="002D7AB6">
              <w:rPr>
                <w:rFonts w:asciiTheme="majorBidi" w:hAnsiTheme="majorBidi" w:cstheme="majorBidi"/>
                <w:strike/>
                <w:sz w:val="18"/>
                <w:szCs w:val="18"/>
                <w:lang w:val="en-GB" w:eastAsia="de-DE"/>
              </w:rPr>
              <w:t>#1: 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6494B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AB0C4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103A032"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2556D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A80295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1BE451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0,144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6D91CC"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0,9%</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7EFE0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E5026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990BE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6B17B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7EA0F65C"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47A7825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4010F0" w14:textId="2FCD6B7F" w:rsidR="006C62CF" w:rsidRPr="002D7AB6" w:rsidRDefault="003A7DFC"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Driver</w:t>
            </w:r>
            <w:r w:rsidR="006C62CF" w:rsidRPr="002D7AB6">
              <w:rPr>
                <w:rFonts w:asciiTheme="majorBidi" w:hAnsiTheme="majorBidi" w:cstheme="majorBidi"/>
                <w:strike/>
                <w:sz w:val="18"/>
                <w:szCs w:val="18"/>
                <w:lang w:val="en-GB" w:eastAsia="de-DE"/>
              </w:rPr>
              <w:t xml:space="preserve">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665A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07C1A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49C9B59"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0,33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009F5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DECB52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EF558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0,095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B07E7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0,4%</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EFBEE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7C1F9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D535C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7DF80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6BB8AA8C"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0018351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BA5F98" w14:textId="349E7670" w:rsidR="006C62CF" w:rsidRPr="002D7AB6" w:rsidRDefault="003A7DFC"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Driver</w:t>
            </w:r>
            <w:r w:rsidR="006C62CF" w:rsidRPr="002D7AB6">
              <w:rPr>
                <w:rFonts w:asciiTheme="majorBidi" w:hAnsiTheme="majorBidi" w:cstheme="majorBidi"/>
                <w:strike/>
                <w:sz w:val="18"/>
                <w:szCs w:val="18"/>
                <w:lang w:val="en-GB" w:eastAsia="de-DE"/>
              </w:rPr>
              <w:t xml:space="preserve"> #3: 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F21DB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0,30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9DDC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0,30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E6CEF7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0,30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2C2EA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E05B45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E5913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0058EC"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60383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587D5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CDBF7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36DC9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6CB82901"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2673B11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5CF540" w14:textId="311947BA" w:rsidR="006C62CF" w:rsidRPr="002D7AB6" w:rsidRDefault="003A7DFC"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Driver</w:t>
            </w:r>
            <w:r w:rsidR="006C62CF" w:rsidRPr="002D7AB6">
              <w:rPr>
                <w:rFonts w:asciiTheme="majorBidi" w:hAnsiTheme="majorBidi" w:cstheme="majorBidi"/>
                <w:strike/>
                <w:sz w:val="18"/>
                <w:szCs w:val="18"/>
                <w:lang w:val="en-GB" w:eastAsia="de-DE"/>
              </w:rPr>
              <w:t xml:space="preserve"> #4: 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97FC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8B65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EA8CE00"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0,17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3A31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9C4F2C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A2064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0,042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D76055"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0,1%</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97597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5134F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6949F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481E1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21B955F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00A0FD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0E63F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1E429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C78D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0,10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DE57500"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C65C3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2CB797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FF0CB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0,025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979D7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801DD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06A65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291A0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822B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4665A2E8"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5E23020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127E19" w14:textId="4DD40DD1"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Variation on operating temperature of engine (WOT) and tyres (WOT&amp;CRS) ==&gt; See ISO 362-1 </w:t>
            </w:r>
            <w:r w:rsidR="00622320" w:rsidRPr="002D7AB6">
              <w:rPr>
                <w:rFonts w:asciiTheme="majorBidi" w:hAnsiTheme="majorBidi" w:cstheme="majorBidi"/>
                <w:strike/>
                <w:sz w:val="18"/>
                <w:szCs w:val="18"/>
                <w:lang w:val="en-GB" w:eastAsia="de-DE"/>
              </w:rPr>
              <w:t>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7C429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3C64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3AB0324"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0,96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4320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002007F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0,08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DF5FC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0,278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697010"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3,2%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FD153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22CA8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C13D3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56577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3B0B5637" w14:textId="77777777" w:rsidTr="00187303">
        <w:trPr>
          <w:trHeight w:val="1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766B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Day </w:t>
            </w:r>
            <w:r w:rsidRPr="002D7AB6">
              <w:rPr>
                <w:rFonts w:asciiTheme="majorBidi" w:hAnsiTheme="majorBidi" w:cstheme="majorBidi"/>
                <w:strike/>
                <w:sz w:val="18"/>
                <w:szCs w:val="18"/>
                <w:lang w:val="en-GB" w:eastAsia="de-DE"/>
              </w:rPr>
              <w:br/>
              <w:t xml:space="preserve">to </w:t>
            </w:r>
            <w:r w:rsidRPr="002D7AB6">
              <w:rPr>
                <w:rFonts w:asciiTheme="majorBidi" w:hAnsiTheme="majorBidi" w:cstheme="majorBidi"/>
                <w:strike/>
                <w:sz w:val="18"/>
                <w:szCs w:val="18"/>
                <w:lang w:val="en-GB" w:eastAsia="de-DE"/>
              </w:rPr>
              <w:br/>
              <w:t>Day</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9D2CF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Barometric pressure (Weather +/- 30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1C99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2F1D2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F7EAB67"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824B7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696AF4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D04CA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0,099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B1A871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CCC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0,68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4FFE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0,68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EB96"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0,68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8DD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0,62 </w:t>
            </w:r>
          </w:p>
        </w:tc>
      </w:tr>
      <w:tr w:rsidR="006C62CF" w:rsidRPr="00401EAA" w14:paraId="1380978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CF74A4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E97EE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Air temperature effect on tyre noise (5-10°C)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B5459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3BB98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2,00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04A2E3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1,34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8DACAB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C9FC22B"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E8D6D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86F39C"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6,2%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3C8B0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AE5FD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9F7BD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5EE4E9"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r>
      <w:tr w:rsidR="006C62CF" w:rsidRPr="00401EAA" w14:paraId="1A8544B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4741406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5071A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25036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FFC02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2,00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E7ACA05"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1,34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A5015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031A3D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689B7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0,387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1355E"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6,2%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092AC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BA965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25779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69D7B5"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r>
      <w:tr w:rsidR="006C62CF" w:rsidRPr="00401EAA" w14:paraId="4F01D77A"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05A949F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865DE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CCEEA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BB1E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4144707"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0,74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F5B12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49A2EA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0,03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9FCEF2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0,184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6F520E"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ABC75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D0B2FC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355AC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E7A06B"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r>
      <w:tr w:rsidR="006C62CF" w:rsidRPr="00401EAA" w14:paraId="5F5FF7AF"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14B43C6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7E60D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6B42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4A536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B6D527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0,99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212E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69BCFB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0,06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27C178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0,248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D9FD93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2,6%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5D8CF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7F4D19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19781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216D04"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r>
      <w:tr w:rsidR="006C62CF" w:rsidRPr="00401EAA" w14:paraId="2DD456B2"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FADEE7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EA2D2D4"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7EE97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0,70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CEEA3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EFB5EF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76617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487417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E6731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0,231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D996BD"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78ADA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AA7CB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804AC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7C1B89F"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r>
      <w:tr w:rsidR="006C62CF" w:rsidRPr="00401EAA" w14:paraId="24CBE3A4" w14:textId="77777777" w:rsidTr="00187303">
        <w:trPr>
          <w:trHeight w:val="1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C79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Site </w:t>
            </w:r>
            <w:r w:rsidRPr="002D7AB6">
              <w:rPr>
                <w:rFonts w:asciiTheme="majorBidi" w:hAnsiTheme="majorBidi" w:cstheme="majorBidi"/>
                <w:strike/>
                <w:sz w:val="18"/>
                <w:szCs w:val="18"/>
                <w:lang w:val="en-GB" w:eastAsia="de-DE"/>
              </w:rPr>
              <w:br/>
              <w:t xml:space="preserve">to </w:t>
            </w:r>
            <w:r w:rsidRPr="002D7AB6">
              <w:rPr>
                <w:rFonts w:asciiTheme="majorBidi" w:hAnsiTheme="majorBidi" w:cstheme="majorBidi"/>
                <w:strike/>
                <w:sz w:val="18"/>
                <w:szCs w:val="18"/>
                <w:lang w:val="en-GB" w:eastAsia="de-DE"/>
              </w:rPr>
              <w:br/>
              <w:t>Site</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0B353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Altitude (Location of Test Track) -100 hPa/1000m</w:t>
            </w:r>
            <w:r w:rsidRPr="002D7AB6">
              <w:rPr>
                <w:rFonts w:asciiTheme="majorBidi" w:hAnsiTheme="majorBidi" w:cstheme="majorBidi"/>
                <w:strike/>
                <w:sz w:val="18"/>
                <w:szCs w:val="18"/>
                <w:lang w:val="en-GB" w:eastAsia="de-DE"/>
              </w:rPr>
              <w:br/>
              <w:t>(from 1015 to 915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0608A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87B26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BD52125"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0,66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65539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C44CF2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CCCCF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0,191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E0BF01"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C72F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1,23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2386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AB1B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0,62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1963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1,23 </w:t>
            </w:r>
          </w:p>
        </w:tc>
      </w:tr>
      <w:tr w:rsidR="006C62CF" w:rsidRPr="00401EAA" w14:paraId="1EAC4113"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CE8DE9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AF78A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3A06B"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3,50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1DD9E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5,00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43C3846"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4,01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47B45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ADF32F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1,34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FB23B9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1,157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A5DDBD"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55,6%</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385E1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7FA98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97407D"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91C7D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5A3D06AE"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514931B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04518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B990E6"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8990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1128DB6"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34A7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67DDB9A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0,08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027716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0,289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36C91F"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3,5%</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CE8D6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31B1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02C1BC"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EF94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424F0614"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723639E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58DE1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DCE2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EBBE2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0,80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AEA0F1E"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52D9E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557E2AE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0,05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403A9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0,231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15149E"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2,2%</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C4AFB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296C44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F55AE5"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BACE16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07F3E37D"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6CA8FDD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1DF88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D3C5C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75DBB"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0,13</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7B37AC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0,09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79950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256457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B3DAF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0,026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8E435C8"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0,0%</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5F023C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989BC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9BD950"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EC8D4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6F07179D" w14:textId="77777777" w:rsidTr="00187303">
        <w:trPr>
          <w:trHeight w:val="170"/>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26AE2F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91EC2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1E815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55D91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F7782B5"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0,33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DE2AC0"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41AEF26"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0,01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55781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0,083 </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EE05B8"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0,3%</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5E301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68EBA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255023" w14:textId="77777777" w:rsidR="006C62CF" w:rsidRPr="002D7AB6" w:rsidRDefault="006C62CF" w:rsidP="005F486D">
            <w:pPr>
              <w:suppressAutoHyphens w:val="0"/>
              <w:spacing w:line="240" w:lineRule="auto"/>
              <w:rPr>
                <w:rFonts w:asciiTheme="majorBidi" w:hAnsiTheme="majorBidi" w:cstheme="majorBidi"/>
                <w:strike/>
                <w:color w:val="C00000"/>
                <w:sz w:val="18"/>
                <w:szCs w:val="18"/>
                <w:lang w:val="en-GB"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80534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3920D788" w14:textId="77777777" w:rsidTr="00187303">
        <w:trPr>
          <w:trHeight w:val="170"/>
        </w:trPr>
        <w:tc>
          <w:tcPr>
            <w:tcW w:w="745"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14:paraId="7E21DFF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Vehicle </w:t>
            </w:r>
            <w:r w:rsidRPr="002D7AB6">
              <w:rPr>
                <w:rFonts w:asciiTheme="majorBidi" w:hAnsiTheme="majorBidi" w:cstheme="majorBidi"/>
                <w:strike/>
                <w:sz w:val="18"/>
                <w:szCs w:val="18"/>
                <w:lang w:val="en-GB" w:eastAsia="de-DE"/>
              </w:rPr>
              <w:br/>
              <w:t xml:space="preserve">to </w:t>
            </w:r>
            <w:r w:rsidRPr="002D7AB6">
              <w:rPr>
                <w:rFonts w:asciiTheme="majorBidi" w:hAnsiTheme="majorBidi" w:cstheme="majorBidi"/>
                <w:strike/>
                <w:sz w:val="18"/>
                <w:szCs w:val="18"/>
                <w:lang w:val="en-GB" w:eastAsia="de-DE"/>
              </w:rPr>
              <w:br/>
              <w:t>Vehicle</w:t>
            </w: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9AD3C9"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BBAEF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0,75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35328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1,50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4E0EA79"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8FCD9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7ECFFFE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0,06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C9A765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0,251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BB1E5C"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2,6%</w:t>
            </w:r>
          </w:p>
        </w:tc>
        <w:tc>
          <w:tcPr>
            <w:tcW w:w="850"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18863B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0,54 </w:t>
            </w:r>
          </w:p>
        </w:tc>
        <w:tc>
          <w:tcPr>
            <w:tcW w:w="851"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86681C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F8E8E4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0,54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AF44C5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0,54 </w:t>
            </w:r>
          </w:p>
        </w:tc>
      </w:tr>
      <w:tr w:rsidR="006C62CF" w:rsidRPr="00401EAA" w14:paraId="26D673D8"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BF94C0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7922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DE863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0,75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CF874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3284A6F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0,83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5860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3CF48F6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0,04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D2DD40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0,209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2C158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1,8%</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604338C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0DE62ED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29FD44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A0AB3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02384CFF"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0C26E4C9"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4B23B92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Variation on Tyre Size and Brand (non-OEM)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482E79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CFC085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0BD9B693"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3DD04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nil"/>
              <w:left w:val="nil"/>
              <w:bottom w:val="single" w:sz="4" w:space="0" w:color="auto"/>
              <w:right w:val="single" w:sz="4" w:space="0" w:color="auto"/>
            </w:tcBorders>
            <w:shd w:val="clear" w:color="auto" w:fill="auto"/>
            <w:vAlign w:val="center"/>
            <w:hideMark/>
          </w:tcPr>
          <w:p w14:paraId="706B704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850" w:type="dxa"/>
            <w:tcBorders>
              <w:top w:val="nil"/>
              <w:left w:val="nil"/>
              <w:bottom w:val="single" w:sz="4" w:space="0" w:color="auto"/>
              <w:right w:val="single" w:sz="4" w:space="0" w:color="auto"/>
            </w:tcBorders>
            <w:shd w:val="clear" w:color="auto" w:fill="auto"/>
            <w:vAlign w:val="center"/>
            <w:hideMark/>
          </w:tcPr>
          <w:p w14:paraId="64BF611B"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FD38D4"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0,0%</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3979E5B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146DBED9"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13F54D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A7677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6B5AFD9B"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44EE782D"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0B853044" w14:textId="0075335A"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Production Variation in Power, inclusive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F9969FC"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B83B4C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56B9F92C"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0,66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98FB8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nil"/>
              <w:left w:val="nil"/>
              <w:bottom w:val="single" w:sz="4" w:space="0" w:color="auto"/>
              <w:right w:val="single" w:sz="4" w:space="0" w:color="auto"/>
            </w:tcBorders>
            <w:shd w:val="clear" w:color="auto" w:fill="auto"/>
            <w:vAlign w:val="center"/>
            <w:hideMark/>
          </w:tcPr>
          <w:p w14:paraId="02F55AA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19A2B95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0,191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E0DB1"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1,5%</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3A4FEEC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278934D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BC29E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EA0D6B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2684404D"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1CC0013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0CFAA59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Battery state of charge for HEVs (3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6AE93A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264322E"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0,00</w:t>
            </w:r>
          </w:p>
        </w:tc>
        <w:tc>
          <w:tcPr>
            <w:tcW w:w="603" w:type="dxa"/>
            <w:tcBorders>
              <w:top w:val="nil"/>
              <w:left w:val="nil"/>
              <w:bottom w:val="single" w:sz="4" w:space="0" w:color="auto"/>
              <w:right w:val="single" w:sz="4" w:space="0" w:color="auto"/>
            </w:tcBorders>
            <w:shd w:val="clear" w:color="auto" w:fill="auto"/>
            <w:noWrap/>
            <w:vAlign w:val="center"/>
            <w:hideMark/>
          </w:tcPr>
          <w:p w14:paraId="08E602D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B082DA6"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nil"/>
              <w:left w:val="nil"/>
              <w:bottom w:val="single" w:sz="4" w:space="0" w:color="auto"/>
              <w:right w:val="single" w:sz="4" w:space="0" w:color="auto"/>
            </w:tcBorders>
            <w:shd w:val="clear" w:color="auto" w:fill="auto"/>
            <w:vAlign w:val="center"/>
            <w:hideMark/>
          </w:tcPr>
          <w:p w14:paraId="03CC2BF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 </w:t>
            </w:r>
          </w:p>
        </w:tc>
        <w:tc>
          <w:tcPr>
            <w:tcW w:w="850" w:type="dxa"/>
            <w:tcBorders>
              <w:top w:val="nil"/>
              <w:left w:val="nil"/>
              <w:bottom w:val="single" w:sz="4" w:space="0" w:color="auto"/>
              <w:right w:val="single" w:sz="4" w:space="0" w:color="auto"/>
            </w:tcBorders>
            <w:shd w:val="clear" w:color="auto" w:fill="auto"/>
            <w:vAlign w:val="center"/>
            <w:hideMark/>
          </w:tcPr>
          <w:p w14:paraId="4ABEB975"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0,000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DD8F7B"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0,0%</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7BD60A3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5D52EA7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F90B0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D28EFC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1E0B729D"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AA37FB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nil"/>
              <w:left w:val="nil"/>
              <w:bottom w:val="single" w:sz="4" w:space="0" w:color="auto"/>
              <w:right w:val="single" w:sz="4" w:space="0" w:color="auto"/>
            </w:tcBorders>
            <w:shd w:val="clear" w:color="auto" w:fill="FFFFFF" w:themeFill="background1"/>
            <w:vAlign w:val="center"/>
            <w:hideMark/>
          </w:tcPr>
          <w:p w14:paraId="2D66B29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7DD5BE3"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21AECE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0,50</w:t>
            </w:r>
          </w:p>
        </w:tc>
        <w:tc>
          <w:tcPr>
            <w:tcW w:w="603" w:type="dxa"/>
            <w:tcBorders>
              <w:top w:val="nil"/>
              <w:left w:val="nil"/>
              <w:bottom w:val="single" w:sz="4" w:space="0" w:color="auto"/>
              <w:right w:val="single" w:sz="4" w:space="0" w:color="auto"/>
            </w:tcBorders>
            <w:shd w:val="clear" w:color="auto" w:fill="auto"/>
            <w:noWrap/>
            <w:vAlign w:val="center"/>
            <w:hideMark/>
          </w:tcPr>
          <w:p w14:paraId="3E003BA8"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0,83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FD63A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gaussian</w:t>
            </w:r>
          </w:p>
        </w:tc>
        <w:tc>
          <w:tcPr>
            <w:tcW w:w="815" w:type="dxa"/>
            <w:tcBorders>
              <w:top w:val="nil"/>
              <w:left w:val="nil"/>
              <w:bottom w:val="single" w:sz="4" w:space="0" w:color="auto"/>
              <w:right w:val="single" w:sz="4" w:space="0" w:color="auto"/>
            </w:tcBorders>
            <w:shd w:val="clear" w:color="auto" w:fill="auto"/>
            <w:vAlign w:val="center"/>
            <w:hideMark/>
          </w:tcPr>
          <w:p w14:paraId="78E53D1B"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0D66388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0,208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939FD6"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1,8%</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2B6793D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3F9F29F8"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19F5E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FB341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1DEA64D1" w14:textId="77777777" w:rsidTr="00187303">
        <w:trPr>
          <w:trHeight w:val="170"/>
        </w:trPr>
        <w:tc>
          <w:tcPr>
            <w:tcW w:w="745" w:type="dxa"/>
            <w:vMerge/>
            <w:tcBorders>
              <w:top w:val="single" w:sz="8" w:space="0" w:color="000000"/>
              <w:left w:val="single" w:sz="4" w:space="0" w:color="auto"/>
              <w:bottom w:val="single" w:sz="12" w:space="0" w:color="auto"/>
              <w:right w:val="single" w:sz="4" w:space="0" w:color="auto"/>
            </w:tcBorders>
            <w:vAlign w:val="center"/>
            <w:hideMark/>
          </w:tcPr>
          <w:p w14:paraId="3838B37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138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24AED6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F8228DD"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1,40</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F6672C9"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0,60</w:t>
            </w:r>
          </w:p>
        </w:tc>
        <w:tc>
          <w:tcPr>
            <w:tcW w:w="603" w:type="dxa"/>
            <w:tcBorders>
              <w:top w:val="single" w:sz="4" w:space="0" w:color="auto"/>
              <w:left w:val="nil"/>
              <w:bottom w:val="single" w:sz="12" w:space="0" w:color="auto"/>
              <w:right w:val="single" w:sz="4" w:space="0" w:color="auto"/>
            </w:tcBorders>
            <w:shd w:val="clear" w:color="auto" w:fill="auto"/>
            <w:noWrap/>
            <w:vAlign w:val="center"/>
            <w:hideMark/>
          </w:tcPr>
          <w:p w14:paraId="184E7452"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 xml:space="preserve">1,13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4D12577"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rectangular</w:t>
            </w:r>
          </w:p>
        </w:tc>
        <w:tc>
          <w:tcPr>
            <w:tcW w:w="815" w:type="dxa"/>
            <w:tcBorders>
              <w:top w:val="single" w:sz="4" w:space="0" w:color="auto"/>
              <w:left w:val="nil"/>
              <w:bottom w:val="single" w:sz="12" w:space="0" w:color="auto"/>
              <w:right w:val="single" w:sz="4" w:space="0" w:color="auto"/>
            </w:tcBorders>
            <w:shd w:val="clear" w:color="auto" w:fill="auto"/>
            <w:vAlign w:val="center"/>
            <w:hideMark/>
          </w:tcPr>
          <w:p w14:paraId="3696F822"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0,11 </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14:paraId="58BA0924"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xml:space="preserve">0,326 </w:t>
            </w:r>
          </w:p>
        </w:tc>
        <w:tc>
          <w:tcPr>
            <w:tcW w:w="993"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73FD8D48" w14:textId="77777777" w:rsidR="006C62CF" w:rsidRPr="002D7AB6" w:rsidRDefault="006C62CF" w:rsidP="005F486D">
            <w:pPr>
              <w:suppressAutoHyphens w:val="0"/>
              <w:spacing w:line="240" w:lineRule="auto"/>
              <w:jc w:val="center"/>
              <w:rPr>
                <w:rFonts w:asciiTheme="majorBidi" w:hAnsiTheme="majorBidi" w:cstheme="majorBidi"/>
                <w:strike/>
                <w:color w:val="000000"/>
                <w:sz w:val="18"/>
                <w:szCs w:val="18"/>
                <w:lang w:val="en-GB" w:eastAsia="de-DE"/>
              </w:rPr>
            </w:pPr>
            <w:r w:rsidRPr="002D7AB6">
              <w:rPr>
                <w:rFonts w:asciiTheme="majorBidi" w:hAnsiTheme="majorBidi" w:cstheme="majorBidi"/>
                <w:strike/>
                <w:color w:val="000000"/>
                <w:sz w:val="18"/>
                <w:szCs w:val="18"/>
                <w:lang w:val="en-GB" w:eastAsia="de-DE"/>
              </w:rPr>
              <w:t>4,4%</w:t>
            </w:r>
          </w:p>
        </w:tc>
        <w:tc>
          <w:tcPr>
            <w:tcW w:w="850" w:type="dxa"/>
            <w:vMerge/>
            <w:tcBorders>
              <w:top w:val="single" w:sz="4" w:space="0" w:color="auto"/>
              <w:left w:val="single" w:sz="4" w:space="0" w:color="auto"/>
              <w:bottom w:val="single" w:sz="12" w:space="0" w:color="auto"/>
              <w:right w:val="single" w:sz="4" w:space="0" w:color="auto"/>
            </w:tcBorders>
            <w:vAlign w:val="center"/>
            <w:hideMark/>
          </w:tcPr>
          <w:p w14:paraId="6121EFE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14:paraId="6DFC53C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277069"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81021B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p>
        </w:tc>
      </w:tr>
      <w:tr w:rsidR="006C62CF" w:rsidRPr="00401EAA" w14:paraId="255769B4" w14:textId="77777777" w:rsidTr="00187303">
        <w:trPr>
          <w:trHeight w:val="170"/>
        </w:trPr>
        <w:tc>
          <w:tcPr>
            <w:tcW w:w="745" w:type="dxa"/>
            <w:tcBorders>
              <w:top w:val="single" w:sz="12" w:space="0" w:color="auto"/>
              <w:left w:val="nil"/>
              <w:bottom w:val="nil"/>
              <w:right w:val="nil"/>
            </w:tcBorders>
            <w:shd w:val="clear" w:color="000000" w:fill="FFFFFF"/>
            <w:vAlign w:val="center"/>
            <w:hideMark/>
          </w:tcPr>
          <w:p w14:paraId="442A58CD" w14:textId="77777777" w:rsidR="006C62CF" w:rsidRPr="002D7AB6" w:rsidRDefault="006C62CF" w:rsidP="005F486D">
            <w:pPr>
              <w:suppressAutoHyphens w:val="0"/>
              <w:spacing w:line="240" w:lineRule="auto"/>
              <w:jc w:val="center"/>
              <w:rPr>
                <w:rFonts w:asciiTheme="majorBidi" w:hAnsiTheme="majorBidi" w:cstheme="majorBidi"/>
                <w:strike/>
                <w:color w:val="9C6500"/>
                <w:sz w:val="18"/>
                <w:szCs w:val="18"/>
                <w:lang w:val="en-GB" w:eastAsia="de-DE"/>
              </w:rPr>
            </w:pPr>
            <w:r w:rsidRPr="002D7AB6">
              <w:rPr>
                <w:rFonts w:asciiTheme="majorBidi" w:hAnsiTheme="majorBidi" w:cstheme="majorBidi"/>
                <w:strike/>
                <w:color w:val="9C6500"/>
                <w:sz w:val="18"/>
                <w:szCs w:val="18"/>
                <w:lang w:val="en-GB" w:eastAsia="de-DE"/>
              </w:rPr>
              <w:t> </w:t>
            </w:r>
          </w:p>
        </w:tc>
        <w:tc>
          <w:tcPr>
            <w:tcW w:w="1382" w:type="dxa"/>
            <w:tcBorders>
              <w:top w:val="single" w:sz="12" w:space="0" w:color="auto"/>
              <w:left w:val="nil"/>
              <w:bottom w:val="nil"/>
              <w:right w:val="nil"/>
            </w:tcBorders>
            <w:shd w:val="clear" w:color="000000" w:fill="FFFFFF"/>
            <w:vAlign w:val="center"/>
            <w:hideMark/>
          </w:tcPr>
          <w:p w14:paraId="279D9720"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single" w:sz="12" w:space="0" w:color="auto"/>
              <w:left w:val="nil"/>
              <w:bottom w:val="nil"/>
              <w:right w:val="nil"/>
            </w:tcBorders>
            <w:shd w:val="clear" w:color="000000" w:fill="FFFFFF"/>
            <w:hideMark/>
          </w:tcPr>
          <w:p w14:paraId="63BB7A9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single" w:sz="12" w:space="0" w:color="auto"/>
              <w:left w:val="nil"/>
              <w:bottom w:val="nil"/>
              <w:right w:val="nil"/>
            </w:tcBorders>
            <w:shd w:val="clear" w:color="000000" w:fill="FFFFFF"/>
            <w:noWrap/>
            <w:vAlign w:val="center"/>
            <w:hideMark/>
          </w:tcPr>
          <w:p w14:paraId="2A5BF0FE"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603" w:type="dxa"/>
            <w:tcBorders>
              <w:top w:val="single" w:sz="12" w:space="0" w:color="auto"/>
              <w:left w:val="nil"/>
              <w:bottom w:val="nil"/>
              <w:right w:val="nil"/>
            </w:tcBorders>
            <w:shd w:val="clear" w:color="000000" w:fill="FFFFFF"/>
            <w:noWrap/>
            <w:vAlign w:val="center"/>
            <w:hideMark/>
          </w:tcPr>
          <w:p w14:paraId="243901D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992" w:type="dxa"/>
            <w:tcBorders>
              <w:top w:val="single" w:sz="12" w:space="0" w:color="auto"/>
              <w:left w:val="nil"/>
              <w:bottom w:val="nil"/>
              <w:right w:val="nil"/>
            </w:tcBorders>
            <w:shd w:val="clear" w:color="auto" w:fill="FFFFFF" w:themeFill="background1"/>
            <w:noWrap/>
            <w:vAlign w:val="center"/>
            <w:hideMark/>
          </w:tcPr>
          <w:p w14:paraId="3A08461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15" w:type="dxa"/>
            <w:tcBorders>
              <w:top w:val="single" w:sz="12" w:space="0" w:color="auto"/>
              <w:left w:val="nil"/>
              <w:bottom w:val="nil"/>
              <w:right w:val="nil"/>
            </w:tcBorders>
            <w:shd w:val="clear" w:color="000000" w:fill="FFFFFF"/>
            <w:noWrap/>
            <w:vAlign w:val="center"/>
            <w:hideMark/>
          </w:tcPr>
          <w:p w14:paraId="6A767211"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50" w:type="dxa"/>
            <w:tcBorders>
              <w:top w:val="single" w:sz="12" w:space="0" w:color="auto"/>
              <w:left w:val="nil"/>
              <w:bottom w:val="nil"/>
              <w:right w:val="nil"/>
            </w:tcBorders>
            <w:shd w:val="clear" w:color="000000" w:fill="FFFFFF"/>
            <w:vAlign w:val="center"/>
            <w:hideMark/>
          </w:tcPr>
          <w:p w14:paraId="5D02E478" w14:textId="77777777" w:rsidR="006C62CF" w:rsidRPr="002D7AB6" w:rsidRDefault="006C62CF" w:rsidP="005F486D">
            <w:pPr>
              <w:suppressAutoHyphens w:val="0"/>
              <w:spacing w:line="240" w:lineRule="auto"/>
              <w:jc w:val="center"/>
              <w:rPr>
                <w:rFonts w:asciiTheme="majorBidi" w:hAnsiTheme="majorBidi" w:cstheme="majorBidi"/>
                <w:strike/>
                <w:color w:val="FFFFFF"/>
                <w:sz w:val="18"/>
                <w:szCs w:val="18"/>
                <w:lang w:val="en-GB" w:eastAsia="de-DE"/>
              </w:rPr>
            </w:pPr>
            <w:r w:rsidRPr="002D7AB6">
              <w:rPr>
                <w:rFonts w:asciiTheme="majorBidi" w:hAnsiTheme="majorBidi" w:cstheme="majorBidi"/>
                <w:strike/>
                <w:color w:val="FFFFFF"/>
                <w:sz w:val="18"/>
                <w:szCs w:val="18"/>
                <w:lang w:val="en-GB" w:eastAsia="de-DE"/>
              </w:rPr>
              <w:t xml:space="preserve">1,552 </w:t>
            </w:r>
          </w:p>
        </w:tc>
        <w:tc>
          <w:tcPr>
            <w:tcW w:w="993" w:type="dxa"/>
            <w:tcBorders>
              <w:top w:val="single" w:sz="12" w:space="0" w:color="auto"/>
              <w:left w:val="nil"/>
              <w:bottom w:val="nil"/>
              <w:right w:val="nil"/>
            </w:tcBorders>
            <w:shd w:val="clear" w:color="auto" w:fill="FFFFFF" w:themeFill="background1"/>
            <w:vAlign w:val="center"/>
            <w:hideMark/>
          </w:tcPr>
          <w:p w14:paraId="5303B7D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100,0%</w:t>
            </w:r>
          </w:p>
        </w:tc>
        <w:tc>
          <w:tcPr>
            <w:tcW w:w="850" w:type="dxa"/>
            <w:tcBorders>
              <w:top w:val="single" w:sz="12" w:space="0" w:color="auto"/>
              <w:left w:val="nil"/>
              <w:bottom w:val="nil"/>
              <w:right w:val="nil"/>
            </w:tcBorders>
            <w:shd w:val="clear" w:color="000000" w:fill="FFFFFF"/>
            <w:noWrap/>
            <w:vAlign w:val="center"/>
            <w:hideMark/>
          </w:tcPr>
          <w:p w14:paraId="50AFC02A"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1985" w:type="dxa"/>
            <w:gridSpan w:val="3"/>
            <w:tcBorders>
              <w:top w:val="single" w:sz="12" w:space="0" w:color="auto"/>
              <w:left w:val="nil"/>
              <w:bottom w:val="nil"/>
              <w:right w:val="nil"/>
            </w:tcBorders>
            <w:shd w:val="clear" w:color="000000" w:fill="FFFFFF"/>
            <w:vAlign w:val="center"/>
            <w:hideMark/>
          </w:tcPr>
          <w:p w14:paraId="016BF30A"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r>
      <w:tr w:rsidR="006C62CF" w:rsidRPr="00401EAA" w14:paraId="7AEF90C0" w14:textId="77777777" w:rsidTr="00187303">
        <w:trPr>
          <w:trHeight w:val="170"/>
        </w:trPr>
        <w:tc>
          <w:tcPr>
            <w:tcW w:w="745" w:type="dxa"/>
            <w:tcBorders>
              <w:top w:val="nil"/>
              <w:left w:val="nil"/>
              <w:bottom w:val="nil"/>
              <w:right w:val="nil"/>
            </w:tcBorders>
            <w:shd w:val="clear" w:color="000000" w:fill="FFFFFF"/>
            <w:vAlign w:val="center"/>
            <w:hideMark/>
          </w:tcPr>
          <w:p w14:paraId="257ED22B" w14:textId="77777777" w:rsidR="006C62CF" w:rsidRPr="002D7AB6" w:rsidRDefault="006C62CF" w:rsidP="005F486D">
            <w:pPr>
              <w:suppressAutoHyphens w:val="0"/>
              <w:spacing w:line="240" w:lineRule="auto"/>
              <w:jc w:val="center"/>
              <w:rPr>
                <w:rFonts w:asciiTheme="majorBidi" w:hAnsiTheme="majorBidi" w:cstheme="majorBidi"/>
                <w:strike/>
                <w:color w:val="9C6500"/>
                <w:sz w:val="18"/>
                <w:szCs w:val="18"/>
                <w:lang w:val="en-GB" w:eastAsia="de-DE"/>
              </w:rPr>
            </w:pPr>
            <w:r w:rsidRPr="002D7AB6">
              <w:rPr>
                <w:rFonts w:asciiTheme="majorBidi" w:hAnsiTheme="majorBidi" w:cstheme="majorBidi"/>
                <w:strike/>
                <w:color w:val="9C6500"/>
                <w:sz w:val="18"/>
                <w:szCs w:val="18"/>
                <w:lang w:val="en-GB" w:eastAsia="de-DE"/>
              </w:rPr>
              <w:t> </w:t>
            </w:r>
          </w:p>
        </w:tc>
        <w:tc>
          <w:tcPr>
            <w:tcW w:w="1382" w:type="dxa"/>
            <w:tcBorders>
              <w:top w:val="nil"/>
              <w:left w:val="nil"/>
              <w:bottom w:val="nil"/>
              <w:right w:val="nil"/>
            </w:tcBorders>
            <w:shd w:val="clear" w:color="000000" w:fill="FFFFFF"/>
            <w:vAlign w:val="center"/>
            <w:hideMark/>
          </w:tcPr>
          <w:p w14:paraId="0D518E4F"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nil"/>
              <w:left w:val="nil"/>
              <w:bottom w:val="nil"/>
              <w:right w:val="nil"/>
            </w:tcBorders>
            <w:shd w:val="clear" w:color="000000" w:fill="FFFFFF"/>
            <w:hideMark/>
          </w:tcPr>
          <w:p w14:paraId="0CCD1DE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340083F7"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12D36B8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992" w:type="dxa"/>
            <w:tcBorders>
              <w:top w:val="nil"/>
              <w:left w:val="nil"/>
              <w:bottom w:val="nil"/>
              <w:right w:val="nil"/>
            </w:tcBorders>
            <w:shd w:val="clear" w:color="auto" w:fill="FFFFFF" w:themeFill="background1"/>
            <w:noWrap/>
            <w:vAlign w:val="center"/>
            <w:hideMark/>
          </w:tcPr>
          <w:p w14:paraId="53D1764B"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05AF"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Overall Uncertainty</w:t>
            </w:r>
          </w:p>
        </w:tc>
        <w:tc>
          <w:tcPr>
            <w:tcW w:w="850" w:type="dxa"/>
            <w:tcBorders>
              <w:top w:val="nil"/>
              <w:left w:val="nil"/>
              <w:bottom w:val="nil"/>
              <w:right w:val="nil"/>
            </w:tcBorders>
            <w:shd w:val="clear" w:color="auto" w:fill="auto"/>
            <w:noWrap/>
            <w:vAlign w:val="center"/>
            <w:hideMark/>
          </w:tcPr>
          <w:p w14:paraId="064AD20F"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p>
        </w:tc>
        <w:tc>
          <w:tcPr>
            <w:tcW w:w="993" w:type="dxa"/>
            <w:tcBorders>
              <w:top w:val="nil"/>
              <w:left w:val="nil"/>
              <w:bottom w:val="nil"/>
              <w:right w:val="nil"/>
            </w:tcBorders>
            <w:shd w:val="clear" w:color="auto" w:fill="FFFFFF" w:themeFill="background1"/>
            <w:noWrap/>
            <w:vAlign w:val="center"/>
            <w:hideMark/>
          </w:tcPr>
          <w:p w14:paraId="7F6947DC"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50" w:type="dxa"/>
            <w:tcBorders>
              <w:top w:val="nil"/>
              <w:left w:val="nil"/>
              <w:bottom w:val="nil"/>
              <w:right w:val="nil"/>
            </w:tcBorders>
            <w:shd w:val="clear" w:color="000000" w:fill="FFFFFF"/>
            <w:noWrap/>
            <w:vAlign w:val="center"/>
            <w:hideMark/>
          </w:tcPr>
          <w:p w14:paraId="04F6CEE4"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BBFFF"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Type Approval</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B151D5"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CoP</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09D3B10" w14:textId="77777777" w:rsidR="006C62CF" w:rsidRPr="002D7AB6" w:rsidRDefault="006C62CF" w:rsidP="005F486D">
            <w:pPr>
              <w:suppressAutoHyphens w:val="0"/>
              <w:spacing w:line="240" w:lineRule="auto"/>
              <w:jc w:val="center"/>
              <w:rPr>
                <w:rFonts w:asciiTheme="majorBidi" w:hAnsiTheme="majorBidi" w:cstheme="majorBidi"/>
                <w:b/>
                <w:bCs/>
                <w:i/>
                <w:iCs/>
                <w:strike/>
                <w:sz w:val="16"/>
                <w:szCs w:val="16"/>
                <w:lang w:val="en-GB" w:eastAsia="de-DE"/>
              </w:rPr>
            </w:pPr>
            <w:r w:rsidRPr="002D7AB6">
              <w:rPr>
                <w:rFonts w:asciiTheme="majorBidi" w:hAnsiTheme="majorBidi" w:cstheme="majorBidi"/>
                <w:b/>
                <w:bCs/>
                <w:i/>
                <w:iCs/>
                <w:strike/>
                <w:sz w:val="16"/>
                <w:szCs w:val="16"/>
                <w:lang w:val="en-GB" w:eastAsia="de-DE"/>
              </w:rPr>
              <w:t xml:space="preserve">Field </w:t>
            </w:r>
            <w:r w:rsidRPr="002D7AB6">
              <w:rPr>
                <w:rFonts w:asciiTheme="majorBidi" w:hAnsiTheme="majorBidi" w:cstheme="majorBidi"/>
                <w:b/>
                <w:bCs/>
                <w:i/>
                <w:iCs/>
                <w:strike/>
                <w:sz w:val="16"/>
                <w:szCs w:val="16"/>
                <w:lang w:val="en-GB" w:eastAsia="de-DE"/>
              </w:rPr>
              <w:br/>
              <w:t>Tests</w:t>
            </w:r>
          </w:p>
        </w:tc>
      </w:tr>
      <w:tr w:rsidR="006C62CF" w:rsidRPr="00401EAA" w14:paraId="0CBD4F60" w14:textId="77777777" w:rsidTr="00187303">
        <w:trPr>
          <w:trHeight w:val="170"/>
        </w:trPr>
        <w:tc>
          <w:tcPr>
            <w:tcW w:w="745" w:type="dxa"/>
            <w:tcBorders>
              <w:top w:val="nil"/>
              <w:left w:val="nil"/>
              <w:bottom w:val="nil"/>
              <w:right w:val="nil"/>
            </w:tcBorders>
            <w:shd w:val="clear" w:color="000000" w:fill="FFFFFF"/>
            <w:noWrap/>
            <w:vAlign w:val="center"/>
            <w:hideMark/>
          </w:tcPr>
          <w:p w14:paraId="539121F1" w14:textId="77777777" w:rsidR="006C62CF" w:rsidRPr="002D7AB6" w:rsidRDefault="006C62CF" w:rsidP="005F486D">
            <w:pPr>
              <w:suppressAutoHyphens w:val="0"/>
              <w:spacing w:line="240" w:lineRule="auto"/>
              <w:jc w:val="center"/>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1382" w:type="dxa"/>
            <w:tcBorders>
              <w:top w:val="nil"/>
              <w:left w:val="nil"/>
              <w:bottom w:val="nil"/>
              <w:right w:val="nil"/>
            </w:tcBorders>
            <w:shd w:val="clear" w:color="000000" w:fill="FFFFFF"/>
            <w:vAlign w:val="center"/>
            <w:hideMark/>
          </w:tcPr>
          <w:p w14:paraId="01CFEEB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2104FBD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573DD3B3"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79EF6925"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19897" w14:textId="77777777" w:rsidR="006C62CF" w:rsidRPr="002D7AB6" w:rsidRDefault="006C62CF" w:rsidP="005F486D">
            <w:pPr>
              <w:suppressAutoHyphens w:val="0"/>
              <w:spacing w:line="240" w:lineRule="auto"/>
              <w:jc w:val="center"/>
              <w:rPr>
                <w:rFonts w:asciiTheme="majorBidi" w:hAnsiTheme="majorBidi" w:cstheme="majorBidi"/>
                <w:b/>
                <w:bCs/>
                <w:i/>
                <w:iCs/>
                <w:strike/>
                <w:color w:val="000000"/>
                <w:sz w:val="16"/>
                <w:szCs w:val="16"/>
                <w:lang w:val="en-GB" w:eastAsia="de-DE"/>
              </w:rPr>
            </w:pPr>
            <w:r w:rsidRPr="002D7AB6">
              <w:rPr>
                <w:rFonts w:asciiTheme="majorBidi" w:hAnsiTheme="majorBidi" w:cstheme="majorBidi"/>
                <w:b/>
                <w:bCs/>
                <w:i/>
                <w:iCs/>
                <w:strike/>
                <w:color w:val="000000"/>
                <w:sz w:val="16"/>
                <w:szCs w:val="16"/>
                <w:lang w:val="en-GB" w:eastAsia="de-DE"/>
              </w:rPr>
              <w:t>Coverage Factor</w:t>
            </w:r>
          </w:p>
        </w:tc>
        <w:tc>
          <w:tcPr>
            <w:tcW w:w="815"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0267C548" w14:textId="77777777" w:rsidR="006C62CF" w:rsidRPr="002D7AB6" w:rsidRDefault="006C62CF" w:rsidP="005F486D">
            <w:pPr>
              <w:suppressAutoHyphens w:val="0"/>
              <w:spacing w:line="240" w:lineRule="auto"/>
              <w:jc w:val="center"/>
              <w:rPr>
                <w:rFonts w:asciiTheme="majorBidi" w:hAnsiTheme="majorBidi" w:cstheme="majorBidi"/>
                <w:strike/>
                <w:color w:val="FFFFFF"/>
                <w:sz w:val="18"/>
                <w:szCs w:val="18"/>
                <w:lang w:val="en-GB" w:eastAsia="de-DE"/>
              </w:rPr>
            </w:pPr>
            <w:r w:rsidRPr="002D7AB6">
              <w:rPr>
                <w:rFonts w:asciiTheme="majorBidi" w:hAnsiTheme="majorBidi" w:cstheme="majorBidi"/>
                <w:strike/>
                <w:color w:val="FFFFFF"/>
                <w:sz w:val="18"/>
                <w:szCs w:val="18"/>
                <w:lang w:val="en-GB" w:eastAsia="de-DE"/>
              </w:rPr>
              <w:t xml:space="preserve">3,10 </w:t>
            </w:r>
          </w:p>
        </w:tc>
        <w:tc>
          <w:tcPr>
            <w:tcW w:w="850" w:type="dxa"/>
            <w:tcBorders>
              <w:top w:val="nil"/>
              <w:left w:val="nil"/>
              <w:bottom w:val="nil"/>
              <w:right w:val="nil"/>
            </w:tcBorders>
            <w:shd w:val="clear" w:color="000000" w:fill="FFFFFF"/>
            <w:noWrap/>
            <w:vAlign w:val="center"/>
            <w:hideMark/>
          </w:tcPr>
          <w:p w14:paraId="62080856"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34B963" w14:textId="77777777" w:rsidR="006C62CF" w:rsidRPr="002D7AB6" w:rsidRDefault="006C62CF" w:rsidP="00AB5C15">
            <w:pPr>
              <w:suppressAutoHyphens w:val="0"/>
              <w:spacing w:line="240" w:lineRule="auto"/>
              <w:ind w:left="-67" w:right="-73"/>
              <w:jc w:val="center"/>
              <w:rPr>
                <w:rFonts w:asciiTheme="majorBidi" w:hAnsiTheme="majorBidi" w:cstheme="majorBidi"/>
                <w:b/>
                <w:bCs/>
                <w:i/>
                <w:iCs/>
                <w:strike/>
                <w:color w:val="000000"/>
                <w:sz w:val="16"/>
                <w:szCs w:val="16"/>
                <w:lang w:val="en-GB" w:eastAsia="de-DE"/>
              </w:rPr>
            </w:pPr>
            <w:r w:rsidRPr="002D7AB6">
              <w:rPr>
                <w:rFonts w:asciiTheme="majorBidi" w:hAnsiTheme="majorBidi" w:cstheme="majorBidi"/>
                <w:b/>
                <w:bCs/>
                <w:i/>
                <w:iCs/>
                <w:strike/>
                <w:color w:val="000000"/>
                <w:sz w:val="16"/>
                <w:szCs w:val="16"/>
                <w:lang w:val="en-GB" w:eastAsia="de-DE"/>
              </w:rPr>
              <w:t>Expanded uncertainty</w:t>
            </w:r>
            <w:r w:rsidRPr="002D7AB6">
              <w:rPr>
                <w:rFonts w:asciiTheme="majorBidi" w:hAnsiTheme="majorBidi" w:cstheme="majorBidi"/>
                <w:b/>
                <w:bCs/>
                <w:i/>
                <w:iCs/>
                <w:strike/>
                <w:color w:val="000000"/>
                <w:sz w:val="16"/>
                <w:szCs w:val="16"/>
                <w:lang w:val="en-GB" w:eastAsia="de-DE"/>
              </w:rPr>
              <w:br/>
              <w:t>+/-</w:t>
            </w:r>
          </w:p>
        </w:tc>
        <w:tc>
          <w:tcPr>
            <w:tcW w:w="850" w:type="dxa"/>
            <w:tcBorders>
              <w:top w:val="nil"/>
              <w:left w:val="nil"/>
              <w:bottom w:val="nil"/>
              <w:right w:val="nil"/>
            </w:tcBorders>
            <w:shd w:val="clear" w:color="000000" w:fill="FFFFFF"/>
            <w:noWrap/>
            <w:vAlign w:val="center"/>
            <w:hideMark/>
          </w:tcPr>
          <w:p w14:paraId="26B8FC42" w14:textId="77777777" w:rsidR="006C62CF" w:rsidRPr="002D7AB6" w:rsidRDefault="006C62CF" w:rsidP="005F486D">
            <w:pPr>
              <w:suppressAutoHyphens w:val="0"/>
              <w:spacing w:line="240" w:lineRule="auto"/>
              <w:rPr>
                <w:rFonts w:asciiTheme="majorBidi" w:hAnsiTheme="majorBidi" w:cstheme="majorBidi"/>
                <w:strike/>
                <w:sz w:val="18"/>
                <w:szCs w:val="18"/>
                <w:lang w:val="en-GB" w:eastAsia="de-DE"/>
              </w:rPr>
            </w:pPr>
            <w:r w:rsidRPr="002D7AB6">
              <w:rPr>
                <w:rFonts w:asciiTheme="majorBidi" w:hAnsiTheme="majorBidi" w:cstheme="majorBidi"/>
                <w:strike/>
                <w:sz w:val="18"/>
                <w:szCs w:val="18"/>
                <w:lang w:val="en-GB" w:eastAsia="de-DE"/>
              </w:rPr>
              <w:t> </w:t>
            </w:r>
          </w:p>
        </w:tc>
        <w:tc>
          <w:tcPr>
            <w:tcW w:w="851"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21B23C08" w14:textId="77777777" w:rsidR="006C62CF" w:rsidRPr="002D7AB6" w:rsidRDefault="006C62CF" w:rsidP="005F486D">
            <w:pPr>
              <w:suppressAutoHyphens w:val="0"/>
              <w:spacing w:line="240" w:lineRule="auto"/>
              <w:jc w:val="center"/>
              <w:rPr>
                <w:rFonts w:asciiTheme="majorBidi" w:hAnsiTheme="majorBidi" w:cstheme="majorBidi"/>
                <w:strike/>
                <w:color w:val="FFFFFF"/>
                <w:sz w:val="18"/>
                <w:szCs w:val="18"/>
                <w:lang w:val="en-GB" w:eastAsia="de-DE"/>
              </w:rPr>
            </w:pPr>
            <w:r w:rsidRPr="002D7AB6">
              <w:rPr>
                <w:rFonts w:asciiTheme="majorBidi" w:hAnsiTheme="majorBidi" w:cstheme="majorBidi"/>
                <w:strike/>
                <w:color w:val="FFFFFF"/>
                <w:sz w:val="18"/>
                <w:szCs w:val="18"/>
                <w:lang w:val="en-GB" w:eastAsia="de-DE"/>
              </w:rPr>
              <w:t xml:space="preserve">1,55 </w:t>
            </w:r>
          </w:p>
        </w:tc>
        <w:tc>
          <w:tcPr>
            <w:tcW w:w="567"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4DB5C065" w14:textId="77777777" w:rsidR="006C62CF" w:rsidRPr="002D7AB6" w:rsidRDefault="006C62CF" w:rsidP="005F486D">
            <w:pPr>
              <w:suppressAutoHyphens w:val="0"/>
              <w:spacing w:line="240" w:lineRule="auto"/>
              <w:jc w:val="center"/>
              <w:rPr>
                <w:rFonts w:asciiTheme="majorBidi" w:hAnsiTheme="majorBidi" w:cstheme="majorBidi"/>
                <w:strike/>
                <w:color w:val="FFFFFF"/>
                <w:sz w:val="18"/>
                <w:szCs w:val="18"/>
                <w:lang w:val="en-GB" w:eastAsia="de-DE"/>
              </w:rPr>
            </w:pPr>
            <w:r w:rsidRPr="002D7AB6">
              <w:rPr>
                <w:rFonts w:asciiTheme="majorBidi" w:hAnsiTheme="majorBidi" w:cstheme="majorBidi"/>
                <w:strike/>
                <w:color w:val="FFFFFF"/>
                <w:sz w:val="18"/>
                <w:szCs w:val="18"/>
                <w:lang w:val="en-GB" w:eastAsia="de-DE"/>
              </w:rPr>
              <w:t xml:space="preserve">2,25 </w:t>
            </w:r>
          </w:p>
        </w:tc>
        <w:tc>
          <w:tcPr>
            <w:tcW w:w="567" w:type="dxa"/>
            <w:vMerge w:val="restart"/>
            <w:tcBorders>
              <w:top w:val="nil"/>
              <w:left w:val="single" w:sz="4" w:space="0" w:color="auto"/>
              <w:bottom w:val="single" w:sz="4" w:space="0" w:color="000000"/>
              <w:right w:val="single" w:sz="4" w:space="0" w:color="auto"/>
            </w:tcBorders>
            <w:shd w:val="clear" w:color="000000" w:fill="305496"/>
            <w:vAlign w:val="center"/>
            <w:hideMark/>
          </w:tcPr>
          <w:p w14:paraId="50A2B317" w14:textId="77777777" w:rsidR="006C62CF" w:rsidRPr="002D7AB6" w:rsidRDefault="006C62CF" w:rsidP="005F486D">
            <w:pPr>
              <w:suppressAutoHyphens w:val="0"/>
              <w:spacing w:line="240" w:lineRule="auto"/>
              <w:jc w:val="center"/>
              <w:rPr>
                <w:rFonts w:asciiTheme="majorBidi" w:hAnsiTheme="majorBidi" w:cstheme="majorBidi"/>
                <w:strike/>
                <w:color w:val="FFFFFF"/>
                <w:sz w:val="18"/>
                <w:szCs w:val="18"/>
                <w:lang w:val="en-GB" w:eastAsia="de-DE"/>
              </w:rPr>
            </w:pPr>
            <w:r w:rsidRPr="002D7AB6">
              <w:rPr>
                <w:rFonts w:asciiTheme="majorBidi" w:hAnsiTheme="majorBidi" w:cstheme="majorBidi"/>
                <w:strike/>
                <w:color w:val="FFFFFF"/>
                <w:sz w:val="18"/>
                <w:szCs w:val="18"/>
                <w:lang w:val="en-GB" w:eastAsia="de-DE"/>
              </w:rPr>
              <w:t xml:space="preserve">3,06 </w:t>
            </w:r>
          </w:p>
        </w:tc>
      </w:tr>
      <w:tr w:rsidR="006C62CF" w:rsidRPr="00401EAA" w14:paraId="7EB144AD" w14:textId="77777777" w:rsidTr="00187303">
        <w:trPr>
          <w:trHeight w:val="170"/>
        </w:trPr>
        <w:tc>
          <w:tcPr>
            <w:tcW w:w="745" w:type="dxa"/>
            <w:tcBorders>
              <w:top w:val="nil"/>
              <w:left w:val="nil"/>
              <w:bottom w:val="nil"/>
              <w:right w:val="nil"/>
            </w:tcBorders>
            <w:shd w:val="clear" w:color="000000" w:fill="FFFFFF"/>
            <w:noWrap/>
            <w:vAlign w:val="center"/>
            <w:hideMark/>
          </w:tcPr>
          <w:p w14:paraId="559ADD6E" w14:textId="77777777" w:rsidR="006C62CF" w:rsidRPr="00401EAA" w:rsidRDefault="006C62CF" w:rsidP="005F486D">
            <w:pPr>
              <w:suppressAutoHyphens w:val="0"/>
              <w:spacing w:line="240" w:lineRule="auto"/>
              <w:jc w:val="center"/>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1382" w:type="dxa"/>
            <w:tcBorders>
              <w:top w:val="nil"/>
              <w:left w:val="nil"/>
              <w:bottom w:val="nil"/>
              <w:right w:val="nil"/>
            </w:tcBorders>
            <w:shd w:val="clear" w:color="000000" w:fill="FFFFFF"/>
            <w:vAlign w:val="center"/>
            <w:hideMark/>
          </w:tcPr>
          <w:p w14:paraId="312DB0B6"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40E0F13C"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567" w:type="dxa"/>
            <w:tcBorders>
              <w:top w:val="nil"/>
              <w:left w:val="nil"/>
              <w:bottom w:val="nil"/>
              <w:right w:val="nil"/>
            </w:tcBorders>
            <w:shd w:val="clear" w:color="000000" w:fill="FFFFFF"/>
            <w:noWrap/>
            <w:vAlign w:val="center"/>
            <w:hideMark/>
          </w:tcPr>
          <w:p w14:paraId="109370B4"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603" w:type="dxa"/>
            <w:tcBorders>
              <w:top w:val="nil"/>
              <w:left w:val="nil"/>
              <w:bottom w:val="nil"/>
              <w:right w:val="nil"/>
            </w:tcBorders>
            <w:shd w:val="clear" w:color="000000" w:fill="FFFFFF"/>
            <w:noWrap/>
            <w:vAlign w:val="center"/>
            <w:hideMark/>
          </w:tcPr>
          <w:p w14:paraId="03575E12"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C08040" w14:textId="77777777" w:rsidR="006C62CF" w:rsidRPr="00AB5C15" w:rsidRDefault="006C62CF" w:rsidP="005F486D">
            <w:pPr>
              <w:suppressAutoHyphens w:val="0"/>
              <w:spacing w:line="240" w:lineRule="auto"/>
              <w:jc w:val="center"/>
              <w:rPr>
                <w:rFonts w:asciiTheme="majorBidi" w:hAnsiTheme="majorBidi" w:cstheme="majorBidi"/>
                <w:b/>
                <w:bCs/>
                <w:i/>
                <w:iCs/>
                <w:color w:val="000000"/>
                <w:sz w:val="16"/>
                <w:szCs w:val="16"/>
                <w:lang w:val="en-GB" w:eastAsia="de-DE"/>
              </w:rPr>
            </w:pPr>
            <w:r w:rsidRPr="00AB5C15">
              <w:rPr>
                <w:rFonts w:asciiTheme="majorBidi" w:hAnsiTheme="majorBidi" w:cstheme="majorBidi"/>
                <w:b/>
                <w:bCs/>
                <w:i/>
                <w:iCs/>
                <w:color w:val="000000"/>
                <w:sz w:val="16"/>
                <w:szCs w:val="16"/>
                <w:lang w:val="en-GB" w:eastAsia="de-DE"/>
              </w:rPr>
              <w:t>k=2</w:t>
            </w:r>
            <w:r w:rsidRPr="00AB5C15">
              <w:rPr>
                <w:rFonts w:asciiTheme="majorBidi" w:eastAsia="MS PGothic" w:hAnsiTheme="majorBidi" w:cstheme="majorBidi"/>
                <w:b/>
                <w:bCs/>
                <w:i/>
                <w:iCs/>
                <w:color w:val="000000"/>
                <w:sz w:val="16"/>
                <w:szCs w:val="16"/>
                <w:lang w:val="en-GB" w:eastAsia="de-DE"/>
              </w:rPr>
              <w:t xml:space="preserve">　</w:t>
            </w:r>
            <w:r w:rsidRPr="00AB5C15">
              <w:rPr>
                <w:rFonts w:asciiTheme="majorBidi" w:hAnsiTheme="majorBidi" w:cstheme="majorBidi"/>
                <w:b/>
                <w:bCs/>
                <w:i/>
                <w:iCs/>
                <w:color w:val="000000"/>
                <w:sz w:val="16"/>
                <w:szCs w:val="16"/>
                <w:lang w:val="en-GB" w:eastAsia="de-DE"/>
              </w:rPr>
              <w:t xml:space="preserve">(95%) </w:t>
            </w:r>
          </w:p>
        </w:tc>
        <w:tc>
          <w:tcPr>
            <w:tcW w:w="815" w:type="dxa"/>
            <w:vMerge/>
            <w:tcBorders>
              <w:top w:val="nil"/>
              <w:left w:val="single" w:sz="4" w:space="0" w:color="auto"/>
              <w:bottom w:val="single" w:sz="4" w:space="0" w:color="000000"/>
              <w:right w:val="single" w:sz="4" w:space="0" w:color="auto"/>
            </w:tcBorders>
            <w:vAlign w:val="center"/>
            <w:hideMark/>
          </w:tcPr>
          <w:p w14:paraId="7904FB6D"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850" w:type="dxa"/>
            <w:tcBorders>
              <w:top w:val="nil"/>
              <w:left w:val="nil"/>
              <w:bottom w:val="nil"/>
              <w:right w:val="nil"/>
            </w:tcBorders>
            <w:shd w:val="clear" w:color="000000" w:fill="FFFFFF"/>
            <w:noWrap/>
            <w:vAlign w:val="center"/>
            <w:hideMark/>
          </w:tcPr>
          <w:p w14:paraId="4F2E7F2E"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99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5D1E7D8"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p>
        </w:tc>
        <w:tc>
          <w:tcPr>
            <w:tcW w:w="850" w:type="dxa"/>
            <w:tcBorders>
              <w:top w:val="nil"/>
              <w:left w:val="nil"/>
              <w:bottom w:val="nil"/>
              <w:right w:val="nil"/>
            </w:tcBorders>
            <w:shd w:val="clear" w:color="000000" w:fill="FFFFFF"/>
            <w:noWrap/>
            <w:vAlign w:val="center"/>
            <w:hideMark/>
          </w:tcPr>
          <w:p w14:paraId="20B82509" w14:textId="77777777" w:rsidR="006C62CF" w:rsidRPr="00401EAA" w:rsidRDefault="006C62CF" w:rsidP="005F486D">
            <w:pPr>
              <w:suppressAutoHyphens w:val="0"/>
              <w:spacing w:line="240" w:lineRule="auto"/>
              <w:rPr>
                <w:rFonts w:asciiTheme="majorBidi" w:hAnsiTheme="majorBidi" w:cstheme="majorBidi"/>
                <w:color w:val="000000"/>
                <w:sz w:val="18"/>
                <w:szCs w:val="18"/>
                <w:lang w:val="en-GB" w:eastAsia="de-DE"/>
              </w:rPr>
            </w:pPr>
            <w:r w:rsidRPr="00401EAA">
              <w:rPr>
                <w:rFonts w:asciiTheme="majorBidi" w:hAnsiTheme="majorBidi" w:cstheme="majorBidi"/>
                <w:color w:val="000000"/>
                <w:sz w:val="18"/>
                <w:szCs w:val="18"/>
                <w:lang w:val="en-GB" w:eastAsia="de-DE"/>
              </w:rPr>
              <w:t> </w:t>
            </w:r>
          </w:p>
        </w:tc>
        <w:tc>
          <w:tcPr>
            <w:tcW w:w="851" w:type="dxa"/>
            <w:vMerge/>
            <w:tcBorders>
              <w:top w:val="nil"/>
              <w:left w:val="single" w:sz="4" w:space="0" w:color="auto"/>
              <w:bottom w:val="single" w:sz="4" w:space="0" w:color="000000"/>
              <w:right w:val="single" w:sz="4" w:space="0" w:color="auto"/>
            </w:tcBorders>
            <w:vAlign w:val="center"/>
            <w:hideMark/>
          </w:tcPr>
          <w:p w14:paraId="53717C65"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567" w:type="dxa"/>
            <w:vMerge/>
            <w:tcBorders>
              <w:top w:val="nil"/>
              <w:left w:val="single" w:sz="4" w:space="0" w:color="auto"/>
              <w:bottom w:val="single" w:sz="4" w:space="0" w:color="000000"/>
              <w:right w:val="single" w:sz="4" w:space="0" w:color="auto"/>
            </w:tcBorders>
            <w:vAlign w:val="center"/>
            <w:hideMark/>
          </w:tcPr>
          <w:p w14:paraId="43BE1C63"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c>
          <w:tcPr>
            <w:tcW w:w="567" w:type="dxa"/>
            <w:vMerge/>
            <w:tcBorders>
              <w:top w:val="nil"/>
              <w:left w:val="single" w:sz="4" w:space="0" w:color="auto"/>
              <w:bottom w:val="single" w:sz="4" w:space="0" w:color="000000"/>
              <w:right w:val="single" w:sz="4" w:space="0" w:color="auto"/>
            </w:tcBorders>
            <w:vAlign w:val="center"/>
            <w:hideMark/>
          </w:tcPr>
          <w:p w14:paraId="6F53D8CE" w14:textId="77777777" w:rsidR="006C62CF" w:rsidRPr="00401EAA" w:rsidRDefault="006C62CF" w:rsidP="005F486D">
            <w:pPr>
              <w:suppressAutoHyphens w:val="0"/>
              <w:spacing w:line="240" w:lineRule="auto"/>
              <w:rPr>
                <w:rFonts w:asciiTheme="majorBidi" w:hAnsiTheme="majorBidi" w:cstheme="majorBidi"/>
                <w:color w:val="FFFFFF"/>
                <w:sz w:val="18"/>
                <w:szCs w:val="18"/>
                <w:lang w:val="en-GB" w:eastAsia="de-DE"/>
              </w:rPr>
            </w:pPr>
          </w:p>
        </w:tc>
      </w:tr>
    </w:tbl>
    <w:p w14:paraId="6234EC84" w14:textId="4A9F3894" w:rsidR="008610D6" w:rsidRDefault="008610D6">
      <w:pPr>
        <w:suppressAutoHyphens w:val="0"/>
        <w:spacing w:line="240" w:lineRule="auto"/>
        <w:rPr>
          <w:bCs/>
          <w:lang w:val="en-GB"/>
        </w:rPr>
      </w:pPr>
    </w:p>
    <w:p w14:paraId="7E195775" w14:textId="685592CD" w:rsidR="006315C7" w:rsidRPr="008208C4" w:rsidRDefault="006315C7" w:rsidP="00F35D9E">
      <w:pPr>
        <w:keepLines/>
        <w:tabs>
          <w:tab w:val="right" w:pos="8505"/>
        </w:tabs>
        <w:spacing w:after="120"/>
        <w:ind w:left="1134"/>
        <w:jc w:val="both"/>
        <w:rPr>
          <w:bCs/>
          <w:lang w:val="en-GB"/>
        </w:rPr>
      </w:pPr>
      <w:r w:rsidRPr="008208C4">
        <w:rPr>
          <w:bCs/>
          <w:lang w:val="en-GB"/>
        </w:rPr>
        <w:t>In ISO 362-1, the appendix dealing with the measurement uncertainty has recently been updated in the ongoing revision.</w:t>
      </w:r>
    </w:p>
    <w:p w14:paraId="2D3D2475" w14:textId="77777777" w:rsidR="006315C7" w:rsidRPr="008208C4" w:rsidRDefault="006315C7" w:rsidP="00F35D9E">
      <w:pPr>
        <w:keepLines/>
        <w:tabs>
          <w:tab w:val="right" w:pos="8505"/>
        </w:tabs>
        <w:spacing w:after="120"/>
        <w:ind w:left="1134"/>
        <w:jc w:val="both"/>
        <w:rPr>
          <w:bCs/>
          <w:lang w:val="en-GB"/>
        </w:rPr>
      </w:pPr>
      <w:r w:rsidRPr="008208C4">
        <w:rPr>
          <w:bCs/>
          <w:lang w:val="en-GB"/>
        </w:rPr>
        <w:t>In table 7.2, the uncertainty budget for the parameters influencing the total expanded uncertainty is listed.</w:t>
      </w:r>
    </w:p>
    <w:p w14:paraId="3A8E3052" w14:textId="77777777" w:rsidR="000A7009" w:rsidRDefault="000A7009">
      <w:pPr>
        <w:suppressAutoHyphens w:val="0"/>
        <w:spacing w:line="240" w:lineRule="auto"/>
        <w:rPr>
          <w:bCs/>
          <w:lang w:val="en-GB"/>
        </w:rPr>
      </w:pPr>
      <w:r>
        <w:rPr>
          <w:bCs/>
          <w:lang w:val="en-GB"/>
        </w:rPr>
        <w:br w:type="page"/>
      </w:r>
    </w:p>
    <w:p w14:paraId="5A32A313" w14:textId="5EBE0337" w:rsidR="00DF1833" w:rsidRDefault="006315C7" w:rsidP="00B31F8D">
      <w:pPr>
        <w:spacing w:line="240" w:lineRule="auto"/>
        <w:ind w:left="1134"/>
        <w:outlineLvl w:val="0"/>
        <w:rPr>
          <w:bCs/>
          <w:lang w:val="en-GB"/>
        </w:rPr>
      </w:pPr>
      <w:r w:rsidRPr="008208C4">
        <w:rPr>
          <w:bCs/>
          <w:lang w:val="en-GB"/>
        </w:rPr>
        <w:lastRenderedPageBreak/>
        <w:t>Table 7.2</w:t>
      </w:r>
      <w:r w:rsidR="00BD7960">
        <w:rPr>
          <w:bCs/>
          <w:lang w:val="en-GB"/>
        </w:rPr>
        <w:t>**</w:t>
      </w:r>
    </w:p>
    <w:p w14:paraId="42C77CE9" w14:textId="204034B4" w:rsidR="00747CE8" w:rsidRPr="00DF1833" w:rsidRDefault="006315C7" w:rsidP="008D1ADC">
      <w:pPr>
        <w:spacing w:after="120" w:line="240" w:lineRule="auto"/>
        <w:ind w:left="1134"/>
        <w:outlineLvl w:val="0"/>
        <w:rPr>
          <w:b/>
          <w:lang w:val="en-GB"/>
        </w:rPr>
      </w:pPr>
      <w:bookmarkStart w:id="4" w:name="_Hlk94004533"/>
      <w:r w:rsidRPr="00DF1833">
        <w:rPr>
          <w:b/>
          <w:lang w:val="en-GB"/>
        </w:rPr>
        <w:t>Uncertainty budget for determination of urban sound pressure level</w:t>
      </w: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6"/>
        <w:gridCol w:w="4394"/>
        <w:gridCol w:w="709"/>
        <w:gridCol w:w="709"/>
        <w:gridCol w:w="709"/>
        <w:gridCol w:w="1275"/>
        <w:gridCol w:w="709"/>
        <w:gridCol w:w="709"/>
      </w:tblGrid>
      <w:tr w:rsidR="00D35D59" w:rsidRPr="002D7AB6" w14:paraId="2D47B6DE" w14:textId="77777777" w:rsidTr="00820CA4">
        <w:trPr>
          <w:cantSplit/>
          <w:trHeight w:val="1746"/>
        </w:trPr>
        <w:tc>
          <w:tcPr>
            <w:tcW w:w="586" w:type="dxa"/>
            <w:tcBorders>
              <w:top w:val="single" w:sz="12" w:space="0" w:color="auto"/>
              <w:bottom w:val="single" w:sz="4" w:space="0" w:color="auto"/>
            </w:tcBorders>
            <w:textDirection w:val="btLr"/>
            <w:vAlign w:val="center"/>
          </w:tcPr>
          <w:bookmarkEnd w:id="4"/>
          <w:p w14:paraId="43DE1A7B" w14:textId="77777777" w:rsidR="00D35D59" w:rsidRPr="002D7AB6" w:rsidRDefault="00D35D59" w:rsidP="005F486D">
            <w:pPr>
              <w:pStyle w:val="BaseText"/>
              <w:ind w:left="113" w:right="113"/>
              <w:jc w:val="center"/>
              <w:rPr>
                <w:rFonts w:ascii="Times New Roman" w:hAnsi="Times New Roman"/>
                <w:b/>
                <w:strike/>
                <w:sz w:val="16"/>
                <w:szCs w:val="16"/>
              </w:rPr>
            </w:pPr>
            <w:r w:rsidRPr="002D7AB6">
              <w:rPr>
                <w:rFonts w:ascii="Times New Roman" w:hAnsi="Times New Roman"/>
                <w:b/>
                <w:strike/>
                <w:sz w:val="16"/>
                <w:szCs w:val="16"/>
              </w:rPr>
              <w:t>Situation</w:t>
            </w:r>
          </w:p>
        </w:tc>
        <w:tc>
          <w:tcPr>
            <w:tcW w:w="4394" w:type="dxa"/>
            <w:tcBorders>
              <w:top w:val="single" w:sz="12" w:space="0" w:color="auto"/>
              <w:bottom w:val="single" w:sz="4" w:space="0" w:color="auto"/>
            </w:tcBorders>
            <w:textDirection w:val="btLr"/>
            <w:vAlign w:val="center"/>
          </w:tcPr>
          <w:p w14:paraId="3AAAC7B6" w14:textId="77777777" w:rsidR="00D35D59" w:rsidRPr="002D7AB6" w:rsidRDefault="00D35D59" w:rsidP="005F486D">
            <w:pPr>
              <w:pStyle w:val="BaseText"/>
              <w:ind w:left="113" w:right="113"/>
              <w:jc w:val="center"/>
              <w:rPr>
                <w:rFonts w:ascii="Times New Roman" w:hAnsi="Times New Roman"/>
                <w:b/>
                <w:strike/>
                <w:sz w:val="16"/>
                <w:szCs w:val="16"/>
              </w:rPr>
            </w:pPr>
            <w:r w:rsidRPr="002D7AB6">
              <w:rPr>
                <w:rFonts w:ascii="Times New Roman" w:hAnsi="Times New Roman"/>
                <w:b/>
                <w:strike/>
                <w:sz w:val="16"/>
                <w:szCs w:val="16"/>
              </w:rPr>
              <w:t>Quantity</w:t>
            </w:r>
          </w:p>
        </w:tc>
        <w:tc>
          <w:tcPr>
            <w:tcW w:w="709" w:type="dxa"/>
            <w:tcBorders>
              <w:top w:val="single" w:sz="12" w:space="0" w:color="auto"/>
              <w:bottom w:val="single" w:sz="4" w:space="0" w:color="auto"/>
            </w:tcBorders>
            <w:textDirection w:val="btLr"/>
          </w:tcPr>
          <w:p w14:paraId="44BC6197" w14:textId="77777777" w:rsidR="00D35D59" w:rsidRPr="002D7AB6" w:rsidRDefault="00D35D59" w:rsidP="005F486D">
            <w:pPr>
              <w:pStyle w:val="Tableheader"/>
              <w:ind w:left="113" w:right="113"/>
              <w:jc w:val="center"/>
              <w:rPr>
                <w:rFonts w:ascii="Times New Roman" w:hAnsi="Times New Roman"/>
                <w:b/>
                <w:strike/>
                <w:sz w:val="16"/>
                <w:szCs w:val="16"/>
              </w:rPr>
            </w:pPr>
            <w:r w:rsidRPr="002D7AB6">
              <w:rPr>
                <w:rFonts w:ascii="Times New Roman" w:hAnsi="Times New Roman"/>
                <w:b/>
                <w:strike/>
                <w:sz w:val="16"/>
                <w:szCs w:val="16"/>
              </w:rPr>
              <w:t>Peak to peak estimation L</w:t>
            </w:r>
            <w:r w:rsidRPr="002D7AB6">
              <w:rPr>
                <w:rFonts w:ascii="Times New Roman" w:hAnsi="Times New Roman"/>
                <w:b/>
                <w:strike/>
                <w:sz w:val="16"/>
                <w:szCs w:val="16"/>
                <w:vertAlign w:val="subscript"/>
              </w:rPr>
              <w:t>wot</w:t>
            </w:r>
          </w:p>
        </w:tc>
        <w:tc>
          <w:tcPr>
            <w:tcW w:w="709" w:type="dxa"/>
            <w:tcBorders>
              <w:top w:val="single" w:sz="12" w:space="0" w:color="auto"/>
              <w:bottom w:val="single" w:sz="4" w:space="0" w:color="auto"/>
            </w:tcBorders>
            <w:textDirection w:val="btLr"/>
          </w:tcPr>
          <w:p w14:paraId="09F8BAD8" w14:textId="77777777" w:rsidR="00D35D59" w:rsidRPr="002D7AB6" w:rsidRDefault="00D35D59" w:rsidP="005F486D">
            <w:pPr>
              <w:pStyle w:val="Tableheader"/>
              <w:ind w:left="113" w:right="113"/>
              <w:jc w:val="center"/>
              <w:rPr>
                <w:rFonts w:ascii="Times New Roman" w:hAnsi="Times New Roman"/>
                <w:b/>
                <w:strike/>
                <w:sz w:val="16"/>
                <w:szCs w:val="16"/>
              </w:rPr>
            </w:pPr>
            <w:r w:rsidRPr="002D7AB6">
              <w:rPr>
                <w:rFonts w:ascii="Times New Roman" w:hAnsi="Times New Roman"/>
                <w:b/>
                <w:strike/>
                <w:sz w:val="16"/>
                <w:szCs w:val="16"/>
              </w:rPr>
              <w:t>Peak to peak estimation L</w:t>
            </w:r>
            <w:r w:rsidRPr="002D7AB6">
              <w:rPr>
                <w:rFonts w:ascii="Times New Roman" w:hAnsi="Times New Roman"/>
                <w:b/>
                <w:strike/>
                <w:sz w:val="16"/>
                <w:szCs w:val="16"/>
                <w:vertAlign w:val="subscript"/>
              </w:rPr>
              <w:t>crs</w:t>
            </w:r>
          </w:p>
        </w:tc>
        <w:tc>
          <w:tcPr>
            <w:tcW w:w="709" w:type="dxa"/>
            <w:tcBorders>
              <w:top w:val="single" w:sz="12" w:space="0" w:color="auto"/>
              <w:bottom w:val="single" w:sz="4" w:space="0" w:color="auto"/>
            </w:tcBorders>
            <w:textDirection w:val="btLr"/>
            <w:vAlign w:val="center"/>
          </w:tcPr>
          <w:p w14:paraId="2624B3E8" w14:textId="77777777" w:rsidR="00D35D59" w:rsidRPr="002D7AB6" w:rsidRDefault="00D35D59" w:rsidP="005F486D">
            <w:pPr>
              <w:pStyle w:val="Tableheader"/>
              <w:ind w:left="113" w:right="113"/>
              <w:jc w:val="center"/>
              <w:rPr>
                <w:rFonts w:ascii="Times New Roman" w:hAnsi="Times New Roman"/>
                <w:b/>
                <w:strike/>
                <w:sz w:val="16"/>
                <w:szCs w:val="16"/>
                <w:lang w:eastAsia="ja-JP"/>
              </w:rPr>
            </w:pPr>
            <w:r w:rsidRPr="002D7AB6">
              <w:rPr>
                <w:rFonts w:ascii="Times New Roman" w:hAnsi="Times New Roman"/>
                <w:b/>
                <w:strike/>
                <w:sz w:val="16"/>
                <w:szCs w:val="16"/>
              </w:rPr>
              <w:t>Impact on L</w:t>
            </w:r>
            <w:r w:rsidRPr="002D7AB6">
              <w:rPr>
                <w:rFonts w:ascii="Times New Roman" w:hAnsi="Times New Roman"/>
                <w:b/>
                <w:strike/>
                <w:sz w:val="16"/>
                <w:szCs w:val="16"/>
                <w:vertAlign w:val="subscript"/>
              </w:rPr>
              <w:t>urban</w:t>
            </w:r>
          </w:p>
        </w:tc>
        <w:tc>
          <w:tcPr>
            <w:tcW w:w="1275" w:type="dxa"/>
            <w:tcBorders>
              <w:top w:val="single" w:sz="12" w:space="0" w:color="auto"/>
              <w:bottom w:val="single" w:sz="4" w:space="0" w:color="auto"/>
            </w:tcBorders>
            <w:textDirection w:val="btLr"/>
            <w:vAlign w:val="center"/>
          </w:tcPr>
          <w:p w14:paraId="6916910A" w14:textId="77777777" w:rsidR="00D35D59" w:rsidRPr="002D7AB6" w:rsidRDefault="00D35D59" w:rsidP="005F486D">
            <w:pPr>
              <w:pStyle w:val="Tableheader"/>
              <w:ind w:left="113" w:right="113"/>
              <w:jc w:val="center"/>
              <w:rPr>
                <w:rFonts w:ascii="Times New Roman" w:hAnsi="Times New Roman"/>
                <w:b/>
                <w:strike/>
                <w:sz w:val="16"/>
                <w:szCs w:val="16"/>
              </w:rPr>
            </w:pPr>
            <w:r w:rsidRPr="002D7AB6">
              <w:rPr>
                <w:rFonts w:ascii="Times New Roman" w:hAnsi="Times New Roman"/>
                <w:b/>
                <w:strike/>
                <w:sz w:val="16"/>
                <w:szCs w:val="16"/>
              </w:rPr>
              <w:t>Probability distribution</w:t>
            </w:r>
          </w:p>
        </w:tc>
        <w:tc>
          <w:tcPr>
            <w:tcW w:w="709" w:type="dxa"/>
            <w:tcBorders>
              <w:top w:val="single" w:sz="12" w:space="0" w:color="auto"/>
              <w:bottom w:val="single" w:sz="4" w:space="0" w:color="auto"/>
            </w:tcBorders>
            <w:textDirection w:val="btLr"/>
            <w:vAlign w:val="center"/>
          </w:tcPr>
          <w:p w14:paraId="21C70A98" w14:textId="77777777" w:rsidR="00D35D59" w:rsidRPr="002D7AB6" w:rsidRDefault="00D35D59" w:rsidP="005F486D">
            <w:pPr>
              <w:pStyle w:val="Tableheader"/>
              <w:ind w:left="113" w:right="113"/>
              <w:jc w:val="center"/>
              <w:rPr>
                <w:rFonts w:ascii="Times New Roman" w:hAnsi="Times New Roman"/>
                <w:b/>
                <w:strike/>
                <w:sz w:val="16"/>
                <w:szCs w:val="16"/>
              </w:rPr>
            </w:pPr>
            <w:r w:rsidRPr="002D7AB6">
              <w:rPr>
                <w:rFonts w:ascii="Times New Roman" w:hAnsi="Times New Roman"/>
                <w:b/>
                <w:strike/>
                <w:sz w:val="16"/>
                <w:szCs w:val="16"/>
              </w:rPr>
              <w:t>Standard uncertainty</w:t>
            </w:r>
          </w:p>
        </w:tc>
        <w:tc>
          <w:tcPr>
            <w:tcW w:w="709" w:type="dxa"/>
            <w:tcBorders>
              <w:top w:val="single" w:sz="12" w:space="0" w:color="auto"/>
              <w:bottom w:val="single" w:sz="4" w:space="0" w:color="auto"/>
            </w:tcBorders>
            <w:textDirection w:val="btLr"/>
            <w:vAlign w:val="center"/>
          </w:tcPr>
          <w:p w14:paraId="6BEE3A83" w14:textId="77777777" w:rsidR="00D35D59" w:rsidRPr="002D7AB6" w:rsidRDefault="00D35D59" w:rsidP="005F486D">
            <w:pPr>
              <w:pStyle w:val="Tableheader"/>
              <w:ind w:left="113" w:right="113"/>
              <w:jc w:val="center"/>
              <w:rPr>
                <w:rFonts w:ascii="Times New Roman" w:hAnsi="Times New Roman"/>
                <w:b/>
                <w:strike/>
                <w:sz w:val="16"/>
                <w:szCs w:val="16"/>
              </w:rPr>
            </w:pPr>
            <w:r w:rsidRPr="002D7AB6">
              <w:rPr>
                <w:rFonts w:ascii="Times New Roman" w:hAnsi="Times New Roman"/>
                <w:b/>
                <w:strike/>
                <w:sz w:val="16"/>
                <w:szCs w:val="16"/>
              </w:rPr>
              <w:t>95% Uncertainty</w:t>
            </w:r>
          </w:p>
        </w:tc>
      </w:tr>
      <w:tr w:rsidR="00D35D59" w:rsidRPr="002D7AB6" w14:paraId="600E6649" w14:textId="77777777" w:rsidTr="00820CA4">
        <w:trPr>
          <w:cantSplit/>
          <w:trHeight w:val="536"/>
        </w:trPr>
        <w:tc>
          <w:tcPr>
            <w:tcW w:w="586" w:type="dxa"/>
            <w:tcBorders>
              <w:top w:val="single" w:sz="4" w:space="0" w:color="auto"/>
              <w:left w:val="single" w:sz="12" w:space="0" w:color="auto"/>
              <w:bottom w:val="single" w:sz="12" w:space="0" w:color="auto"/>
            </w:tcBorders>
            <w:textDirection w:val="btLr"/>
            <w:vAlign w:val="center"/>
          </w:tcPr>
          <w:p w14:paraId="333F1F1E" w14:textId="77777777" w:rsidR="00D35D59" w:rsidRPr="002D7AB6" w:rsidRDefault="00D35D59" w:rsidP="005F486D">
            <w:pPr>
              <w:pStyle w:val="BaseText"/>
              <w:jc w:val="right"/>
              <w:rPr>
                <w:rFonts w:ascii="Times New Roman" w:hAnsi="Times New Roman"/>
                <w:b/>
                <w:i/>
                <w:iCs/>
                <w:strike/>
                <w:sz w:val="16"/>
                <w:szCs w:val="16"/>
              </w:rPr>
            </w:pPr>
          </w:p>
        </w:tc>
        <w:tc>
          <w:tcPr>
            <w:tcW w:w="4394" w:type="dxa"/>
            <w:tcBorders>
              <w:top w:val="single" w:sz="4" w:space="0" w:color="auto"/>
              <w:bottom w:val="single" w:sz="12" w:space="0" w:color="auto"/>
            </w:tcBorders>
            <w:textDirection w:val="btLr"/>
            <w:vAlign w:val="center"/>
          </w:tcPr>
          <w:p w14:paraId="17998BC8" w14:textId="77777777" w:rsidR="00D35D59" w:rsidRPr="002D7AB6" w:rsidRDefault="00D35D59" w:rsidP="005F486D">
            <w:pPr>
              <w:pStyle w:val="BaseText"/>
              <w:jc w:val="right"/>
              <w:rPr>
                <w:rFonts w:ascii="Times New Roman" w:hAnsi="Times New Roman"/>
                <w:b/>
                <w:i/>
                <w:iCs/>
                <w:strike/>
                <w:sz w:val="16"/>
                <w:szCs w:val="16"/>
              </w:rPr>
            </w:pPr>
          </w:p>
        </w:tc>
        <w:tc>
          <w:tcPr>
            <w:tcW w:w="709" w:type="dxa"/>
            <w:tcBorders>
              <w:top w:val="single" w:sz="4" w:space="0" w:color="auto"/>
              <w:bottom w:val="single" w:sz="12" w:space="0" w:color="auto"/>
            </w:tcBorders>
            <w:vAlign w:val="center"/>
          </w:tcPr>
          <w:p w14:paraId="78942EE0" w14:textId="77777777" w:rsidR="00D35D59" w:rsidRPr="002D7AB6" w:rsidRDefault="00D35D59" w:rsidP="005F486D">
            <w:pPr>
              <w:pStyle w:val="Tableheader"/>
              <w:jc w:val="center"/>
              <w:rPr>
                <w:rFonts w:ascii="Times New Roman" w:hAnsi="Times New Roman"/>
                <w:b/>
                <w:i/>
                <w:iCs/>
                <w:strike/>
                <w:sz w:val="16"/>
                <w:szCs w:val="16"/>
              </w:rPr>
            </w:pPr>
            <w:r w:rsidRPr="002D7AB6">
              <w:rPr>
                <w:rFonts w:ascii="Times New Roman" w:hAnsi="Times New Roman"/>
                <w:b/>
                <w:i/>
                <w:iCs/>
                <w:strike/>
                <w:sz w:val="16"/>
                <w:szCs w:val="16"/>
              </w:rPr>
              <w:t>dB</w:t>
            </w:r>
          </w:p>
        </w:tc>
        <w:tc>
          <w:tcPr>
            <w:tcW w:w="709" w:type="dxa"/>
            <w:tcBorders>
              <w:top w:val="single" w:sz="4" w:space="0" w:color="auto"/>
              <w:bottom w:val="single" w:sz="12" w:space="0" w:color="auto"/>
            </w:tcBorders>
            <w:vAlign w:val="center"/>
          </w:tcPr>
          <w:p w14:paraId="67D7428E" w14:textId="77777777" w:rsidR="00D35D59" w:rsidRPr="002D7AB6" w:rsidRDefault="00D35D59" w:rsidP="005F486D">
            <w:pPr>
              <w:pStyle w:val="Tableheader"/>
              <w:jc w:val="center"/>
              <w:rPr>
                <w:rFonts w:ascii="Times New Roman" w:hAnsi="Times New Roman"/>
                <w:b/>
                <w:i/>
                <w:iCs/>
                <w:strike/>
                <w:sz w:val="16"/>
                <w:szCs w:val="16"/>
              </w:rPr>
            </w:pPr>
            <w:r w:rsidRPr="002D7AB6">
              <w:rPr>
                <w:rFonts w:ascii="Times New Roman" w:hAnsi="Times New Roman"/>
                <w:b/>
                <w:i/>
                <w:iCs/>
                <w:strike/>
                <w:sz w:val="16"/>
                <w:szCs w:val="16"/>
              </w:rPr>
              <w:t>dB</w:t>
            </w:r>
          </w:p>
        </w:tc>
        <w:tc>
          <w:tcPr>
            <w:tcW w:w="709" w:type="dxa"/>
            <w:tcBorders>
              <w:top w:val="single" w:sz="4" w:space="0" w:color="auto"/>
              <w:bottom w:val="single" w:sz="12" w:space="0" w:color="auto"/>
            </w:tcBorders>
            <w:vAlign w:val="center"/>
          </w:tcPr>
          <w:p w14:paraId="4821331A" w14:textId="77777777" w:rsidR="00D35D59" w:rsidRPr="002D7AB6" w:rsidRDefault="00D35D59" w:rsidP="005F486D">
            <w:pPr>
              <w:pStyle w:val="Tableheader"/>
              <w:jc w:val="center"/>
              <w:rPr>
                <w:rFonts w:ascii="Times New Roman" w:hAnsi="Times New Roman"/>
                <w:b/>
                <w:i/>
                <w:iCs/>
                <w:strike/>
                <w:sz w:val="16"/>
                <w:szCs w:val="16"/>
              </w:rPr>
            </w:pPr>
            <w:r w:rsidRPr="002D7AB6">
              <w:rPr>
                <w:rFonts w:ascii="Times New Roman" w:hAnsi="Times New Roman"/>
                <w:b/>
                <w:i/>
                <w:iCs/>
                <w:strike/>
                <w:sz w:val="16"/>
                <w:szCs w:val="16"/>
              </w:rPr>
              <w:t>dB</w:t>
            </w:r>
          </w:p>
        </w:tc>
        <w:tc>
          <w:tcPr>
            <w:tcW w:w="1275" w:type="dxa"/>
            <w:tcBorders>
              <w:top w:val="single" w:sz="4" w:space="0" w:color="auto"/>
              <w:bottom w:val="single" w:sz="12" w:space="0" w:color="auto"/>
            </w:tcBorders>
            <w:vAlign w:val="center"/>
          </w:tcPr>
          <w:p w14:paraId="3CB24D67" w14:textId="77777777" w:rsidR="00D35D59" w:rsidRPr="002D7AB6" w:rsidRDefault="00D35D59" w:rsidP="005F486D">
            <w:pPr>
              <w:pStyle w:val="Tableheader"/>
              <w:jc w:val="center"/>
              <w:rPr>
                <w:rFonts w:ascii="Times New Roman" w:hAnsi="Times New Roman"/>
                <w:b/>
                <w:i/>
                <w:iCs/>
                <w:strike/>
                <w:sz w:val="16"/>
                <w:szCs w:val="16"/>
              </w:rPr>
            </w:pPr>
          </w:p>
        </w:tc>
        <w:tc>
          <w:tcPr>
            <w:tcW w:w="709" w:type="dxa"/>
            <w:tcBorders>
              <w:top w:val="single" w:sz="4" w:space="0" w:color="auto"/>
              <w:bottom w:val="single" w:sz="12" w:space="0" w:color="auto"/>
            </w:tcBorders>
            <w:vAlign w:val="center"/>
          </w:tcPr>
          <w:p w14:paraId="1F5043E8" w14:textId="77777777" w:rsidR="00D35D59" w:rsidRPr="002D7AB6" w:rsidRDefault="00D35D59" w:rsidP="005F486D">
            <w:pPr>
              <w:pStyle w:val="Tableheader"/>
              <w:jc w:val="center"/>
              <w:rPr>
                <w:rFonts w:ascii="Times New Roman" w:hAnsi="Times New Roman"/>
                <w:b/>
                <w:i/>
                <w:iCs/>
                <w:strike/>
                <w:sz w:val="16"/>
                <w:szCs w:val="16"/>
              </w:rPr>
            </w:pPr>
            <w:r w:rsidRPr="002D7AB6">
              <w:rPr>
                <w:rFonts w:ascii="Times New Roman" w:hAnsi="Times New Roman"/>
                <w:b/>
                <w:i/>
                <w:iCs/>
                <w:strike/>
                <w:sz w:val="16"/>
                <w:szCs w:val="16"/>
              </w:rPr>
              <w:t>+/-dB</w:t>
            </w:r>
          </w:p>
        </w:tc>
        <w:tc>
          <w:tcPr>
            <w:tcW w:w="709" w:type="dxa"/>
            <w:tcBorders>
              <w:top w:val="single" w:sz="4" w:space="0" w:color="auto"/>
              <w:bottom w:val="single" w:sz="12" w:space="0" w:color="auto"/>
              <w:right w:val="single" w:sz="12" w:space="0" w:color="auto"/>
            </w:tcBorders>
            <w:vAlign w:val="center"/>
          </w:tcPr>
          <w:p w14:paraId="6549ECCD" w14:textId="77777777" w:rsidR="00D35D59" w:rsidRPr="002D7AB6" w:rsidRDefault="00D35D59" w:rsidP="005F486D">
            <w:pPr>
              <w:pStyle w:val="Tableheader"/>
              <w:jc w:val="center"/>
              <w:rPr>
                <w:rFonts w:ascii="Times New Roman" w:hAnsi="Times New Roman"/>
                <w:b/>
                <w:i/>
                <w:iCs/>
                <w:strike/>
                <w:sz w:val="16"/>
                <w:szCs w:val="16"/>
              </w:rPr>
            </w:pPr>
            <w:r w:rsidRPr="002D7AB6">
              <w:rPr>
                <w:rFonts w:ascii="Times New Roman" w:hAnsi="Times New Roman"/>
                <w:b/>
                <w:i/>
                <w:iCs/>
                <w:strike/>
                <w:sz w:val="16"/>
                <w:szCs w:val="16"/>
              </w:rPr>
              <w:t>+/-dB</w:t>
            </w:r>
          </w:p>
        </w:tc>
      </w:tr>
      <w:tr w:rsidR="00D35D59" w:rsidRPr="002D7AB6" w14:paraId="07A59405" w14:textId="77777777" w:rsidTr="005F486D">
        <w:tc>
          <w:tcPr>
            <w:tcW w:w="586" w:type="dxa"/>
            <w:vMerge w:val="restart"/>
            <w:tcBorders>
              <w:top w:val="single" w:sz="12" w:space="0" w:color="auto"/>
            </w:tcBorders>
          </w:tcPr>
          <w:p w14:paraId="2376FB5A" w14:textId="77777777" w:rsidR="00D35D59" w:rsidRPr="002D7AB6" w:rsidRDefault="00D35D59" w:rsidP="005F486D">
            <w:pPr>
              <w:pStyle w:val="Tablebody"/>
              <w:jc w:val="center"/>
              <w:rPr>
                <w:rFonts w:ascii="Times New Roman" w:hAnsi="Times New Roman"/>
                <w:bCs/>
                <w:strike/>
                <w:sz w:val="18"/>
                <w:szCs w:val="18"/>
              </w:rPr>
            </w:pPr>
          </w:p>
          <w:p w14:paraId="269576B3" w14:textId="77777777" w:rsidR="00D35D59" w:rsidRPr="002D7AB6" w:rsidRDefault="00D35D59" w:rsidP="005F486D">
            <w:pPr>
              <w:pStyle w:val="Tablebody"/>
              <w:jc w:val="center"/>
              <w:rPr>
                <w:rFonts w:ascii="Times New Roman" w:hAnsi="Times New Roman"/>
                <w:bCs/>
                <w:strike/>
                <w:sz w:val="18"/>
                <w:szCs w:val="18"/>
              </w:rPr>
            </w:pPr>
          </w:p>
          <w:p w14:paraId="4EF7840C" w14:textId="77777777" w:rsidR="00D35D59" w:rsidRPr="002D7AB6" w:rsidRDefault="00D35D59" w:rsidP="005F486D">
            <w:pPr>
              <w:pStyle w:val="Tablebody"/>
              <w:jc w:val="center"/>
              <w:rPr>
                <w:rFonts w:ascii="Times New Roman" w:hAnsi="Times New Roman"/>
                <w:bCs/>
                <w:strike/>
                <w:sz w:val="18"/>
                <w:szCs w:val="18"/>
              </w:rPr>
            </w:pPr>
          </w:p>
          <w:p w14:paraId="0891A418"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Run to Run</w:t>
            </w:r>
          </w:p>
        </w:tc>
        <w:tc>
          <w:tcPr>
            <w:tcW w:w="4394" w:type="dxa"/>
            <w:tcBorders>
              <w:top w:val="single" w:sz="12" w:space="0" w:color="auto"/>
              <w:left w:val="single" w:sz="4" w:space="0" w:color="000000"/>
              <w:bottom w:val="single" w:sz="4" w:space="0" w:color="000000"/>
              <w:right w:val="single" w:sz="4" w:space="0" w:color="000000"/>
            </w:tcBorders>
            <w:shd w:val="clear" w:color="auto" w:fill="FFFFFF" w:themeFill="background1"/>
            <w:vAlign w:val="center"/>
          </w:tcPr>
          <w:p w14:paraId="5650D721" w14:textId="2EE78288"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Microclimate wind effect</w:t>
            </w:r>
          </w:p>
        </w:tc>
        <w:tc>
          <w:tcPr>
            <w:tcW w:w="70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659DF7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14:paraId="70DF715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single" w:sz="8" w:space="0" w:color="auto"/>
              <w:left w:val="nil"/>
              <w:bottom w:val="single" w:sz="4" w:space="0" w:color="auto"/>
              <w:right w:val="single" w:sz="4" w:space="0" w:color="auto"/>
            </w:tcBorders>
            <w:shd w:val="clear" w:color="auto" w:fill="auto"/>
            <w:vAlign w:val="center"/>
          </w:tcPr>
          <w:p w14:paraId="470CC40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0,50 </w:t>
            </w:r>
          </w:p>
        </w:tc>
        <w:tc>
          <w:tcPr>
            <w:tcW w:w="127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FC9A9F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gaussian</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06897B7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0,13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63532454"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 xml:space="preserve">0,6 </w:t>
            </w:r>
          </w:p>
        </w:tc>
      </w:tr>
      <w:tr w:rsidR="00D35D59" w:rsidRPr="002D7AB6" w14:paraId="244A6CC8" w14:textId="77777777" w:rsidTr="005F486D">
        <w:tc>
          <w:tcPr>
            <w:tcW w:w="586" w:type="dxa"/>
            <w:vMerge/>
          </w:tcPr>
          <w:p w14:paraId="762C2DB3"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E21A79" w14:textId="7C493C32" w:rsidR="00D35D59" w:rsidRPr="002D7AB6" w:rsidRDefault="003A7DFC"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Driver</w:t>
            </w:r>
            <w:r w:rsidR="00D35D59" w:rsidRPr="002D7AB6">
              <w:rPr>
                <w:rFonts w:asciiTheme="majorBidi" w:hAnsiTheme="majorBidi" w:cstheme="majorBidi"/>
                <w:bCs/>
                <w:strike/>
                <w:sz w:val="18"/>
                <w:szCs w:val="18"/>
              </w:rPr>
              <w:t xml:space="preserve"> #1: Deviation from centered driving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81E63E8"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20EB8DD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07ADC47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0,50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05765D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23E9F98A"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0,14 </w:t>
            </w:r>
          </w:p>
        </w:tc>
        <w:tc>
          <w:tcPr>
            <w:tcW w:w="709" w:type="dxa"/>
            <w:vMerge/>
            <w:tcBorders>
              <w:top w:val="single" w:sz="8" w:space="0" w:color="auto"/>
              <w:left w:val="single" w:sz="4" w:space="0" w:color="auto"/>
              <w:bottom w:val="single" w:sz="8" w:space="0" w:color="000000"/>
              <w:right w:val="single" w:sz="8" w:space="0" w:color="auto"/>
            </w:tcBorders>
            <w:vAlign w:val="center"/>
          </w:tcPr>
          <w:p w14:paraId="6216EB36"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52800182" w14:textId="77777777" w:rsidTr="005F486D">
        <w:tc>
          <w:tcPr>
            <w:tcW w:w="586" w:type="dxa"/>
            <w:vMerge/>
          </w:tcPr>
          <w:p w14:paraId="563BF94A"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D77468" w14:textId="3D98AB42" w:rsidR="00D35D59" w:rsidRPr="002D7AB6" w:rsidRDefault="003A7DFC"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 xml:space="preserve">Driver </w:t>
            </w:r>
            <w:r w:rsidR="00D35D59" w:rsidRPr="002D7AB6">
              <w:rPr>
                <w:rFonts w:asciiTheme="majorBidi" w:hAnsiTheme="majorBidi" w:cstheme="majorBidi"/>
                <w:bCs/>
                <w:strike/>
                <w:sz w:val="18"/>
                <w:szCs w:val="18"/>
              </w:rPr>
              <w:t>#2: Start of acceleration</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599A288"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31FD12B3"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54C327F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0,50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DE0AE0E"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0F8236F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0,14 </w:t>
            </w:r>
          </w:p>
        </w:tc>
        <w:tc>
          <w:tcPr>
            <w:tcW w:w="709" w:type="dxa"/>
            <w:vMerge/>
            <w:tcBorders>
              <w:top w:val="single" w:sz="8" w:space="0" w:color="auto"/>
              <w:left w:val="single" w:sz="4" w:space="0" w:color="auto"/>
              <w:bottom w:val="single" w:sz="8" w:space="0" w:color="000000"/>
              <w:right w:val="single" w:sz="8" w:space="0" w:color="auto"/>
            </w:tcBorders>
            <w:vAlign w:val="center"/>
          </w:tcPr>
          <w:p w14:paraId="11826597"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7FB4FB35" w14:textId="77777777" w:rsidTr="005F486D">
        <w:tc>
          <w:tcPr>
            <w:tcW w:w="586" w:type="dxa"/>
            <w:vMerge/>
          </w:tcPr>
          <w:p w14:paraId="13C6C626"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C6530" w14:textId="2A443E30" w:rsidR="00D35D59" w:rsidRPr="002D7AB6" w:rsidRDefault="003A7DFC"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Driver</w:t>
            </w:r>
            <w:r w:rsidR="00D35D59" w:rsidRPr="002D7AB6">
              <w:rPr>
                <w:rFonts w:asciiTheme="majorBidi" w:hAnsiTheme="majorBidi" w:cstheme="majorBidi"/>
                <w:bCs/>
                <w:strike/>
                <w:sz w:val="18"/>
                <w:szCs w:val="18"/>
              </w:rPr>
              <w:t xml:space="preserve"> #3: Speed variations of +/- 1km/h</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FB2C3E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7812F445"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0,3</w:t>
            </w:r>
          </w:p>
        </w:tc>
        <w:tc>
          <w:tcPr>
            <w:tcW w:w="709" w:type="dxa"/>
            <w:tcBorders>
              <w:top w:val="nil"/>
              <w:left w:val="nil"/>
              <w:bottom w:val="single" w:sz="4" w:space="0" w:color="auto"/>
              <w:right w:val="single" w:sz="4" w:space="0" w:color="auto"/>
            </w:tcBorders>
            <w:shd w:val="clear" w:color="auto" w:fill="auto"/>
            <w:vAlign w:val="center"/>
          </w:tcPr>
          <w:p w14:paraId="0A31FC7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0,30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AAF55BF"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7379452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0,09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E5F7916"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2FAFAD94" w14:textId="77777777" w:rsidTr="005F486D">
        <w:tc>
          <w:tcPr>
            <w:tcW w:w="586" w:type="dxa"/>
            <w:vMerge/>
          </w:tcPr>
          <w:p w14:paraId="5D1625A0"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AE5141" w14:textId="5C35A1FE" w:rsidR="00D35D59" w:rsidRPr="002D7AB6" w:rsidRDefault="003A7DFC"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Driver</w:t>
            </w:r>
            <w:r w:rsidR="00D35D59" w:rsidRPr="002D7AB6">
              <w:rPr>
                <w:rFonts w:asciiTheme="majorBidi" w:hAnsiTheme="majorBidi" w:cstheme="majorBidi"/>
                <w:bCs/>
                <w:strike/>
                <w:sz w:val="18"/>
                <w:szCs w:val="18"/>
              </w:rPr>
              <w:t xml:space="preserve"> #4: Load variations during cruising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B6FF43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10F7E3E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4" w:space="0" w:color="auto"/>
              <w:right w:val="single" w:sz="4" w:space="0" w:color="auto"/>
            </w:tcBorders>
            <w:shd w:val="clear" w:color="auto" w:fill="auto"/>
            <w:vAlign w:val="center"/>
          </w:tcPr>
          <w:p w14:paraId="10EDEDC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0,37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12C6D5B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71027838"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0,09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6CADDE7"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2316FA2B" w14:textId="77777777" w:rsidTr="005F486D">
        <w:tc>
          <w:tcPr>
            <w:tcW w:w="586" w:type="dxa"/>
            <w:vMerge/>
          </w:tcPr>
          <w:p w14:paraId="01A2C543"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763B2F"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Varying background noise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EC95B7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4DC76815"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0,1</w:t>
            </w:r>
          </w:p>
        </w:tc>
        <w:tc>
          <w:tcPr>
            <w:tcW w:w="709" w:type="dxa"/>
            <w:tcBorders>
              <w:top w:val="nil"/>
              <w:left w:val="nil"/>
              <w:bottom w:val="single" w:sz="4" w:space="0" w:color="auto"/>
              <w:right w:val="single" w:sz="4" w:space="0" w:color="auto"/>
            </w:tcBorders>
            <w:shd w:val="clear" w:color="auto" w:fill="auto"/>
            <w:vAlign w:val="center"/>
          </w:tcPr>
          <w:p w14:paraId="75F0C4C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0B99CE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BC5DE2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0,03 </w:t>
            </w:r>
          </w:p>
        </w:tc>
        <w:tc>
          <w:tcPr>
            <w:tcW w:w="709" w:type="dxa"/>
            <w:vMerge/>
            <w:tcBorders>
              <w:top w:val="single" w:sz="8" w:space="0" w:color="auto"/>
              <w:left w:val="single" w:sz="4" w:space="0" w:color="auto"/>
              <w:bottom w:val="single" w:sz="8" w:space="0" w:color="000000"/>
              <w:right w:val="single" w:sz="8" w:space="0" w:color="auto"/>
            </w:tcBorders>
            <w:vAlign w:val="center"/>
          </w:tcPr>
          <w:p w14:paraId="50E95963"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44A491C1" w14:textId="77777777" w:rsidTr="005F486D">
        <w:tc>
          <w:tcPr>
            <w:tcW w:w="586" w:type="dxa"/>
            <w:vMerge/>
          </w:tcPr>
          <w:p w14:paraId="4387F6DF" w14:textId="77777777" w:rsidR="00D35D59" w:rsidRPr="002D7AB6" w:rsidRDefault="00D35D59" w:rsidP="005F486D">
            <w:pPr>
              <w:pStyle w:val="Tablebody"/>
              <w:rPr>
                <w:rFonts w:ascii="Times New Roman" w:hAnsi="Times New Roman"/>
                <w:bCs/>
                <w:strike/>
                <w:sz w:val="18"/>
                <w:szCs w:val="18"/>
              </w:rP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5216AC24"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Variation on operating temperature of engine (WOT) and tyres (WOT&amp;CRS) ==&gt; See ISO 362-1 NOTE</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4AD6C6D5"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0.25</w:t>
            </w:r>
          </w:p>
        </w:tc>
        <w:tc>
          <w:tcPr>
            <w:tcW w:w="709" w:type="dxa"/>
            <w:tcBorders>
              <w:top w:val="nil"/>
              <w:left w:val="nil"/>
              <w:bottom w:val="single" w:sz="8" w:space="0" w:color="auto"/>
              <w:right w:val="single" w:sz="4" w:space="0" w:color="auto"/>
            </w:tcBorders>
            <w:shd w:val="clear" w:color="auto" w:fill="FFFFFF" w:themeFill="background1"/>
            <w:vAlign w:val="center"/>
          </w:tcPr>
          <w:p w14:paraId="2C96A67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0,25</w:t>
            </w:r>
          </w:p>
        </w:tc>
        <w:tc>
          <w:tcPr>
            <w:tcW w:w="709" w:type="dxa"/>
            <w:tcBorders>
              <w:top w:val="nil"/>
              <w:left w:val="nil"/>
              <w:bottom w:val="single" w:sz="8" w:space="0" w:color="auto"/>
              <w:right w:val="single" w:sz="4" w:space="0" w:color="auto"/>
            </w:tcBorders>
            <w:shd w:val="clear" w:color="auto" w:fill="auto"/>
            <w:vAlign w:val="center"/>
          </w:tcPr>
          <w:p w14:paraId="2A7D930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0,25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2E7D4A6E"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179D393A"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0,07 </w:t>
            </w:r>
          </w:p>
        </w:tc>
        <w:tc>
          <w:tcPr>
            <w:tcW w:w="709" w:type="dxa"/>
            <w:vMerge/>
            <w:tcBorders>
              <w:top w:val="single" w:sz="8" w:space="0" w:color="auto"/>
              <w:left w:val="single" w:sz="4" w:space="0" w:color="auto"/>
              <w:bottom w:val="single" w:sz="8" w:space="0" w:color="000000"/>
              <w:right w:val="single" w:sz="8" w:space="0" w:color="auto"/>
            </w:tcBorders>
            <w:vAlign w:val="center"/>
          </w:tcPr>
          <w:p w14:paraId="05A922B1"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4C0B0C16" w14:textId="77777777" w:rsidTr="005F486D">
        <w:tc>
          <w:tcPr>
            <w:tcW w:w="586" w:type="dxa"/>
            <w:vMerge w:val="restart"/>
          </w:tcPr>
          <w:p w14:paraId="78786E74" w14:textId="77777777" w:rsidR="00D35D59" w:rsidRPr="002D7AB6" w:rsidRDefault="00D35D59" w:rsidP="005F486D">
            <w:pPr>
              <w:pStyle w:val="Tablebody"/>
              <w:jc w:val="center"/>
              <w:rPr>
                <w:rFonts w:ascii="Times New Roman" w:hAnsi="Times New Roman"/>
                <w:bCs/>
                <w:strike/>
                <w:sz w:val="18"/>
                <w:szCs w:val="18"/>
              </w:rPr>
            </w:pPr>
          </w:p>
          <w:p w14:paraId="3F325413" w14:textId="77777777" w:rsidR="00D35D59" w:rsidRPr="002D7AB6" w:rsidRDefault="00D35D59" w:rsidP="005F486D">
            <w:pPr>
              <w:pStyle w:val="Tablebody"/>
              <w:jc w:val="center"/>
              <w:rPr>
                <w:rFonts w:ascii="Times New Roman" w:hAnsi="Times New Roman"/>
                <w:bCs/>
                <w:strike/>
                <w:sz w:val="18"/>
                <w:szCs w:val="18"/>
              </w:rPr>
            </w:pPr>
          </w:p>
          <w:p w14:paraId="08D0212A"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Day to Day</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33950DF1"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Barometric pressure (Weather +/- 30 hPa)</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844AD8A"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7DC282E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2A25278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0,66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E6AE5E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1603743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0,17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1D8D2D2E"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 xml:space="preserve">1,7 </w:t>
            </w:r>
          </w:p>
        </w:tc>
      </w:tr>
      <w:tr w:rsidR="00D35D59" w:rsidRPr="002D7AB6" w14:paraId="08F657CB" w14:textId="77777777" w:rsidTr="005F486D">
        <w:tc>
          <w:tcPr>
            <w:tcW w:w="586" w:type="dxa"/>
            <w:vMerge/>
          </w:tcPr>
          <w:p w14:paraId="5EDB81AE" w14:textId="77777777" w:rsidR="00D35D59" w:rsidRPr="002D7AB6" w:rsidRDefault="00D35D59" w:rsidP="005F486D">
            <w:pPr>
              <w:pStyle w:val="Tablebody"/>
              <w:jc w:val="center"/>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0ADA50"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Air temperature effect on tyre noise (5-10°C)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0965EA56"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4" w:space="0" w:color="auto"/>
              <w:right w:val="single" w:sz="4" w:space="0" w:color="auto"/>
            </w:tcBorders>
            <w:shd w:val="clear" w:color="auto" w:fill="FFFFFF" w:themeFill="background1"/>
            <w:vAlign w:val="center"/>
          </w:tcPr>
          <w:p w14:paraId="25DB8C5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72A451DA"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24E50D63"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023F45BE"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0,00 </w:t>
            </w:r>
          </w:p>
        </w:tc>
        <w:tc>
          <w:tcPr>
            <w:tcW w:w="709" w:type="dxa"/>
            <w:vMerge/>
            <w:tcBorders>
              <w:top w:val="nil"/>
              <w:left w:val="single" w:sz="4" w:space="0" w:color="auto"/>
              <w:bottom w:val="single" w:sz="8" w:space="0" w:color="000000"/>
              <w:right w:val="single" w:sz="8" w:space="0" w:color="auto"/>
            </w:tcBorders>
            <w:vAlign w:val="center"/>
          </w:tcPr>
          <w:p w14:paraId="50633508"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7D2CCDD2" w14:textId="77777777" w:rsidTr="005F486D">
        <w:tc>
          <w:tcPr>
            <w:tcW w:w="586" w:type="dxa"/>
            <w:vMerge/>
          </w:tcPr>
          <w:p w14:paraId="6D92AFBB" w14:textId="77777777" w:rsidR="00D35D59" w:rsidRPr="002D7AB6" w:rsidRDefault="00D35D59" w:rsidP="005F486D">
            <w:pPr>
              <w:pStyle w:val="Tablebody"/>
              <w:jc w:val="center"/>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6C807C"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Air temperature effect on tyre noise (10-40°C)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089F015"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2,0</w:t>
            </w:r>
          </w:p>
        </w:tc>
        <w:tc>
          <w:tcPr>
            <w:tcW w:w="709" w:type="dxa"/>
            <w:tcBorders>
              <w:top w:val="nil"/>
              <w:left w:val="nil"/>
              <w:bottom w:val="single" w:sz="4" w:space="0" w:color="auto"/>
              <w:right w:val="single" w:sz="4" w:space="0" w:color="auto"/>
            </w:tcBorders>
            <w:shd w:val="clear" w:color="auto" w:fill="FFFFFF" w:themeFill="background1"/>
            <w:vAlign w:val="center"/>
          </w:tcPr>
          <w:p w14:paraId="76CC4A1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2,0</w:t>
            </w:r>
          </w:p>
        </w:tc>
        <w:tc>
          <w:tcPr>
            <w:tcW w:w="709" w:type="dxa"/>
            <w:tcBorders>
              <w:top w:val="nil"/>
              <w:left w:val="nil"/>
              <w:bottom w:val="single" w:sz="4" w:space="0" w:color="auto"/>
              <w:right w:val="single" w:sz="4" w:space="0" w:color="auto"/>
            </w:tcBorders>
            <w:shd w:val="clear" w:color="auto" w:fill="auto"/>
            <w:vAlign w:val="center"/>
          </w:tcPr>
          <w:p w14:paraId="1642528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2,00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0964011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C8AD49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0,58 </w:t>
            </w:r>
          </w:p>
        </w:tc>
        <w:tc>
          <w:tcPr>
            <w:tcW w:w="709" w:type="dxa"/>
            <w:vMerge/>
            <w:tcBorders>
              <w:top w:val="nil"/>
              <w:left w:val="single" w:sz="4" w:space="0" w:color="auto"/>
              <w:bottom w:val="single" w:sz="8" w:space="0" w:color="000000"/>
              <w:right w:val="single" w:sz="8" w:space="0" w:color="auto"/>
            </w:tcBorders>
            <w:vAlign w:val="center"/>
          </w:tcPr>
          <w:p w14:paraId="550A09F5"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64743532" w14:textId="77777777" w:rsidTr="005F486D">
        <w:tc>
          <w:tcPr>
            <w:tcW w:w="586" w:type="dxa"/>
            <w:vMerge/>
          </w:tcPr>
          <w:p w14:paraId="3AE0FEFB" w14:textId="77777777" w:rsidR="00D35D59" w:rsidRPr="002D7AB6" w:rsidRDefault="00D35D59" w:rsidP="005F486D">
            <w:pPr>
              <w:pStyle w:val="Tablebody"/>
              <w:jc w:val="center"/>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2A93D"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Varying background noise during measurement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F4382FE"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6C053173"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w:t>
            </w:r>
          </w:p>
        </w:tc>
        <w:tc>
          <w:tcPr>
            <w:tcW w:w="709" w:type="dxa"/>
            <w:tcBorders>
              <w:top w:val="nil"/>
              <w:left w:val="nil"/>
              <w:bottom w:val="single" w:sz="4" w:space="0" w:color="auto"/>
              <w:right w:val="single" w:sz="4" w:space="0" w:color="auto"/>
            </w:tcBorders>
            <w:shd w:val="clear" w:color="auto" w:fill="auto"/>
            <w:vAlign w:val="center"/>
          </w:tcPr>
          <w:p w14:paraId="1E46E73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1,00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211FF12F"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61745C4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4804350E"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6393AEA4" w14:textId="77777777" w:rsidTr="005F486D">
        <w:tc>
          <w:tcPr>
            <w:tcW w:w="586" w:type="dxa"/>
            <w:vMerge/>
          </w:tcPr>
          <w:p w14:paraId="5929BA92" w14:textId="77777777" w:rsidR="00D35D59" w:rsidRPr="002D7AB6" w:rsidRDefault="00D35D59" w:rsidP="005F486D">
            <w:pPr>
              <w:pStyle w:val="Tablebody"/>
              <w:jc w:val="center"/>
              <w:rPr>
                <w:rFonts w:ascii="Times New Roman" w:hAnsi="Times New Roman"/>
                <w:bCs/>
                <w:strike/>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E75319"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Air intake temperature variation</w:t>
            </w:r>
          </w:p>
        </w:tc>
        <w:tc>
          <w:tcPr>
            <w:tcW w:w="709" w:type="dxa"/>
            <w:tcBorders>
              <w:top w:val="nil"/>
              <w:left w:val="single" w:sz="4" w:space="0" w:color="auto"/>
              <w:bottom w:val="nil"/>
              <w:right w:val="single" w:sz="4" w:space="0" w:color="auto"/>
            </w:tcBorders>
            <w:shd w:val="clear" w:color="auto" w:fill="FFFFFF" w:themeFill="background1"/>
            <w:vAlign w:val="center"/>
          </w:tcPr>
          <w:p w14:paraId="356BBAA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1,5</w:t>
            </w:r>
          </w:p>
        </w:tc>
        <w:tc>
          <w:tcPr>
            <w:tcW w:w="709" w:type="dxa"/>
            <w:tcBorders>
              <w:top w:val="nil"/>
              <w:left w:val="nil"/>
              <w:bottom w:val="nil"/>
              <w:right w:val="single" w:sz="4" w:space="0" w:color="auto"/>
            </w:tcBorders>
            <w:shd w:val="clear" w:color="auto" w:fill="FFFFFF" w:themeFill="background1"/>
            <w:vAlign w:val="center"/>
          </w:tcPr>
          <w:p w14:paraId="00E55B77"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79F284D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0,99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7DE6D0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B091A1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073A5320"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7054ED91" w14:textId="77777777" w:rsidTr="005F486D">
        <w:tc>
          <w:tcPr>
            <w:tcW w:w="586" w:type="dxa"/>
            <w:vMerge/>
          </w:tcPr>
          <w:p w14:paraId="339FB660" w14:textId="77777777" w:rsidR="00D35D59" w:rsidRPr="002D7AB6" w:rsidRDefault="00D35D59" w:rsidP="005F486D">
            <w:pPr>
              <w:pStyle w:val="Tablebody"/>
              <w:jc w:val="center"/>
              <w:rPr>
                <w:rFonts w:ascii="Times New Roman" w:hAnsi="Times New Roman"/>
                <w:bCs/>
                <w:strike/>
                <w:sz w:val="18"/>
                <w:szCs w:val="18"/>
              </w:rP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112450D4"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Residual humidity on test track surface</w:t>
            </w:r>
          </w:p>
        </w:tc>
        <w:tc>
          <w:tcPr>
            <w:tcW w:w="70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393D813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w:t>
            </w:r>
          </w:p>
        </w:tc>
        <w:tc>
          <w:tcPr>
            <w:tcW w:w="709" w:type="dxa"/>
            <w:tcBorders>
              <w:top w:val="single" w:sz="4" w:space="0" w:color="auto"/>
              <w:left w:val="nil"/>
              <w:bottom w:val="single" w:sz="8" w:space="0" w:color="auto"/>
              <w:right w:val="single" w:sz="4" w:space="0" w:color="auto"/>
            </w:tcBorders>
            <w:shd w:val="clear" w:color="auto" w:fill="FFFFFF" w:themeFill="background1"/>
            <w:vAlign w:val="center"/>
          </w:tcPr>
          <w:p w14:paraId="079347FE"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w:t>
            </w:r>
          </w:p>
        </w:tc>
        <w:tc>
          <w:tcPr>
            <w:tcW w:w="709" w:type="dxa"/>
            <w:tcBorders>
              <w:top w:val="nil"/>
              <w:left w:val="nil"/>
              <w:bottom w:val="single" w:sz="8" w:space="0" w:color="auto"/>
              <w:right w:val="single" w:sz="4" w:space="0" w:color="auto"/>
            </w:tcBorders>
            <w:shd w:val="clear" w:color="auto" w:fill="auto"/>
            <w:vAlign w:val="center"/>
          </w:tcPr>
          <w:p w14:paraId="383D9E6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1,00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2EF2F265"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3949D4C6"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60747FBA" w14:textId="77777777" w:rsidR="00D35D59" w:rsidRPr="002D7AB6" w:rsidRDefault="00D35D59" w:rsidP="005F486D">
            <w:pPr>
              <w:pStyle w:val="Tablebody"/>
              <w:jc w:val="center"/>
              <w:rPr>
                <w:rFonts w:ascii="Times New Roman" w:hAnsi="Times New Roman"/>
                <w:bCs/>
                <w:strike/>
                <w:sz w:val="18"/>
                <w:szCs w:val="18"/>
              </w:rPr>
            </w:pPr>
          </w:p>
        </w:tc>
      </w:tr>
      <w:tr w:rsidR="00D35D59" w:rsidRPr="002D7AB6" w14:paraId="0E058B07" w14:textId="77777777" w:rsidTr="005F486D">
        <w:tc>
          <w:tcPr>
            <w:tcW w:w="586" w:type="dxa"/>
            <w:vMerge w:val="restart"/>
          </w:tcPr>
          <w:p w14:paraId="052ABC34" w14:textId="77777777" w:rsidR="00D35D59" w:rsidRPr="002D7AB6" w:rsidRDefault="00D35D59" w:rsidP="005F486D">
            <w:pPr>
              <w:pStyle w:val="Tablebody"/>
              <w:jc w:val="center"/>
              <w:rPr>
                <w:rFonts w:ascii="Times New Roman" w:hAnsi="Times New Roman"/>
                <w:bCs/>
                <w:strike/>
                <w:sz w:val="18"/>
                <w:szCs w:val="18"/>
              </w:rPr>
            </w:pPr>
          </w:p>
          <w:p w14:paraId="5382D95A" w14:textId="77777777" w:rsidR="00D35D59" w:rsidRPr="002D7AB6" w:rsidRDefault="00D35D59" w:rsidP="005F486D">
            <w:pPr>
              <w:pStyle w:val="Tablebody"/>
              <w:jc w:val="center"/>
              <w:rPr>
                <w:rFonts w:ascii="Times New Roman" w:hAnsi="Times New Roman"/>
                <w:bCs/>
                <w:strike/>
                <w:sz w:val="18"/>
                <w:szCs w:val="18"/>
              </w:rPr>
            </w:pPr>
          </w:p>
          <w:p w14:paraId="5DD92FF4"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Site to Site</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701190CF"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Altitude (Location of Test Track) -100 hPa/1000m</w:t>
            </w:r>
            <w:r w:rsidRPr="002D7AB6">
              <w:rPr>
                <w:rFonts w:asciiTheme="majorBidi" w:hAnsiTheme="majorBidi" w:cstheme="majorBidi"/>
                <w:bCs/>
                <w:strike/>
                <w:sz w:val="18"/>
                <w:szCs w:val="18"/>
              </w:rPr>
              <w:br/>
              <w:t>(from 1015 to 915 hPa)</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6CED47F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1,00</w:t>
            </w:r>
          </w:p>
        </w:tc>
        <w:tc>
          <w:tcPr>
            <w:tcW w:w="709" w:type="dxa"/>
            <w:tcBorders>
              <w:top w:val="nil"/>
              <w:left w:val="nil"/>
              <w:bottom w:val="single" w:sz="4" w:space="0" w:color="auto"/>
              <w:right w:val="single" w:sz="4" w:space="0" w:color="auto"/>
            </w:tcBorders>
            <w:shd w:val="clear" w:color="auto" w:fill="FFFFFF" w:themeFill="background1"/>
            <w:vAlign w:val="center"/>
          </w:tcPr>
          <w:p w14:paraId="65EF993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33D69B6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0,66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B142A3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FA34BA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0,19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16993150" w14:textId="77777777" w:rsidR="00D35D59" w:rsidRPr="002D7AB6" w:rsidRDefault="00D35D59" w:rsidP="005F486D">
            <w:pPr>
              <w:pStyle w:val="Tablebody"/>
              <w:jc w:val="center"/>
              <w:rPr>
                <w:rFonts w:ascii="Times New Roman" w:hAnsi="Times New Roman"/>
                <w:bCs/>
                <w:strike/>
                <w:sz w:val="18"/>
                <w:szCs w:val="18"/>
              </w:rPr>
            </w:pPr>
            <w:r w:rsidRPr="002D7AB6">
              <w:rPr>
                <w:rFonts w:ascii="Times New Roman" w:hAnsi="Times New Roman"/>
                <w:bCs/>
                <w:strike/>
                <w:sz w:val="18"/>
                <w:szCs w:val="18"/>
              </w:rPr>
              <w:t xml:space="preserve">2,7 </w:t>
            </w:r>
          </w:p>
        </w:tc>
      </w:tr>
      <w:tr w:rsidR="00D35D59" w:rsidRPr="002D7AB6" w14:paraId="465056A2" w14:textId="77777777" w:rsidTr="005F486D">
        <w:tc>
          <w:tcPr>
            <w:tcW w:w="586" w:type="dxa"/>
            <w:vMerge/>
          </w:tcPr>
          <w:p w14:paraId="05B35188" w14:textId="77777777" w:rsidR="00D35D59" w:rsidRPr="002D7AB6" w:rsidRDefault="00D35D59" w:rsidP="005F486D">
            <w:pPr>
              <w:pStyle w:val="Tablebody"/>
              <w:rPr>
                <w:rFonts w:ascii="Times New Roman" w:hAnsi="Times New Roman"/>
                <w:bCs/>
                <w:strik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4B748B"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Test Track Surface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8C2E3C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3,5</w:t>
            </w:r>
          </w:p>
        </w:tc>
        <w:tc>
          <w:tcPr>
            <w:tcW w:w="709" w:type="dxa"/>
            <w:tcBorders>
              <w:top w:val="nil"/>
              <w:left w:val="nil"/>
              <w:bottom w:val="single" w:sz="4" w:space="0" w:color="auto"/>
              <w:right w:val="single" w:sz="4" w:space="0" w:color="auto"/>
            </w:tcBorders>
            <w:shd w:val="clear" w:color="auto" w:fill="FFFFFF" w:themeFill="background1"/>
            <w:vAlign w:val="center"/>
          </w:tcPr>
          <w:p w14:paraId="57A9C0C8"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5,0</w:t>
            </w:r>
          </w:p>
        </w:tc>
        <w:tc>
          <w:tcPr>
            <w:tcW w:w="709" w:type="dxa"/>
            <w:tcBorders>
              <w:top w:val="nil"/>
              <w:left w:val="nil"/>
              <w:bottom w:val="single" w:sz="4" w:space="0" w:color="auto"/>
              <w:right w:val="single" w:sz="4" w:space="0" w:color="auto"/>
            </w:tcBorders>
            <w:shd w:val="clear" w:color="auto" w:fill="auto"/>
            <w:vAlign w:val="center"/>
          </w:tcPr>
          <w:p w14:paraId="265590E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4,01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BA58686"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826A5E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1,00 </w:t>
            </w:r>
          </w:p>
        </w:tc>
        <w:tc>
          <w:tcPr>
            <w:tcW w:w="709" w:type="dxa"/>
            <w:vMerge/>
            <w:tcBorders>
              <w:top w:val="nil"/>
              <w:left w:val="single" w:sz="4" w:space="0" w:color="auto"/>
              <w:bottom w:val="single" w:sz="8" w:space="0" w:color="000000"/>
              <w:right w:val="single" w:sz="8" w:space="0" w:color="auto"/>
            </w:tcBorders>
            <w:vAlign w:val="center"/>
          </w:tcPr>
          <w:p w14:paraId="5DB6BBD2" w14:textId="77777777" w:rsidR="00D35D59" w:rsidRPr="002D7AB6" w:rsidRDefault="00D35D59" w:rsidP="005F486D">
            <w:pPr>
              <w:pStyle w:val="Tablebody"/>
              <w:jc w:val="center"/>
              <w:rPr>
                <w:rFonts w:ascii="Times New Roman" w:hAnsi="Times New Roman"/>
                <w:bCs/>
                <w:strike/>
              </w:rPr>
            </w:pPr>
          </w:p>
        </w:tc>
      </w:tr>
      <w:tr w:rsidR="00D35D59" w:rsidRPr="002D7AB6" w14:paraId="5B8EF63B" w14:textId="77777777" w:rsidTr="005F486D">
        <w:tc>
          <w:tcPr>
            <w:tcW w:w="586" w:type="dxa"/>
            <w:vMerge/>
          </w:tcPr>
          <w:p w14:paraId="13185B8C" w14:textId="77777777" w:rsidR="00D35D59" w:rsidRPr="002D7AB6" w:rsidRDefault="00D35D59" w:rsidP="005F486D">
            <w:pPr>
              <w:pStyle w:val="Tablebody"/>
              <w:rPr>
                <w:rFonts w:ascii="Times New Roman" w:hAnsi="Times New Roman"/>
                <w:bCs/>
                <w:strik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7CC368"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Microphone Class 1 IEC 61672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561337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0,6</w:t>
            </w:r>
          </w:p>
        </w:tc>
        <w:tc>
          <w:tcPr>
            <w:tcW w:w="709" w:type="dxa"/>
            <w:tcBorders>
              <w:top w:val="nil"/>
              <w:left w:val="nil"/>
              <w:bottom w:val="single" w:sz="4" w:space="0" w:color="auto"/>
              <w:right w:val="single" w:sz="4" w:space="0" w:color="auto"/>
            </w:tcBorders>
            <w:shd w:val="clear" w:color="auto" w:fill="FFFFFF" w:themeFill="background1"/>
            <w:vAlign w:val="center"/>
          </w:tcPr>
          <w:p w14:paraId="0CFF348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0,6</w:t>
            </w:r>
          </w:p>
        </w:tc>
        <w:tc>
          <w:tcPr>
            <w:tcW w:w="709" w:type="dxa"/>
            <w:tcBorders>
              <w:top w:val="nil"/>
              <w:left w:val="nil"/>
              <w:bottom w:val="single" w:sz="4" w:space="0" w:color="auto"/>
              <w:right w:val="single" w:sz="4" w:space="0" w:color="auto"/>
            </w:tcBorders>
            <w:shd w:val="clear" w:color="auto" w:fill="auto"/>
            <w:vAlign w:val="center"/>
          </w:tcPr>
          <w:p w14:paraId="358F7EB4"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0,60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CFCA0C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62B1910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0,15 </w:t>
            </w:r>
          </w:p>
        </w:tc>
        <w:tc>
          <w:tcPr>
            <w:tcW w:w="709" w:type="dxa"/>
            <w:vMerge/>
            <w:tcBorders>
              <w:top w:val="nil"/>
              <w:left w:val="single" w:sz="4" w:space="0" w:color="auto"/>
              <w:bottom w:val="single" w:sz="8" w:space="0" w:color="000000"/>
              <w:right w:val="single" w:sz="8" w:space="0" w:color="auto"/>
            </w:tcBorders>
            <w:vAlign w:val="center"/>
          </w:tcPr>
          <w:p w14:paraId="51163228" w14:textId="77777777" w:rsidR="00D35D59" w:rsidRPr="002D7AB6" w:rsidRDefault="00D35D59" w:rsidP="005F486D">
            <w:pPr>
              <w:pStyle w:val="Tablebody"/>
              <w:jc w:val="center"/>
              <w:rPr>
                <w:rFonts w:ascii="Times New Roman" w:hAnsi="Times New Roman"/>
                <w:bCs/>
                <w:strike/>
              </w:rPr>
            </w:pPr>
          </w:p>
        </w:tc>
      </w:tr>
      <w:tr w:rsidR="00D35D59" w:rsidRPr="002D7AB6" w14:paraId="2398800C" w14:textId="77777777" w:rsidTr="005F486D">
        <w:tc>
          <w:tcPr>
            <w:tcW w:w="586" w:type="dxa"/>
            <w:vMerge/>
          </w:tcPr>
          <w:p w14:paraId="16891D23" w14:textId="77777777" w:rsidR="00D35D59" w:rsidRPr="002D7AB6" w:rsidRDefault="00D35D59" w:rsidP="005F486D">
            <w:pPr>
              <w:pStyle w:val="Tablebody"/>
              <w:rPr>
                <w:rFonts w:ascii="Times New Roman" w:hAnsi="Times New Roman"/>
                <w:bCs/>
                <w:strik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2F8A2E"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Sound calibrator IEC 60942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2BD4BE9C"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0,8</w:t>
            </w:r>
          </w:p>
        </w:tc>
        <w:tc>
          <w:tcPr>
            <w:tcW w:w="709" w:type="dxa"/>
            <w:tcBorders>
              <w:top w:val="nil"/>
              <w:left w:val="nil"/>
              <w:bottom w:val="single" w:sz="4" w:space="0" w:color="auto"/>
              <w:right w:val="single" w:sz="4" w:space="0" w:color="auto"/>
            </w:tcBorders>
            <w:shd w:val="clear" w:color="auto" w:fill="FFFFFF" w:themeFill="background1"/>
            <w:vAlign w:val="center"/>
          </w:tcPr>
          <w:p w14:paraId="1BA12D7B"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0,8</w:t>
            </w:r>
          </w:p>
        </w:tc>
        <w:tc>
          <w:tcPr>
            <w:tcW w:w="709" w:type="dxa"/>
            <w:tcBorders>
              <w:top w:val="nil"/>
              <w:left w:val="nil"/>
              <w:bottom w:val="single" w:sz="4" w:space="0" w:color="auto"/>
              <w:right w:val="single" w:sz="4" w:space="0" w:color="auto"/>
            </w:tcBorders>
            <w:shd w:val="clear" w:color="auto" w:fill="auto"/>
            <w:vAlign w:val="center"/>
          </w:tcPr>
          <w:p w14:paraId="115A941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0,80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AF0DA8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64FB42A7"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0,20 </w:t>
            </w:r>
          </w:p>
        </w:tc>
        <w:tc>
          <w:tcPr>
            <w:tcW w:w="709" w:type="dxa"/>
            <w:vMerge/>
            <w:tcBorders>
              <w:top w:val="nil"/>
              <w:left w:val="single" w:sz="4" w:space="0" w:color="auto"/>
              <w:bottom w:val="single" w:sz="8" w:space="0" w:color="000000"/>
              <w:right w:val="single" w:sz="8" w:space="0" w:color="auto"/>
            </w:tcBorders>
            <w:vAlign w:val="center"/>
          </w:tcPr>
          <w:p w14:paraId="1638FEED" w14:textId="77777777" w:rsidR="00D35D59" w:rsidRPr="002D7AB6" w:rsidRDefault="00D35D59" w:rsidP="005F486D">
            <w:pPr>
              <w:pStyle w:val="Tablebody"/>
              <w:jc w:val="center"/>
              <w:rPr>
                <w:rFonts w:ascii="Times New Roman" w:hAnsi="Times New Roman"/>
                <w:bCs/>
                <w:strike/>
              </w:rPr>
            </w:pPr>
          </w:p>
        </w:tc>
      </w:tr>
      <w:tr w:rsidR="00D35D59" w:rsidRPr="002D7AB6" w14:paraId="08094925" w14:textId="77777777" w:rsidTr="005F486D">
        <w:tc>
          <w:tcPr>
            <w:tcW w:w="586" w:type="dxa"/>
            <w:vMerge/>
          </w:tcPr>
          <w:p w14:paraId="2C751DCF" w14:textId="77777777" w:rsidR="00D35D59" w:rsidRPr="002D7AB6" w:rsidRDefault="00D35D59" w:rsidP="005F486D">
            <w:pPr>
              <w:pStyle w:val="Tablebody"/>
              <w:rPr>
                <w:rFonts w:ascii="Times New Roman" w:hAnsi="Times New Roman"/>
                <w:bCs/>
                <w:strik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0552B0"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Speed measuring equipment continuous at PP</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B41DE2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28F4BBE3"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0,1</w:t>
            </w:r>
          </w:p>
        </w:tc>
        <w:tc>
          <w:tcPr>
            <w:tcW w:w="709" w:type="dxa"/>
            <w:tcBorders>
              <w:top w:val="nil"/>
              <w:left w:val="nil"/>
              <w:bottom w:val="single" w:sz="4" w:space="0" w:color="auto"/>
              <w:right w:val="single" w:sz="4" w:space="0" w:color="auto"/>
            </w:tcBorders>
            <w:shd w:val="clear" w:color="auto" w:fill="auto"/>
            <w:vAlign w:val="center"/>
          </w:tcPr>
          <w:p w14:paraId="4FD8CA02"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ACA80B3"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5B821ED"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0,03 </w:t>
            </w:r>
          </w:p>
        </w:tc>
        <w:tc>
          <w:tcPr>
            <w:tcW w:w="709" w:type="dxa"/>
            <w:vMerge/>
            <w:tcBorders>
              <w:top w:val="nil"/>
              <w:left w:val="single" w:sz="4" w:space="0" w:color="auto"/>
              <w:bottom w:val="single" w:sz="8" w:space="0" w:color="000000"/>
              <w:right w:val="single" w:sz="8" w:space="0" w:color="auto"/>
            </w:tcBorders>
            <w:vAlign w:val="center"/>
          </w:tcPr>
          <w:p w14:paraId="13FA6534" w14:textId="77777777" w:rsidR="00D35D59" w:rsidRPr="002D7AB6" w:rsidRDefault="00D35D59" w:rsidP="005F486D">
            <w:pPr>
              <w:pStyle w:val="Tablebody"/>
              <w:jc w:val="center"/>
              <w:rPr>
                <w:rFonts w:ascii="Times New Roman" w:hAnsi="Times New Roman"/>
                <w:bCs/>
                <w:strike/>
              </w:rPr>
            </w:pPr>
          </w:p>
        </w:tc>
      </w:tr>
      <w:tr w:rsidR="00D35D59" w:rsidRPr="002D7AB6" w14:paraId="3B9F0931" w14:textId="77777777" w:rsidTr="005F486D">
        <w:tc>
          <w:tcPr>
            <w:tcW w:w="586" w:type="dxa"/>
            <w:vMerge/>
            <w:tcBorders>
              <w:bottom w:val="single" w:sz="12" w:space="0" w:color="auto"/>
            </w:tcBorders>
          </w:tcPr>
          <w:p w14:paraId="6747CE55" w14:textId="77777777" w:rsidR="00D35D59" w:rsidRPr="002D7AB6" w:rsidRDefault="00D35D59" w:rsidP="005F486D">
            <w:pPr>
              <w:pStyle w:val="Tablebody"/>
              <w:rPr>
                <w:rFonts w:ascii="Times New Roman" w:hAnsi="Times New Roman"/>
                <w:bCs/>
                <w:strike/>
              </w:rPr>
            </w:pPr>
          </w:p>
        </w:tc>
        <w:tc>
          <w:tcPr>
            <w:tcW w:w="4394" w:type="dxa"/>
            <w:tcBorders>
              <w:top w:val="single" w:sz="4" w:space="0" w:color="000000"/>
              <w:left w:val="single" w:sz="4" w:space="0" w:color="000000"/>
              <w:bottom w:val="single" w:sz="12" w:space="0" w:color="auto"/>
              <w:right w:val="single" w:sz="4" w:space="0" w:color="000000"/>
            </w:tcBorders>
            <w:shd w:val="clear" w:color="auto" w:fill="FFFFFF" w:themeFill="background1"/>
            <w:vAlign w:val="center"/>
          </w:tcPr>
          <w:p w14:paraId="48C36E11" w14:textId="77777777" w:rsidR="00D35D59" w:rsidRPr="002D7AB6" w:rsidRDefault="00D35D59" w:rsidP="005F486D">
            <w:pPr>
              <w:pStyle w:val="Tablebody"/>
              <w:rPr>
                <w:rFonts w:asciiTheme="majorBidi" w:hAnsiTheme="majorBidi" w:cstheme="majorBidi"/>
                <w:bCs/>
                <w:strike/>
                <w:sz w:val="18"/>
                <w:szCs w:val="18"/>
              </w:rPr>
            </w:pPr>
            <w:r w:rsidRPr="002D7AB6">
              <w:rPr>
                <w:rFonts w:asciiTheme="majorBidi" w:hAnsiTheme="majorBidi" w:cstheme="majorBidi"/>
                <w:bCs/>
                <w:strike/>
                <w:sz w:val="18"/>
                <w:szCs w:val="18"/>
              </w:rPr>
              <w:t>Acceleration calculation from vehicle speed measurement</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0C625E31"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0,5</w:t>
            </w:r>
          </w:p>
        </w:tc>
        <w:tc>
          <w:tcPr>
            <w:tcW w:w="709" w:type="dxa"/>
            <w:tcBorders>
              <w:top w:val="nil"/>
              <w:left w:val="nil"/>
              <w:bottom w:val="single" w:sz="8" w:space="0" w:color="auto"/>
              <w:right w:val="single" w:sz="4" w:space="0" w:color="auto"/>
            </w:tcBorders>
            <w:shd w:val="clear" w:color="auto" w:fill="FFFFFF" w:themeFill="background1"/>
            <w:vAlign w:val="center"/>
          </w:tcPr>
          <w:p w14:paraId="34C43360"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0,0</w:t>
            </w:r>
          </w:p>
        </w:tc>
        <w:tc>
          <w:tcPr>
            <w:tcW w:w="709" w:type="dxa"/>
            <w:tcBorders>
              <w:top w:val="nil"/>
              <w:left w:val="nil"/>
              <w:bottom w:val="single" w:sz="8" w:space="0" w:color="auto"/>
              <w:right w:val="single" w:sz="4" w:space="0" w:color="auto"/>
            </w:tcBorders>
            <w:shd w:val="clear" w:color="auto" w:fill="auto"/>
            <w:vAlign w:val="center"/>
          </w:tcPr>
          <w:p w14:paraId="65F3BED7"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color w:val="000000"/>
                <w:sz w:val="18"/>
                <w:szCs w:val="18"/>
              </w:rPr>
              <w:t xml:space="preserve">0,33 </w:t>
            </w:r>
          </w:p>
        </w:tc>
        <w:tc>
          <w:tcPr>
            <w:tcW w:w="1275" w:type="dxa"/>
            <w:tcBorders>
              <w:top w:val="nil"/>
              <w:left w:val="single" w:sz="4" w:space="0" w:color="auto"/>
              <w:bottom w:val="single" w:sz="12" w:space="0" w:color="auto"/>
              <w:right w:val="single" w:sz="4" w:space="0" w:color="auto"/>
            </w:tcBorders>
            <w:shd w:val="clear" w:color="auto" w:fill="FFFFFF" w:themeFill="background1"/>
            <w:vAlign w:val="center"/>
          </w:tcPr>
          <w:p w14:paraId="52ED3D8F"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725F6FA9" w14:textId="77777777" w:rsidR="00D35D59" w:rsidRPr="002D7AB6" w:rsidRDefault="00D35D59" w:rsidP="005F486D">
            <w:pPr>
              <w:pStyle w:val="Tablebody"/>
              <w:jc w:val="center"/>
              <w:rPr>
                <w:rFonts w:asciiTheme="majorBidi" w:hAnsiTheme="majorBidi" w:cstheme="majorBidi"/>
                <w:bCs/>
                <w:strike/>
                <w:sz w:val="18"/>
                <w:szCs w:val="18"/>
              </w:rPr>
            </w:pPr>
            <w:r w:rsidRPr="002D7AB6">
              <w:rPr>
                <w:rFonts w:asciiTheme="majorBidi" w:hAnsiTheme="majorBidi" w:cstheme="majorBidi"/>
                <w:bCs/>
                <w:strike/>
                <w:sz w:val="18"/>
                <w:szCs w:val="18"/>
              </w:rPr>
              <w:t xml:space="preserve">0,10 </w:t>
            </w:r>
          </w:p>
        </w:tc>
        <w:tc>
          <w:tcPr>
            <w:tcW w:w="709" w:type="dxa"/>
            <w:vMerge/>
            <w:tcBorders>
              <w:top w:val="nil"/>
              <w:left w:val="single" w:sz="4" w:space="0" w:color="auto"/>
              <w:bottom w:val="single" w:sz="8" w:space="0" w:color="000000"/>
              <w:right w:val="single" w:sz="8" w:space="0" w:color="auto"/>
            </w:tcBorders>
            <w:vAlign w:val="center"/>
          </w:tcPr>
          <w:p w14:paraId="524BA8FE" w14:textId="77777777" w:rsidR="00D35D59" w:rsidRPr="002D7AB6" w:rsidRDefault="00D35D59" w:rsidP="005F486D">
            <w:pPr>
              <w:pStyle w:val="Tablebody"/>
              <w:jc w:val="center"/>
              <w:rPr>
                <w:rFonts w:ascii="Times New Roman" w:hAnsi="Times New Roman"/>
                <w:bCs/>
                <w:strike/>
              </w:rPr>
            </w:pPr>
          </w:p>
        </w:tc>
      </w:tr>
    </w:tbl>
    <w:p w14:paraId="6A63C08D" w14:textId="4DB21054" w:rsidR="001C0B90" w:rsidRPr="00690CB5" w:rsidRDefault="00690CB5" w:rsidP="00A70C7C">
      <w:pPr>
        <w:keepLines/>
        <w:tabs>
          <w:tab w:val="right" w:pos="8505"/>
        </w:tabs>
        <w:spacing w:after="120"/>
        <w:jc w:val="both"/>
        <w:rPr>
          <w:bCs/>
          <w:lang w:val="en-GB"/>
        </w:rPr>
      </w:pPr>
      <w:r w:rsidRPr="00690CB5">
        <w:rPr>
          <w:bCs/>
          <w:lang w:val="en-GB"/>
        </w:rPr>
        <w:t>“</w:t>
      </w:r>
    </w:p>
    <w:p w14:paraId="107926F1" w14:textId="77777777" w:rsidR="000E43F2" w:rsidRDefault="000E43F2">
      <w:pPr>
        <w:suppressAutoHyphens w:val="0"/>
        <w:spacing w:line="240" w:lineRule="auto"/>
        <w:rPr>
          <w:b/>
          <w:bCs/>
          <w:sz w:val="28"/>
          <w:szCs w:val="28"/>
          <w:lang w:val="en-US"/>
        </w:rPr>
      </w:pPr>
      <w:r>
        <w:rPr>
          <w:b/>
          <w:bCs/>
          <w:sz w:val="28"/>
          <w:szCs w:val="28"/>
          <w:lang w:val="en-US"/>
        </w:rPr>
        <w:br w:type="page"/>
      </w:r>
    </w:p>
    <w:p w14:paraId="394AF2A7" w14:textId="5A8DE438" w:rsidR="00D66BC5" w:rsidRPr="002B720E" w:rsidRDefault="00D66BC5" w:rsidP="00D66BC5">
      <w:pPr>
        <w:keepNext/>
        <w:keepLines/>
        <w:numPr>
          <w:ilvl w:val="0"/>
          <w:numId w:val="19"/>
        </w:numPr>
        <w:tabs>
          <w:tab w:val="right" w:pos="993"/>
        </w:tabs>
        <w:spacing w:before="360" w:after="240" w:line="300" w:lineRule="exact"/>
        <w:ind w:right="1134"/>
        <w:rPr>
          <w:b/>
          <w:bCs/>
          <w:sz w:val="28"/>
          <w:szCs w:val="28"/>
          <w:lang w:val="en-US"/>
        </w:rPr>
      </w:pPr>
      <w:r w:rsidRPr="002B720E">
        <w:rPr>
          <w:b/>
          <w:bCs/>
          <w:sz w:val="28"/>
          <w:szCs w:val="28"/>
          <w:lang w:val="en-US"/>
        </w:rPr>
        <w:lastRenderedPageBreak/>
        <w:t>Justification:</w:t>
      </w:r>
    </w:p>
    <w:p w14:paraId="6D86B6A4" w14:textId="14C94CCA" w:rsidR="00CC7725" w:rsidRPr="001E1FC7" w:rsidRDefault="00690CB5" w:rsidP="006D1D31">
      <w:pPr>
        <w:keepNext/>
        <w:keepLines/>
        <w:tabs>
          <w:tab w:val="right" w:leader="dot" w:pos="8505"/>
        </w:tabs>
        <w:spacing w:after="120"/>
        <w:ind w:left="567"/>
        <w:rPr>
          <w:i/>
          <w:lang w:val="en-GB"/>
        </w:rPr>
      </w:pPr>
      <w:r>
        <w:rPr>
          <w:i/>
          <w:lang w:val="en-US"/>
        </w:rPr>
        <w:t>Removal of</w:t>
      </w:r>
      <w:r>
        <w:rPr>
          <w:i/>
          <w:lang w:val="en-US"/>
        </w:rPr>
        <w:br/>
      </w:r>
      <w:r w:rsidR="002D7AB6" w:rsidRPr="00CC7725">
        <w:rPr>
          <w:i/>
          <w:lang w:val="en-US"/>
        </w:rPr>
        <w:t>Table</w:t>
      </w:r>
      <w:r w:rsidR="00CC7725">
        <w:rPr>
          <w:i/>
          <w:lang w:val="en-US"/>
        </w:rPr>
        <w:t xml:space="preserve"> 7.1</w:t>
      </w:r>
      <w:r w:rsidR="002D7AB6" w:rsidRPr="00CC7725">
        <w:rPr>
          <w:i/>
          <w:lang w:val="en-US"/>
        </w:rPr>
        <w:t xml:space="preserve"> </w:t>
      </w:r>
      <w:r w:rsidR="00CC7725" w:rsidRPr="00CC7725">
        <w:rPr>
          <w:i/>
          <w:lang w:val="en-US"/>
        </w:rPr>
        <w:t>Example of calculation of uncertainties for UN Regulation No. 51</w:t>
      </w:r>
      <w:r w:rsidR="001E1FC7">
        <w:rPr>
          <w:i/>
          <w:lang w:val="en-US"/>
        </w:rPr>
        <w:t xml:space="preserve"> and </w:t>
      </w:r>
      <w:r w:rsidR="00B10743">
        <w:rPr>
          <w:i/>
          <w:lang w:val="en-US"/>
        </w:rPr>
        <w:br/>
      </w:r>
      <w:r w:rsidR="001E1FC7">
        <w:rPr>
          <w:i/>
          <w:lang w:val="en-US"/>
        </w:rPr>
        <w:t xml:space="preserve">Table 7.2 </w:t>
      </w:r>
      <w:r w:rsidR="001E1FC7" w:rsidRPr="001E1FC7">
        <w:rPr>
          <w:i/>
          <w:lang w:val="en-US"/>
        </w:rPr>
        <w:t>Uncertainty budget for determination of urban sound pressure level</w:t>
      </w:r>
    </w:p>
    <w:p w14:paraId="496247A4" w14:textId="0C0FBE56" w:rsidR="00D66BC5" w:rsidRPr="00873C52" w:rsidRDefault="00A7321A" w:rsidP="00390FA8">
      <w:pPr>
        <w:keepLines/>
        <w:numPr>
          <w:ilvl w:val="0"/>
          <w:numId w:val="18"/>
        </w:numPr>
        <w:spacing w:after="120"/>
        <w:ind w:left="1701" w:right="1134" w:hanging="567"/>
        <w:jc w:val="both"/>
        <w:rPr>
          <w:bCs/>
          <w:lang w:val="en-US"/>
        </w:rPr>
      </w:pPr>
      <w:r>
        <w:rPr>
          <w:iCs/>
          <w:lang w:val="en-US"/>
        </w:rPr>
        <w:t xml:space="preserve">For </w:t>
      </w:r>
      <w:r w:rsidR="00184B7C">
        <w:rPr>
          <w:iCs/>
          <w:lang w:val="en-US"/>
        </w:rPr>
        <w:t>editing the working document GRBP-2022-</w:t>
      </w:r>
      <w:r w:rsidR="00930103">
        <w:rPr>
          <w:iCs/>
          <w:lang w:val="en-US"/>
        </w:rPr>
        <w:t xml:space="preserve">09 the </w:t>
      </w:r>
      <w:r w:rsidR="00AC665D">
        <w:rPr>
          <w:iCs/>
          <w:lang w:val="en-US"/>
        </w:rPr>
        <w:t>e</w:t>
      </w:r>
      <w:r w:rsidR="008C4B68">
        <w:rPr>
          <w:iCs/>
          <w:lang w:val="en-US"/>
        </w:rPr>
        <w:t xml:space="preserve">xperts of the </w:t>
      </w:r>
      <w:r w:rsidR="00D66BC5" w:rsidRPr="00B51E9D">
        <w:rPr>
          <w:iCs/>
          <w:lang w:val="en-US"/>
        </w:rPr>
        <w:t>In</w:t>
      </w:r>
      <w:r w:rsidR="00A14D76">
        <w:rPr>
          <w:iCs/>
          <w:lang w:val="en-US"/>
        </w:rPr>
        <w:t>f</w:t>
      </w:r>
      <w:r w:rsidR="008E55A8">
        <w:rPr>
          <w:iCs/>
          <w:lang w:val="en-US"/>
        </w:rPr>
        <w:t>orm</w:t>
      </w:r>
      <w:r w:rsidR="00D66BC5" w:rsidRPr="00B51E9D">
        <w:rPr>
          <w:iCs/>
          <w:lang w:val="en-US"/>
        </w:rPr>
        <w:t xml:space="preserve">al Working Group on Measurement Uncertainties (IWG MU) </w:t>
      </w:r>
      <w:r w:rsidR="00930103">
        <w:rPr>
          <w:iCs/>
          <w:lang w:val="en-US"/>
        </w:rPr>
        <w:t xml:space="preserve">provided these tables as an </w:t>
      </w:r>
      <w:r w:rsidR="00FE1BA8">
        <w:rPr>
          <w:iCs/>
          <w:lang w:val="en-US"/>
        </w:rPr>
        <w:t xml:space="preserve">interim result of the different approaches </w:t>
      </w:r>
      <w:r w:rsidR="002341A2">
        <w:rPr>
          <w:iCs/>
          <w:lang w:val="en-US"/>
        </w:rPr>
        <w:t xml:space="preserve">to the chair. </w:t>
      </w:r>
      <w:r w:rsidR="000A4021">
        <w:rPr>
          <w:iCs/>
          <w:lang w:val="en-US"/>
        </w:rPr>
        <w:t xml:space="preserve">Since </w:t>
      </w:r>
      <w:r w:rsidR="0092764A">
        <w:rPr>
          <w:iCs/>
          <w:lang w:val="en-US"/>
        </w:rPr>
        <w:t>additional data have been included t</w:t>
      </w:r>
      <w:r w:rsidR="002341A2">
        <w:rPr>
          <w:iCs/>
          <w:lang w:val="en-US"/>
        </w:rPr>
        <w:t xml:space="preserve">he investigations </w:t>
      </w:r>
      <w:r w:rsidR="00476BBD">
        <w:rPr>
          <w:iCs/>
          <w:lang w:val="en-US"/>
        </w:rPr>
        <w:t xml:space="preserve">are still in progress and the values </w:t>
      </w:r>
      <w:r w:rsidR="0004187E">
        <w:rPr>
          <w:iCs/>
          <w:lang w:val="en-US"/>
        </w:rPr>
        <w:t xml:space="preserve">will </w:t>
      </w:r>
      <w:r w:rsidR="00476BBD">
        <w:rPr>
          <w:iCs/>
          <w:lang w:val="en-US"/>
        </w:rPr>
        <w:t>chang</w:t>
      </w:r>
      <w:r w:rsidR="0004187E">
        <w:rPr>
          <w:iCs/>
          <w:lang w:val="en-US"/>
        </w:rPr>
        <w:t>e</w:t>
      </w:r>
      <w:r w:rsidR="00476BBD">
        <w:rPr>
          <w:iCs/>
          <w:lang w:val="en-US"/>
        </w:rPr>
        <w:t xml:space="preserve">. </w:t>
      </w:r>
    </w:p>
    <w:p w14:paraId="5AD7832E" w14:textId="7729E4E6" w:rsidR="00873C52" w:rsidRPr="00B51E9D" w:rsidRDefault="00717D7D" w:rsidP="00390FA8">
      <w:pPr>
        <w:keepLines/>
        <w:numPr>
          <w:ilvl w:val="0"/>
          <w:numId w:val="18"/>
        </w:numPr>
        <w:spacing w:after="120"/>
        <w:ind w:left="1701" w:right="1134" w:hanging="567"/>
        <w:jc w:val="both"/>
        <w:rPr>
          <w:bCs/>
          <w:lang w:val="en-US"/>
        </w:rPr>
      </w:pPr>
      <w:r>
        <w:rPr>
          <w:iCs/>
          <w:lang w:val="en-US"/>
        </w:rPr>
        <w:t>When t</w:t>
      </w:r>
      <w:r w:rsidR="00873C52">
        <w:rPr>
          <w:iCs/>
          <w:lang w:val="en-US"/>
        </w:rPr>
        <w:t>he work on the tables will be finished</w:t>
      </w:r>
      <w:r>
        <w:rPr>
          <w:iCs/>
          <w:lang w:val="en-US"/>
        </w:rPr>
        <w:t xml:space="preserve">, the </w:t>
      </w:r>
      <w:r w:rsidR="009A32DA">
        <w:rPr>
          <w:iCs/>
          <w:lang w:val="en-US"/>
        </w:rPr>
        <w:t xml:space="preserve">IWG MU will </w:t>
      </w:r>
      <w:r w:rsidR="00877D2F">
        <w:rPr>
          <w:iCs/>
          <w:lang w:val="en-US"/>
        </w:rPr>
        <w:t xml:space="preserve">send an informal document with the </w:t>
      </w:r>
      <w:r w:rsidR="00D64A29">
        <w:rPr>
          <w:iCs/>
          <w:lang w:val="en-US"/>
        </w:rPr>
        <w:t>new updated</w:t>
      </w:r>
      <w:r w:rsidR="00877D2F">
        <w:rPr>
          <w:iCs/>
          <w:lang w:val="en-US"/>
        </w:rPr>
        <w:t xml:space="preserve"> tables inside.</w:t>
      </w:r>
      <w:r w:rsidR="0068245C">
        <w:rPr>
          <w:iCs/>
          <w:lang w:val="en-US"/>
        </w:rPr>
        <w:t xml:space="preserve"> Target is to present the informal document until </w:t>
      </w:r>
      <w:r w:rsidR="00E24B8E">
        <w:rPr>
          <w:iCs/>
          <w:lang w:val="en-US"/>
        </w:rPr>
        <w:t xml:space="preserve">the </w:t>
      </w:r>
      <w:r w:rsidR="0068245C">
        <w:rPr>
          <w:iCs/>
          <w:lang w:val="en-US"/>
        </w:rPr>
        <w:t>76</w:t>
      </w:r>
      <w:r w:rsidR="0068245C" w:rsidRPr="00873C52">
        <w:rPr>
          <w:iCs/>
          <w:vertAlign w:val="superscript"/>
          <w:lang w:val="en-US"/>
        </w:rPr>
        <w:t>th</w:t>
      </w:r>
      <w:r w:rsidR="0068245C">
        <w:rPr>
          <w:iCs/>
          <w:lang w:val="en-US"/>
        </w:rPr>
        <w:t xml:space="preserve"> GRBP in September 2022.</w:t>
      </w:r>
    </w:p>
    <w:sectPr w:rsidR="00873C52" w:rsidRPr="00B51E9D" w:rsidSect="00F35D9E">
      <w:headerReference w:type="even" r:id="rId11"/>
      <w:footerReference w:type="even" r:id="rId12"/>
      <w:footerReference w:type="default" r:id="rId13"/>
      <w:footerReference w:type="first" r:id="rId14"/>
      <w:endnotePr>
        <w:numFmt w:val="decimal"/>
      </w:endnotePr>
      <w:pgSz w:w="11907" w:h="16840" w:code="9"/>
      <w:pgMar w:top="1418" w:right="1275"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3555" w14:textId="77777777" w:rsidR="008256BF" w:rsidRDefault="008256BF"/>
  </w:endnote>
  <w:endnote w:type="continuationSeparator" w:id="0">
    <w:p w14:paraId="09EDEE56" w14:textId="77777777" w:rsidR="008256BF" w:rsidRDefault="008256BF"/>
  </w:endnote>
  <w:endnote w:type="continuationNotice" w:id="1">
    <w:p w14:paraId="4585C8CB" w14:textId="77777777" w:rsidR="008256BF" w:rsidRDefault="0082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6986" w14:textId="77777777" w:rsidR="007E16AC" w:rsidRDefault="007E16AC" w:rsidP="00D16AB4">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9FB3" w14:textId="40F1D147" w:rsidR="007E16AC" w:rsidRDefault="007E16AC" w:rsidP="00524C4F">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FACC" w14:textId="29B05DD7" w:rsidR="007E16AC" w:rsidRPr="00EB4F80" w:rsidRDefault="007E16AC" w:rsidP="00D16AB4">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3D770" w14:textId="77777777" w:rsidR="008256BF" w:rsidRPr="00D27D5E" w:rsidRDefault="008256BF" w:rsidP="00D27D5E">
      <w:pPr>
        <w:tabs>
          <w:tab w:val="right" w:pos="2155"/>
        </w:tabs>
        <w:spacing w:after="80"/>
        <w:ind w:left="680"/>
        <w:rPr>
          <w:u w:val="single"/>
        </w:rPr>
      </w:pPr>
      <w:r>
        <w:rPr>
          <w:u w:val="single"/>
        </w:rPr>
        <w:tab/>
      </w:r>
    </w:p>
  </w:footnote>
  <w:footnote w:type="continuationSeparator" w:id="0">
    <w:p w14:paraId="7191521B" w14:textId="77777777" w:rsidR="008256BF" w:rsidRDefault="008256BF">
      <w:r>
        <w:rPr>
          <w:u w:val="single"/>
        </w:rPr>
        <w:tab/>
      </w:r>
      <w:r>
        <w:rPr>
          <w:u w:val="single"/>
        </w:rPr>
        <w:tab/>
      </w:r>
      <w:r>
        <w:rPr>
          <w:u w:val="single"/>
        </w:rPr>
        <w:tab/>
      </w:r>
      <w:r>
        <w:rPr>
          <w:u w:val="single"/>
        </w:rPr>
        <w:tab/>
      </w:r>
    </w:p>
  </w:footnote>
  <w:footnote w:type="continuationNotice" w:id="1">
    <w:p w14:paraId="1B8D18B3" w14:textId="77777777" w:rsidR="008256BF" w:rsidRDefault="008256BF"/>
  </w:footnote>
  <w:footnote w:id="2">
    <w:p w14:paraId="54C02489" w14:textId="0ED6C10A" w:rsidR="007E16AC" w:rsidRPr="00030A4D" w:rsidRDefault="007E16AC">
      <w:pPr>
        <w:pStyle w:val="FootnoteText"/>
        <w:rPr>
          <w:lang w:val="en-GB"/>
        </w:rPr>
      </w:pPr>
      <w:r w:rsidRPr="00FE7744">
        <w:rPr>
          <w:lang w:val="en-US"/>
        </w:rPr>
        <w:tab/>
      </w:r>
      <w:r w:rsidRPr="00030A4D">
        <w:rPr>
          <w:rStyle w:val="FootnoteReference"/>
          <w:lang w:val="en-US"/>
        </w:rPr>
        <w:t>**</w:t>
      </w:r>
      <w:r w:rsidRPr="00030A4D">
        <w:rPr>
          <w:lang w:val="en-US"/>
        </w:rPr>
        <w:t xml:space="preserve"> </w:t>
      </w:r>
      <w:r>
        <w:rPr>
          <w:lang w:val="en-US"/>
        </w:rPr>
        <w:tab/>
      </w:r>
      <w:r w:rsidRPr="00030A4D">
        <w:rPr>
          <w:lang w:val="en-GB"/>
        </w:rPr>
        <w:t>The acronyms and designations</w:t>
      </w:r>
      <w:r>
        <w:rPr>
          <w:lang w:val="en-GB"/>
        </w:rPr>
        <w:t xml:space="preserve"> in tables 7.1 and 7.2 follow the 03 series of amendments to UN Regulation No. .51</w:t>
      </w:r>
      <w:r w:rsidRPr="00030A4D">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805E" w14:textId="266170F1" w:rsidR="007E16AC" w:rsidRDefault="007E16AC" w:rsidP="008C604C">
    <w:pPr>
      <w:pStyle w:val="Header"/>
    </w:pPr>
    <w:r>
      <w:t>ECE/TRANS/WP.29/GRBP/2022/</w:t>
    </w:r>
    <w:r>
      <w:rPr>
        <w:lang w:val="ru-RU"/>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360510"/>
    <w:multiLevelType w:val="multilevel"/>
    <w:tmpl w:val="23827BC8"/>
    <w:numStyleLink w:val="Formatvorlage1"/>
  </w:abstractNum>
  <w:abstractNum w:abstractNumId="4" w15:restartNumberingAfterBreak="0">
    <w:nsid w:val="203A1C0E"/>
    <w:multiLevelType w:val="hybridMultilevel"/>
    <w:tmpl w:val="929019F0"/>
    <w:lvl w:ilvl="0" w:tplc="72C6A8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3F59BE"/>
    <w:multiLevelType w:val="hybridMultilevel"/>
    <w:tmpl w:val="C242CEA2"/>
    <w:lvl w:ilvl="0" w:tplc="C6A8BEA2">
      <w:start w:val="7"/>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6" w15:restartNumberingAfterBreak="0">
    <w:nsid w:val="29526309"/>
    <w:multiLevelType w:val="multilevel"/>
    <w:tmpl w:val="43882DA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9153FC"/>
    <w:multiLevelType w:val="multilevel"/>
    <w:tmpl w:val="92542C5A"/>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15:restartNumberingAfterBreak="0">
    <w:nsid w:val="320946CC"/>
    <w:multiLevelType w:val="multilevel"/>
    <w:tmpl w:val="A4DE67DA"/>
    <w:lvl w:ilvl="0">
      <w:start w:val="1"/>
      <w:numFmt w:val="decimal"/>
      <w:lvlText w:val="%1."/>
      <w:lvlJc w:val="left"/>
      <w:pPr>
        <w:ind w:left="4755" w:hanging="360"/>
      </w:pPr>
      <w:rPr>
        <w:rFonts w:hint="default"/>
        <w:strike w:val="0"/>
      </w:rPr>
    </w:lvl>
    <w:lvl w:ilvl="1">
      <w:start w:val="1"/>
      <w:numFmt w:val="decimal"/>
      <w:lvlText w:val="%1.%2."/>
      <w:lvlJc w:val="left"/>
      <w:pPr>
        <w:ind w:left="1418" w:hanging="1134"/>
      </w:pPr>
      <w:rPr>
        <w:rFonts w:hint="default"/>
      </w:rPr>
    </w:lvl>
    <w:lvl w:ilvl="2">
      <w:start w:val="1"/>
      <w:numFmt w:val="decimal"/>
      <w:lvlText w:val="%1.%2.%3."/>
      <w:lvlJc w:val="left"/>
      <w:pPr>
        <w:ind w:left="374" w:hanging="504"/>
      </w:pPr>
      <w:rPr>
        <w:rFonts w:hint="default"/>
      </w:rPr>
    </w:lvl>
    <w:lvl w:ilvl="3">
      <w:start w:val="1"/>
      <w:numFmt w:val="decimal"/>
      <w:lvlText w:val="%1.%2.%3.%4."/>
      <w:lvlJc w:val="left"/>
      <w:pPr>
        <w:ind w:left="878" w:hanging="648"/>
      </w:pPr>
      <w:rPr>
        <w:rFonts w:hint="default"/>
      </w:rPr>
    </w:lvl>
    <w:lvl w:ilvl="4">
      <w:start w:val="1"/>
      <w:numFmt w:val="decimal"/>
      <w:lvlText w:val="%1.%2.%3.%4.%5."/>
      <w:lvlJc w:val="left"/>
      <w:pPr>
        <w:ind w:left="1382" w:hanging="792"/>
      </w:pPr>
      <w:rPr>
        <w:rFonts w:hint="default"/>
      </w:rPr>
    </w:lvl>
    <w:lvl w:ilvl="5">
      <w:start w:val="1"/>
      <w:numFmt w:val="decimal"/>
      <w:lvlText w:val="%1.%2.%3.%4.%5.%6."/>
      <w:lvlJc w:val="left"/>
      <w:pPr>
        <w:ind w:left="1886" w:hanging="936"/>
      </w:pPr>
      <w:rPr>
        <w:rFonts w:hint="default"/>
      </w:rPr>
    </w:lvl>
    <w:lvl w:ilvl="6">
      <w:start w:val="1"/>
      <w:numFmt w:val="decimal"/>
      <w:lvlText w:val="%1.%2.%3.%4.%5.%6.%7."/>
      <w:lvlJc w:val="left"/>
      <w:pPr>
        <w:ind w:left="2390" w:hanging="1080"/>
      </w:pPr>
      <w:rPr>
        <w:rFonts w:hint="default"/>
      </w:rPr>
    </w:lvl>
    <w:lvl w:ilvl="7">
      <w:start w:val="1"/>
      <w:numFmt w:val="decimal"/>
      <w:lvlText w:val="%1.%2.%3.%4.%5.%6.%7.%8."/>
      <w:lvlJc w:val="left"/>
      <w:pPr>
        <w:ind w:left="2894" w:hanging="1224"/>
      </w:pPr>
      <w:rPr>
        <w:rFonts w:hint="default"/>
      </w:rPr>
    </w:lvl>
    <w:lvl w:ilvl="8">
      <w:start w:val="1"/>
      <w:numFmt w:val="decimal"/>
      <w:lvlText w:val="%1.%2.%3.%4.%5.%6.%7.%8.%9."/>
      <w:lvlJc w:val="left"/>
      <w:pPr>
        <w:ind w:left="3470" w:hanging="1440"/>
      </w:pPr>
      <w:rPr>
        <w:rFonts w:hint="default"/>
      </w:rPr>
    </w:lvl>
  </w:abstractNum>
  <w:abstractNum w:abstractNumId="9" w15:restartNumberingAfterBreak="0">
    <w:nsid w:val="38751AD2"/>
    <w:multiLevelType w:val="multilevel"/>
    <w:tmpl w:val="B1A6C606"/>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4AE610C5"/>
    <w:multiLevelType w:val="multilevel"/>
    <w:tmpl w:val="54ACB66E"/>
    <w:lvl w:ilvl="0">
      <w:start w:val="1"/>
      <w:numFmt w:val="upperRoman"/>
      <w:lvlText w:val="%1."/>
      <w:lvlJc w:val="righ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2" w15:restartNumberingAfterBreak="0">
    <w:nsid w:val="4DB84BA8"/>
    <w:multiLevelType w:val="multilevel"/>
    <w:tmpl w:val="23827BC8"/>
    <w:styleLink w:val="Formatvorlage1"/>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3" w15:restartNumberingAfterBreak="0">
    <w:nsid w:val="4DD06DF0"/>
    <w:multiLevelType w:val="multilevel"/>
    <w:tmpl w:val="7A7C72A4"/>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4" w15:restartNumberingAfterBreak="0">
    <w:nsid w:val="53256BA0"/>
    <w:multiLevelType w:val="hybridMultilevel"/>
    <w:tmpl w:val="23827BC8"/>
    <w:lvl w:ilvl="0" w:tplc="435E0196">
      <w:start w:val="1"/>
      <w:numFmt w:val="lowerLetter"/>
      <w:lvlText w:val="(%1)"/>
      <w:lvlJc w:val="left"/>
      <w:pPr>
        <w:ind w:left="2988" w:hanging="360"/>
      </w:pPr>
    </w:lvl>
    <w:lvl w:ilvl="1" w:tplc="435E0196">
      <w:start w:val="1"/>
      <w:numFmt w:val="lowerLetter"/>
      <w:lvlText w:val="(%2)"/>
      <w:lvlJc w:val="left"/>
      <w:pPr>
        <w:ind w:left="3708" w:hanging="360"/>
      </w:pPr>
    </w:lvl>
    <w:lvl w:ilvl="2" w:tplc="307083DA">
      <w:numFmt w:val="bullet"/>
      <w:lvlText w:val="-"/>
      <w:lvlJc w:val="left"/>
      <w:pPr>
        <w:ind w:left="4818" w:hanging="570"/>
      </w:pPr>
      <w:rPr>
        <w:rFonts w:ascii="Times New Roman" w:eastAsia="Times New Roman" w:hAnsi="Times New Roman" w:cs="Times New Roman" w:hint="default"/>
      </w:r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5" w15:restartNumberingAfterBreak="0">
    <w:nsid w:val="5E854E22"/>
    <w:multiLevelType w:val="multilevel"/>
    <w:tmpl w:val="541E88F2"/>
    <w:lvl w:ilvl="0">
      <w:start w:val="1"/>
      <w:numFmt w:val="decimal"/>
      <w:lvlText w:val="Part %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17"/>
  </w:num>
  <w:num w:numId="2">
    <w:abstractNumId w:val="10"/>
  </w:num>
  <w:num w:numId="3">
    <w:abstractNumId w:val="16"/>
  </w:num>
  <w:num w:numId="4">
    <w:abstractNumId w:val="2"/>
  </w:num>
  <w:num w:numId="5">
    <w:abstractNumId w:val="0"/>
  </w:num>
  <w:num w:numId="6">
    <w:abstractNumId w:val="14"/>
  </w:num>
  <w:num w:numId="7">
    <w:abstractNumId w:val="6"/>
  </w:num>
  <w:num w:numId="8">
    <w:abstractNumId w:val="12"/>
  </w:num>
  <w:num w:numId="9">
    <w:abstractNumId w:val="3"/>
  </w:num>
  <w:num w:numId="10">
    <w:abstractNumId w:val="9"/>
  </w:num>
  <w:num w:numId="11">
    <w:abstractNumId w:val="13"/>
  </w:num>
  <w:num w:numId="12">
    <w:abstractNumId w:val="15"/>
  </w:num>
  <w:num w:numId="13">
    <w:abstractNumId w:val="18"/>
  </w:num>
  <w:num w:numId="14">
    <w:abstractNumId w:val="1"/>
  </w:num>
  <w:num w:numId="15">
    <w:abstractNumId w:val="4"/>
  </w:num>
  <w:num w:numId="16">
    <w:abstractNumId w:val="5"/>
  </w:num>
  <w:num w:numId="17">
    <w:abstractNumId w:val="11"/>
  </w:num>
  <w:num w:numId="18">
    <w:abstractNumId w:val="8"/>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ru-RU" w:vendorID="64" w:dllVersion="0" w:nlCheck="1" w:checkStyle="0"/>
  <w:activeWritingStyle w:appName="MSWord" w:lang="nl-NL"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41E2"/>
    <w:rsid w:val="00015B61"/>
    <w:rsid w:val="00015D29"/>
    <w:rsid w:val="00016AC5"/>
    <w:rsid w:val="00017D14"/>
    <w:rsid w:val="00017FE7"/>
    <w:rsid w:val="00020252"/>
    <w:rsid w:val="00020AFB"/>
    <w:rsid w:val="00020CA7"/>
    <w:rsid w:val="0002123E"/>
    <w:rsid w:val="00021F1E"/>
    <w:rsid w:val="00022DEE"/>
    <w:rsid w:val="00026E61"/>
    <w:rsid w:val="00026F14"/>
    <w:rsid w:val="0002742E"/>
    <w:rsid w:val="00027EB8"/>
    <w:rsid w:val="00030A4D"/>
    <w:rsid w:val="00030ADE"/>
    <w:rsid w:val="000312C0"/>
    <w:rsid w:val="00031CA3"/>
    <w:rsid w:val="00031EFC"/>
    <w:rsid w:val="000322EF"/>
    <w:rsid w:val="00033E81"/>
    <w:rsid w:val="00033F1F"/>
    <w:rsid w:val="000358BF"/>
    <w:rsid w:val="00035F50"/>
    <w:rsid w:val="00036BE7"/>
    <w:rsid w:val="000403DA"/>
    <w:rsid w:val="00040A28"/>
    <w:rsid w:val="000417DD"/>
    <w:rsid w:val="0004187E"/>
    <w:rsid w:val="00042A72"/>
    <w:rsid w:val="000434E1"/>
    <w:rsid w:val="00046050"/>
    <w:rsid w:val="00046C6E"/>
    <w:rsid w:val="00047F1C"/>
    <w:rsid w:val="000514AB"/>
    <w:rsid w:val="00051ABE"/>
    <w:rsid w:val="0005278B"/>
    <w:rsid w:val="00053AD5"/>
    <w:rsid w:val="000543A3"/>
    <w:rsid w:val="00055CBB"/>
    <w:rsid w:val="00055F21"/>
    <w:rsid w:val="000564C6"/>
    <w:rsid w:val="000571C0"/>
    <w:rsid w:val="000571D7"/>
    <w:rsid w:val="00057396"/>
    <w:rsid w:val="00061255"/>
    <w:rsid w:val="000628BD"/>
    <w:rsid w:val="00063F6E"/>
    <w:rsid w:val="000671A3"/>
    <w:rsid w:val="00067B8E"/>
    <w:rsid w:val="0007123C"/>
    <w:rsid w:val="00071E50"/>
    <w:rsid w:val="0007452F"/>
    <w:rsid w:val="000759C4"/>
    <w:rsid w:val="00081EC3"/>
    <w:rsid w:val="000834EE"/>
    <w:rsid w:val="00083660"/>
    <w:rsid w:val="0008393C"/>
    <w:rsid w:val="00083D24"/>
    <w:rsid w:val="00083F5E"/>
    <w:rsid w:val="00083FCB"/>
    <w:rsid w:val="00086860"/>
    <w:rsid w:val="00090B9F"/>
    <w:rsid w:val="00091EA3"/>
    <w:rsid w:val="00092407"/>
    <w:rsid w:val="00092479"/>
    <w:rsid w:val="00092CF8"/>
    <w:rsid w:val="00093ECB"/>
    <w:rsid w:val="0009437C"/>
    <w:rsid w:val="000977B0"/>
    <w:rsid w:val="000A06AE"/>
    <w:rsid w:val="000A1461"/>
    <w:rsid w:val="000A1A4A"/>
    <w:rsid w:val="000A2D72"/>
    <w:rsid w:val="000A4021"/>
    <w:rsid w:val="000A4656"/>
    <w:rsid w:val="000A4B06"/>
    <w:rsid w:val="000A4D84"/>
    <w:rsid w:val="000A500E"/>
    <w:rsid w:val="000A59AC"/>
    <w:rsid w:val="000A5CFE"/>
    <w:rsid w:val="000A6B2B"/>
    <w:rsid w:val="000A7009"/>
    <w:rsid w:val="000B0833"/>
    <w:rsid w:val="000B422A"/>
    <w:rsid w:val="000B5943"/>
    <w:rsid w:val="000C3588"/>
    <w:rsid w:val="000C542C"/>
    <w:rsid w:val="000C66DF"/>
    <w:rsid w:val="000C6ABB"/>
    <w:rsid w:val="000C7F1B"/>
    <w:rsid w:val="000D1951"/>
    <w:rsid w:val="000D2B09"/>
    <w:rsid w:val="000D3280"/>
    <w:rsid w:val="000D7B7F"/>
    <w:rsid w:val="000D7F6D"/>
    <w:rsid w:val="000E1047"/>
    <w:rsid w:val="000E40FD"/>
    <w:rsid w:val="000E43F2"/>
    <w:rsid w:val="000E4F8B"/>
    <w:rsid w:val="000E5D29"/>
    <w:rsid w:val="000E5D7D"/>
    <w:rsid w:val="000E677E"/>
    <w:rsid w:val="000E6DDB"/>
    <w:rsid w:val="000F2A46"/>
    <w:rsid w:val="000F3C75"/>
    <w:rsid w:val="000F41F2"/>
    <w:rsid w:val="000F459F"/>
    <w:rsid w:val="000F4A77"/>
    <w:rsid w:val="000F4E8E"/>
    <w:rsid w:val="000F5D27"/>
    <w:rsid w:val="000F7F74"/>
    <w:rsid w:val="0010036C"/>
    <w:rsid w:val="00103BD0"/>
    <w:rsid w:val="0010544E"/>
    <w:rsid w:val="00105E1B"/>
    <w:rsid w:val="0010601F"/>
    <w:rsid w:val="001069EF"/>
    <w:rsid w:val="0010750B"/>
    <w:rsid w:val="00111928"/>
    <w:rsid w:val="001138F1"/>
    <w:rsid w:val="0011447A"/>
    <w:rsid w:val="00114B66"/>
    <w:rsid w:val="00115FBF"/>
    <w:rsid w:val="00121759"/>
    <w:rsid w:val="0012204A"/>
    <w:rsid w:val="0012225D"/>
    <w:rsid w:val="00123B2A"/>
    <w:rsid w:val="001249D5"/>
    <w:rsid w:val="00125937"/>
    <w:rsid w:val="001271D9"/>
    <w:rsid w:val="001273D1"/>
    <w:rsid w:val="00127CBD"/>
    <w:rsid w:val="00127D55"/>
    <w:rsid w:val="001308D5"/>
    <w:rsid w:val="00133848"/>
    <w:rsid w:val="00133A48"/>
    <w:rsid w:val="001347DC"/>
    <w:rsid w:val="0013496C"/>
    <w:rsid w:val="00135C0D"/>
    <w:rsid w:val="00136077"/>
    <w:rsid w:val="0014020F"/>
    <w:rsid w:val="0014194E"/>
    <w:rsid w:val="00142F6D"/>
    <w:rsid w:val="00144DCC"/>
    <w:rsid w:val="00146168"/>
    <w:rsid w:val="001465A0"/>
    <w:rsid w:val="0014713A"/>
    <w:rsid w:val="0014730C"/>
    <w:rsid w:val="00147BB9"/>
    <w:rsid w:val="00147ED7"/>
    <w:rsid w:val="001500C0"/>
    <w:rsid w:val="001505B4"/>
    <w:rsid w:val="00152765"/>
    <w:rsid w:val="00153756"/>
    <w:rsid w:val="001544E5"/>
    <w:rsid w:val="001554B8"/>
    <w:rsid w:val="00155B1C"/>
    <w:rsid w:val="0015623F"/>
    <w:rsid w:val="00156619"/>
    <w:rsid w:val="00156E97"/>
    <w:rsid w:val="00157800"/>
    <w:rsid w:val="0016049B"/>
    <w:rsid w:val="00160540"/>
    <w:rsid w:val="00161795"/>
    <w:rsid w:val="00161A5C"/>
    <w:rsid w:val="00162760"/>
    <w:rsid w:val="001649B6"/>
    <w:rsid w:val="00164B1E"/>
    <w:rsid w:val="001656DE"/>
    <w:rsid w:val="0016749C"/>
    <w:rsid w:val="001715AC"/>
    <w:rsid w:val="00171607"/>
    <w:rsid w:val="0017182C"/>
    <w:rsid w:val="00173035"/>
    <w:rsid w:val="001767B5"/>
    <w:rsid w:val="00177007"/>
    <w:rsid w:val="00181186"/>
    <w:rsid w:val="00181D8E"/>
    <w:rsid w:val="00181FD1"/>
    <w:rsid w:val="00184334"/>
    <w:rsid w:val="001846B8"/>
    <w:rsid w:val="00184B7C"/>
    <w:rsid w:val="0018512F"/>
    <w:rsid w:val="00186C01"/>
    <w:rsid w:val="00186EE9"/>
    <w:rsid w:val="00187303"/>
    <w:rsid w:val="001901A6"/>
    <w:rsid w:val="001923C8"/>
    <w:rsid w:val="00192EEB"/>
    <w:rsid w:val="00192FB8"/>
    <w:rsid w:val="0019306A"/>
    <w:rsid w:val="001A073C"/>
    <w:rsid w:val="001A1371"/>
    <w:rsid w:val="001A20FB"/>
    <w:rsid w:val="001A293E"/>
    <w:rsid w:val="001A2C07"/>
    <w:rsid w:val="001A2FFC"/>
    <w:rsid w:val="001A622F"/>
    <w:rsid w:val="001A78AB"/>
    <w:rsid w:val="001B05AE"/>
    <w:rsid w:val="001B08E6"/>
    <w:rsid w:val="001B1261"/>
    <w:rsid w:val="001B5ABB"/>
    <w:rsid w:val="001B5FB6"/>
    <w:rsid w:val="001B69FB"/>
    <w:rsid w:val="001B6F40"/>
    <w:rsid w:val="001C0B90"/>
    <w:rsid w:val="001C2E31"/>
    <w:rsid w:val="001C519D"/>
    <w:rsid w:val="001C580E"/>
    <w:rsid w:val="001C5E6F"/>
    <w:rsid w:val="001C60AE"/>
    <w:rsid w:val="001D0A66"/>
    <w:rsid w:val="001D0B92"/>
    <w:rsid w:val="001D2936"/>
    <w:rsid w:val="001D3C67"/>
    <w:rsid w:val="001D54AC"/>
    <w:rsid w:val="001D54F5"/>
    <w:rsid w:val="001D55E8"/>
    <w:rsid w:val="001D5DD0"/>
    <w:rsid w:val="001D67C2"/>
    <w:rsid w:val="001D7B06"/>
    <w:rsid w:val="001D7F8A"/>
    <w:rsid w:val="001E0175"/>
    <w:rsid w:val="001E0254"/>
    <w:rsid w:val="001E1FC7"/>
    <w:rsid w:val="001E3B84"/>
    <w:rsid w:val="001E3FEB"/>
    <w:rsid w:val="001E4A02"/>
    <w:rsid w:val="001E7B92"/>
    <w:rsid w:val="001F1B5A"/>
    <w:rsid w:val="001F2230"/>
    <w:rsid w:val="001F3AA3"/>
    <w:rsid w:val="001F419A"/>
    <w:rsid w:val="001F4516"/>
    <w:rsid w:val="001F5BDA"/>
    <w:rsid w:val="001F724B"/>
    <w:rsid w:val="00200475"/>
    <w:rsid w:val="002013C5"/>
    <w:rsid w:val="00201CFA"/>
    <w:rsid w:val="00204590"/>
    <w:rsid w:val="00205EDD"/>
    <w:rsid w:val="00205F80"/>
    <w:rsid w:val="00206999"/>
    <w:rsid w:val="00207580"/>
    <w:rsid w:val="00207A50"/>
    <w:rsid w:val="002109BE"/>
    <w:rsid w:val="00211132"/>
    <w:rsid w:val="00211D20"/>
    <w:rsid w:val="002131E6"/>
    <w:rsid w:val="002148C4"/>
    <w:rsid w:val="00214F07"/>
    <w:rsid w:val="00215437"/>
    <w:rsid w:val="00216978"/>
    <w:rsid w:val="00217A86"/>
    <w:rsid w:val="0022128A"/>
    <w:rsid w:val="00221BDC"/>
    <w:rsid w:val="002232AF"/>
    <w:rsid w:val="00223B89"/>
    <w:rsid w:val="0022420E"/>
    <w:rsid w:val="00225A8C"/>
    <w:rsid w:val="002269A3"/>
    <w:rsid w:val="00227ADD"/>
    <w:rsid w:val="0023204A"/>
    <w:rsid w:val="00232359"/>
    <w:rsid w:val="00232EE1"/>
    <w:rsid w:val="002341A2"/>
    <w:rsid w:val="00234A05"/>
    <w:rsid w:val="00235173"/>
    <w:rsid w:val="00235C8B"/>
    <w:rsid w:val="00236D40"/>
    <w:rsid w:val="00236E37"/>
    <w:rsid w:val="002375DC"/>
    <w:rsid w:val="00240D36"/>
    <w:rsid w:val="00242391"/>
    <w:rsid w:val="00242F8B"/>
    <w:rsid w:val="00244494"/>
    <w:rsid w:val="00245A23"/>
    <w:rsid w:val="00245F0D"/>
    <w:rsid w:val="00246505"/>
    <w:rsid w:val="00247143"/>
    <w:rsid w:val="00247ADB"/>
    <w:rsid w:val="00250B6F"/>
    <w:rsid w:val="00251038"/>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A5A"/>
    <w:rsid w:val="002961F4"/>
    <w:rsid w:val="00296785"/>
    <w:rsid w:val="00296B2B"/>
    <w:rsid w:val="00297E71"/>
    <w:rsid w:val="002A073F"/>
    <w:rsid w:val="002A0864"/>
    <w:rsid w:val="002A304A"/>
    <w:rsid w:val="002A5D07"/>
    <w:rsid w:val="002B0C48"/>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DF9"/>
    <w:rsid w:val="002D558F"/>
    <w:rsid w:val="002D773B"/>
    <w:rsid w:val="002D7AB6"/>
    <w:rsid w:val="002D7B1B"/>
    <w:rsid w:val="002E0FD9"/>
    <w:rsid w:val="002E42EE"/>
    <w:rsid w:val="002E4C2B"/>
    <w:rsid w:val="002E5294"/>
    <w:rsid w:val="002E6ED7"/>
    <w:rsid w:val="002E7E3F"/>
    <w:rsid w:val="002F0070"/>
    <w:rsid w:val="002F32A9"/>
    <w:rsid w:val="002F421A"/>
    <w:rsid w:val="002F4B17"/>
    <w:rsid w:val="002F69A1"/>
    <w:rsid w:val="002F7163"/>
    <w:rsid w:val="003010F6"/>
    <w:rsid w:val="003016B7"/>
    <w:rsid w:val="00301C73"/>
    <w:rsid w:val="003024E8"/>
    <w:rsid w:val="003033E2"/>
    <w:rsid w:val="00304F6C"/>
    <w:rsid w:val="00310241"/>
    <w:rsid w:val="00315988"/>
    <w:rsid w:val="00316610"/>
    <w:rsid w:val="00316BB7"/>
    <w:rsid w:val="00317CE1"/>
    <w:rsid w:val="003204E7"/>
    <w:rsid w:val="00321E15"/>
    <w:rsid w:val="00322FDA"/>
    <w:rsid w:val="00323DDA"/>
    <w:rsid w:val="0032688E"/>
    <w:rsid w:val="00327367"/>
    <w:rsid w:val="003278BE"/>
    <w:rsid w:val="00330AAA"/>
    <w:rsid w:val="00330F9C"/>
    <w:rsid w:val="0033572B"/>
    <w:rsid w:val="003360FB"/>
    <w:rsid w:val="00336E96"/>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47DF"/>
    <w:rsid w:val="0036571D"/>
    <w:rsid w:val="003657B2"/>
    <w:rsid w:val="00365F33"/>
    <w:rsid w:val="003666F6"/>
    <w:rsid w:val="00370E0F"/>
    <w:rsid w:val="0037301A"/>
    <w:rsid w:val="003731A3"/>
    <w:rsid w:val="0037322D"/>
    <w:rsid w:val="00374106"/>
    <w:rsid w:val="00375773"/>
    <w:rsid w:val="003770B0"/>
    <w:rsid w:val="0038159E"/>
    <w:rsid w:val="00381C41"/>
    <w:rsid w:val="003822EB"/>
    <w:rsid w:val="00382A22"/>
    <w:rsid w:val="00383013"/>
    <w:rsid w:val="0038381F"/>
    <w:rsid w:val="00384063"/>
    <w:rsid w:val="00384D67"/>
    <w:rsid w:val="00384E68"/>
    <w:rsid w:val="00387337"/>
    <w:rsid w:val="003876AF"/>
    <w:rsid w:val="00390BC8"/>
    <w:rsid w:val="00390D79"/>
    <w:rsid w:val="00390E61"/>
    <w:rsid w:val="00391621"/>
    <w:rsid w:val="0039236C"/>
    <w:rsid w:val="003933A8"/>
    <w:rsid w:val="00393EDD"/>
    <w:rsid w:val="00395DFE"/>
    <w:rsid w:val="003962AB"/>
    <w:rsid w:val="00396559"/>
    <w:rsid w:val="003976D5"/>
    <w:rsid w:val="00397FEF"/>
    <w:rsid w:val="003A0A44"/>
    <w:rsid w:val="003A0FE8"/>
    <w:rsid w:val="003A113E"/>
    <w:rsid w:val="003A3D80"/>
    <w:rsid w:val="003A4C67"/>
    <w:rsid w:val="003A6AB3"/>
    <w:rsid w:val="003A7B5A"/>
    <w:rsid w:val="003A7CBF"/>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59C"/>
    <w:rsid w:val="003E2B6D"/>
    <w:rsid w:val="003E3EA5"/>
    <w:rsid w:val="003E3FC2"/>
    <w:rsid w:val="003E40B4"/>
    <w:rsid w:val="003E4A29"/>
    <w:rsid w:val="003E7A5E"/>
    <w:rsid w:val="003E7ED2"/>
    <w:rsid w:val="003F0826"/>
    <w:rsid w:val="003F143E"/>
    <w:rsid w:val="003F278B"/>
    <w:rsid w:val="003F486C"/>
    <w:rsid w:val="003F4C99"/>
    <w:rsid w:val="003F4E9D"/>
    <w:rsid w:val="003F6314"/>
    <w:rsid w:val="003F730A"/>
    <w:rsid w:val="003F7B88"/>
    <w:rsid w:val="00401DB8"/>
    <w:rsid w:val="00401EAA"/>
    <w:rsid w:val="00402E34"/>
    <w:rsid w:val="00404305"/>
    <w:rsid w:val="004048F9"/>
    <w:rsid w:val="00404F1D"/>
    <w:rsid w:val="00406D93"/>
    <w:rsid w:val="004078F6"/>
    <w:rsid w:val="0041037D"/>
    <w:rsid w:val="0041082D"/>
    <w:rsid w:val="00411680"/>
    <w:rsid w:val="0041175A"/>
    <w:rsid w:val="00411A77"/>
    <w:rsid w:val="004124F4"/>
    <w:rsid w:val="00413E77"/>
    <w:rsid w:val="004159D0"/>
    <w:rsid w:val="00416017"/>
    <w:rsid w:val="00416AE9"/>
    <w:rsid w:val="00416F05"/>
    <w:rsid w:val="00420A31"/>
    <w:rsid w:val="00420CAE"/>
    <w:rsid w:val="00420E04"/>
    <w:rsid w:val="00421608"/>
    <w:rsid w:val="00423874"/>
    <w:rsid w:val="004238F1"/>
    <w:rsid w:val="004242C2"/>
    <w:rsid w:val="004249E7"/>
    <w:rsid w:val="00426C6C"/>
    <w:rsid w:val="004302BF"/>
    <w:rsid w:val="0043072D"/>
    <w:rsid w:val="00430E44"/>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4079"/>
    <w:rsid w:val="004644DB"/>
    <w:rsid w:val="00465AFF"/>
    <w:rsid w:val="00465D78"/>
    <w:rsid w:val="00466E2F"/>
    <w:rsid w:val="00471CDB"/>
    <w:rsid w:val="004720B1"/>
    <w:rsid w:val="004725F5"/>
    <w:rsid w:val="00472A65"/>
    <w:rsid w:val="0047357B"/>
    <w:rsid w:val="004738B2"/>
    <w:rsid w:val="00473A8F"/>
    <w:rsid w:val="00473D03"/>
    <w:rsid w:val="00476222"/>
    <w:rsid w:val="004763ED"/>
    <w:rsid w:val="00476BBD"/>
    <w:rsid w:val="00476E5D"/>
    <w:rsid w:val="00477D31"/>
    <w:rsid w:val="00480187"/>
    <w:rsid w:val="004804E8"/>
    <w:rsid w:val="00480C4C"/>
    <w:rsid w:val="0048239C"/>
    <w:rsid w:val="00483E73"/>
    <w:rsid w:val="004846C7"/>
    <w:rsid w:val="00485624"/>
    <w:rsid w:val="004857A6"/>
    <w:rsid w:val="00485AF5"/>
    <w:rsid w:val="00490450"/>
    <w:rsid w:val="00490C80"/>
    <w:rsid w:val="00494B06"/>
    <w:rsid w:val="00497862"/>
    <w:rsid w:val="00497E93"/>
    <w:rsid w:val="004A0282"/>
    <w:rsid w:val="004A26B7"/>
    <w:rsid w:val="004A3BBB"/>
    <w:rsid w:val="004A6661"/>
    <w:rsid w:val="004A73F2"/>
    <w:rsid w:val="004A7442"/>
    <w:rsid w:val="004B3B97"/>
    <w:rsid w:val="004B4C82"/>
    <w:rsid w:val="004B6484"/>
    <w:rsid w:val="004B7965"/>
    <w:rsid w:val="004C0929"/>
    <w:rsid w:val="004C0D3F"/>
    <w:rsid w:val="004C125C"/>
    <w:rsid w:val="004C273A"/>
    <w:rsid w:val="004C300C"/>
    <w:rsid w:val="004C3782"/>
    <w:rsid w:val="004C3970"/>
    <w:rsid w:val="004C45E9"/>
    <w:rsid w:val="004C705D"/>
    <w:rsid w:val="004C746B"/>
    <w:rsid w:val="004D04C9"/>
    <w:rsid w:val="004D07B6"/>
    <w:rsid w:val="004D2005"/>
    <w:rsid w:val="004D3124"/>
    <w:rsid w:val="004D553D"/>
    <w:rsid w:val="004D69B7"/>
    <w:rsid w:val="004D6F75"/>
    <w:rsid w:val="004D74CF"/>
    <w:rsid w:val="004E0769"/>
    <w:rsid w:val="004E47E2"/>
    <w:rsid w:val="004E58F9"/>
    <w:rsid w:val="004E5BF0"/>
    <w:rsid w:val="004E6132"/>
    <w:rsid w:val="004E63FC"/>
    <w:rsid w:val="004E64A9"/>
    <w:rsid w:val="004E7B09"/>
    <w:rsid w:val="004F077A"/>
    <w:rsid w:val="004F147A"/>
    <w:rsid w:val="004F2B87"/>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7F4E"/>
    <w:rsid w:val="005209F5"/>
    <w:rsid w:val="0052189F"/>
    <w:rsid w:val="00521C43"/>
    <w:rsid w:val="005222E5"/>
    <w:rsid w:val="0052352B"/>
    <w:rsid w:val="00523E28"/>
    <w:rsid w:val="0052484D"/>
    <w:rsid w:val="00524C4F"/>
    <w:rsid w:val="00530FCE"/>
    <w:rsid w:val="00531318"/>
    <w:rsid w:val="00531F9C"/>
    <w:rsid w:val="005324B6"/>
    <w:rsid w:val="00534188"/>
    <w:rsid w:val="00536F23"/>
    <w:rsid w:val="005376FA"/>
    <w:rsid w:val="00542549"/>
    <w:rsid w:val="00542995"/>
    <w:rsid w:val="0054385B"/>
    <w:rsid w:val="00543D5E"/>
    <w:rsid w:val="0054402F"/>
    <w:rsid w:val="00550885"/>
    <w:rsid w:val="00550D0B"/>
    <w:rsid w:val="00555262"/>
    <w:rsid w:val="005552D8"/>
    <w:rsid w:val="005561F0"/>
    <w:rsid w:val="00556A0F"/>
    <w:rsid w:val="00563142"/>
    <w:rsid w:val="00563DD3"/>
    <w:rsid w:val="00563EA7"/>
    <w:rsid w:val="00564692"/>
    <w:rsid w:val="00571F41"/>
    <w:rsid w:val="00571FCA"/>
    <w:rsid w:val="005740D6"/>
    <w:rsid w:val="00575BDF"/>
    <w:rsid w:val="00576788"/>
    <w:rsid w:val="00577971"/>
    <w:rsid w:val="00580AB0"/>
    <w:rsid w:val="00581FA7"/>
    <w:rsid w:val="005834DB"/>
    <w:rsid w:val="005837D4"/>
    <w:rsid w:val="00583F11"/>
    <w:rsid w:val="00584332"/>
    <w:rsid w:val="00586113"/>
    <w:rsid w:val="0058650C"/>
    <w:rsid w:val="00586A2D"/>
    <w:rsid w:val="005872B7"/>
    <w:rsid w:val="00590E59"/>
    <w:rsid w:val="00594626"/>
    <w:rsid w:val="00595576"/>
    <w:rsid w:val="00595BE4"/>
    <w:rsid w:val="00596AA2"/>
    <w:rsid w:val="005A1BBD"/>
    <w:rsid w:val="005A3CDD"/>
    <w:rsid w:val="005A636F"/>
    <w:rsid w:val="005A7D62"/>
    <w:rsid w:val="005B196B"/>
    <w:rsid w:val="005B27C4"/>
    <w:rsid w:val="005B2AA7"/>
    <w:rsid w:val="005B40C8"/>
    <w:rsid w:val="005B5842"/>
    <w:rsid w:val="005B76A3"/>
    <w:rsid w:val="005C0270"/>
    <w:rsid w:val="005C23CC"/>
    <w:rsid w:val="005C2905"/>
    <w:rsid w:val="005C577C"/>
    <w:rsid w:val="005C7D63"/>
    <w:rsid w:val="005D03CC"/>
    <w:rsid w:val="005D09CF"/>
    <w:rsid w:val="005D3C9E"/>
    <w:rsid w:val="005D5C2D"/>
    <w:rsid w:val="005D6E69"/>
    <w:rsid w:val="005D7787"/>
    <w:rsid w:val="005D7F42"/>
    <w:rsid w:val="005E2FF0"/>
    <w:rsid w:val="005E3127"/>
    <w:rsid w:val="005E3F03"/>
    <w:rsid w:val="005E5D1F"/>
    <w:rsid w:val="005E6778"/>
    <w:rsid w:val="005F09A2"/>
    <w:rsid w:val="005F0D33"/>
    <w:rsid w:val="005F1A4C"/>
    <w:rsid w:val="005F2523"/>
    <w:rsid w:val="005F4321"/>
    <w:rsid w:val="005F486D"/>
    <w:rsid w:val="005F5902"/>
    <w:rsid w:val="005F5C4D"/>
    <w:rsid w:val="005F68C9"/>
    <w:rsid w:val="005F69A2"/>
    <w:rsid w:val="005F7C99"/>
    <w:rsid w:val="00602BBB"/>
    <w:rsid w:val="00602C78"/>
    <w:rsid w:val="00603391"/>
    <w:rsid w:val="006036F8"/>
    <w:rsid w:val="006046B4"/>
    <w:rsid w:val="00604C7F"/>
    <w:rsid w:val="0060517B"/>
    <w:rsid w:val="006057E4"/>
    <w:rsid w:val="00606827"/>
    <w:rsid w:val="00607DA5"/>
    <w:rsid w:val="00611D43"/>
    <w:rsid w:val="00612D48"/>
    <w:rsid w:val="00614877"/>
    <w:rsid w:val="00615307"/>
    <w:rsid w:val="00615597"/>
    <w:rsid w:val="006169EE"/>
    <w:rsid w:val="00616B45"/>
    <w:rsid w:val="00621401"/>
    <w:rsid w:val="00622320"/>
    <w:rsid w:val="00623520"/>
    <w:rsid w:val="00623BC4"/>
    <w:rsid w:val="00624003"/>
    <w:rsid w:val="00625242"/>
    <w:rsid w:val="00626492"/>
    <w:rsid w:val="00627719"/>
    <w:rsid w:val="00630D91"/>
    <w:rsid w:val="00630D9B"/>
    <w:rsid w:val="006310BE"/>
    <w:rsid w:val="006315C7"/>
    <w:rsid w:val="00631953"/>
    <w:rsid w:val="00634E1A"/>
    <w:rsid w:val="0063630E"/>
    <w:rsid w:val="0063675A"/>
    <w:rsid w:val="00636847"/>
    <w:rsid w:val="0064220F"/>
    <w:rsid w:val="0064286B"/>
    <w:rsid w:val="00643600"/>
    <w:rsid w:val="006439EC"/>
    <w:rsid w:val="00644577"/>
    <w:rsid w:val="0064776E"/>
    <w:rsid w:val="00650ACD"/>
    <w:rsid w:val="00653693"/>
    <w:rsid w:val="00655F5E"/>
    <w:rsid w:val="00657121"/>
    <w:rsid w:val="006571C2"/>
    <w:rsid w:val="006608B3"/>
    <w:rsid w:val="00661205"/>
    <w:rsid w:val="00661275"/>
    <w:rsid w:val="00662A4A"/>
    <w:rsid w:val="00663DB9"/>
    <w:rsid w:val="00665A24"/>
    <w:rsid w:val="00667F88"/>
    <w:rsid w:val="00673D87"/>
    <w:rsid w:val="00674D5B"/>
    <w:rsid w:val="00681AF5"/>
    <w:rsid w:val="0068242C"/>
    <w:rsid w:val="0068245C"/>
    <w:rsid w:val="0068252A"/>
    <w:rsid w:val="006829AD"/>
    <w:rsid w:val="006834EA"/>
    <w:rsid w:val="00685240"/>
    <w:rsid w:val="00685843"/>
    <w:rsid w:val="006863E9"/>
    <w:rsid w:val="00686520"/>
    <w:rsid w:val="006905AE"/>
    <w:rsid w:val="00690C64"/>
    <w:rsid w:val="00690CB5"/>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53DB"/>
    <w:rsid w:val="006C5D1D"/>
    <w:rsid w:val="006C62CF"/>
    <w:rsid w:val="006C74AE"/>
    <w:rsid w:val="006D070F"/>
    <w:rsid w:val="006D1D1C"/>
    <w:rsid w:val="006D1D31"/>
    <w:rsid w:val="006D238C"/>
    <w:rsid w:val="006D30F9"/>
    <w:rsid w:val="006D411D"/>
    <w:rsid w:val="006D510F"/>
    <w:rsid w:val="006D6013"/>
    <w:rsid w:val="006D666F"/>
    <w:rsid w:val="006D6C76"/>
    <w:rsid w:val="006E08AE"/>
    <w:rsid w:val="006E1570"/>
    <w:rsid w:val="006E2765"/>
    <w:rsid w:val="006E36AE"/>
    <w:rsid w:val="006E3EFC"/>
    <w:rsid w:val="006E422E"/>
    <w:rsid w:val="006E599A"/>
    <w:rsid w:val="006E5B74"/>
    <w:rsid w:val="006E5FC7"/>
    <w:rsid w:val="006E7E48"/>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EF6"/>
    <w:rsid w:val="007031DE"/>
    <w:rsid w:val="0070347C"/>
    <w:rsid w:val="00703F4E"/>
    <w:rsid w:val="007040D3"/>
    <w:rsid w:val="0070429E"/>
    <w:rsid w:val="00704DFC"/>
    <w:rsid w:val="00705001"/>
    <w:rsid w:val="00706101"/>
    <w:rsid w:val="00710302"/>
    <w:rsid w:val="00710B94"/>
    <w:rsid w:val="00711A16"/>
    <w:rsid w:val="0071255E"/>
    <w:rsid w:val="007133B7"/>
    <w:rsid w:val="007176C1"/>
    <w:rsid w:val="00717D7D"/>
    <w:rsid w:val="00720960"/>
    <w:rsid w:val="00721914"/>
    <w:rsid w:val="00721F48"/>
    <w:rsid w:val="0072240D"/>
    <w:rsid w:val="00722E11"/>
    <w:rsid w:val="00723F8C"/>
    <w:rsid w:val="00724DA7"/>
    <w:rsid w:val="00730966"/>
    <w:rsid w:val="007315EC"/>
    <w:rsid w:val="00731976"/>
    <w:rsid w:val="00732B3C"/>
    <w:rsid w:val="007338CE"/>
    <w:rsid w:val="00737032"/>
    <w:rsid w:val="00741530"/>
    <w:rsid w:val="0074404B"/>
    <w:rsid w:val="007452D8"/>
    <w:rsid w:val="00746808"/>
    <w:rsid w:val="00746F5E"/>
    <w:rsid w:val="00747101"/>
    <w:rsid w:val="0074741C"/>
    <w:rsid w:val="00747CE8"/>
    <w:rsid w:val="0075071B"/>
    <w:rsid w:val="00751DF1"/>
    <w:rsid w:val="00752E98"/>
    <w:rsid w:val="00754406"/>
    <w:rsid w:val="007560C5"/>
    <w:rsid w:val="007562D7"/>
    <w:rsid w:val="00756AB2"/>
    <w:rsid w:val="00756BB3"/>
    <w:rsid w:val="00756FE9"/>
    <w:rsid w:val="00760135"/>
    <w:rsid w:val="00762229"/>
    <w:rsid w:val="0076271C"/>
    <w:rsid w:val="007629C6"/>
    <w:rsid w:val="00763C21"/>
    <w:rsid w:val="00764048"/>
    <w:rsid w:val="00764136"/>
    <w:rsid w:val="00764245"/>
    <w:rsid w:val="007645D3"/>
    <w:rsid w:val="00766709"/>
    <w:rsid w:val="00766D06"/>
    <w:rsid w:val="00766E2D"/>
    <w:rsid w:val="00766FFC"/>
    <w:rsid w:val="00770873"/>
    <w:rsid w:val="00770A13"/>
    <w:rsid w:val="007761EA"/>
    <w:rsid w:val="00776E3F"/>
    <w:rsid w:val="007774AE"/>
    <w:rsid w:val="0077765F"/>
    <w:rsid w:val="00780473"/>
    <w:rsid w:val="00780C49"/>
    <w:rsid w:val="00781558"/>
    <w:rsid w:val="00781A42"/>
    <w:rsid w:val="00781B1B"/>
    <w:rsid w:val="00782E4A"/>
    <w:rsid w:val="007833BE"/>
    <w:rsid w:val="00783FCA"/>
    <w:rsid w:val="00785A17"/>
    <w:rsid w:val="00787D26"/>
    <w:rsid w:val="00790A7E"/>
    <w:rsid w:val="00790F2F"/>
    <w:rsid w:val="007933FA"/>
    <w:rsid w:val="0079379B"/>
    <w:rsid w:val="007948F5"/>
    <w:rsid w:val="00795192"/>
    <w:rsid w:val="007A00A4"/>
    <w:rsid w:val="007A0440"/>
    <w:rsid w:val="007A0CD4"/>
    <w:rsid w:val="007A126E"/>
    <w:rsid w:val="007A1B95"/>
    <w:rsid w:val="007A1DC4"/>
    <w:rsid w:val="007A2FAC"/>
    <w:rsid w:val="007A43B7"/>
    <w:rsid w:val="007A4735"/>
    <w:rsid w:val="007A4A2C"/>
    <w:rsid w:val="007A74E8"/>
    <w:rsid w:val="007A75DC"/>
    <w:rsid w:val="007A7E94"/>
    <w:rsid w:val="007B0934"/>
    <w:rsid w:val="007B46AA"/>
    <w:rsid w:val="007B4DF5"/>
    <w:rsid w:val="007B666D"/>
    <w:rsid w:val="007C1706"/>
    <w:rsid w:val="007C284E"/>
    <w:rsid w:val="007C43A7"/>
    <w:rsid w:val="007C559C"/>
    <w:rsid w:val="007D0A0D"/>
    <w:rsid w:val="007D1A04"/>
    <w:rsid w:val="007D27E3"/>
    <w:rsid w:val="007D2CCC"/>
    <w:rsid w:val="007D4E20"/>
    <w:rsid w:val="007D56D0"/>
    <w:rsid w:val="007D5999"/>
    <w:rsid w:val="007D6D51"/>
    <w:rsid w:val="007D7882"/>
    <w:rsid w:val="007E003F"/>
    <w:rsid w:val="007E040A"/>
    <w:rsid w:val="007E16AC"/>
    <w:rsid w:val="007E1B56"/>
    <w:rsid w:val="007E2C1D"/>
    <w:rsid w:val="007E35E7"/>
    <w:rsid w:val="007E3D41"/>
    <w:rsid w:val="007E5665"/>
    <w:rsid w:val="007E6185"/>
    <w:rsid w:val="007F13BF"/>
    <w:rsid w:val="007F166F"/>
    <w:rsid w:val="007F1B67"/>
    <w:rsid w:val="007F3451"/>
    <w:rsid w:val="007F4174"/>
    <w:rsid w:val="007F4224"/>
    <w:rsid w:val="007F4FEF"/>
    <w:rsid w:val="007F5198"/>
    <w:rsid w:val="007F55CB"/>
    <w:rsid w:val="007F65BF"/>
    <w:rsid w:val="007F799E"/>
    <w:rsid w:val="007F7BB5"/>
    <w:rsid w:val="007F7C67"/>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56BF"/>
    <w:rsid w:val="00826602"/>
    <w:rsid w:val="0082709B"/>
    <w:rsid w:val="0082784E"/>
    <w:rsid w:val="00827F37"/>
    <w:rsid w:val="00831506"/>
    <w:rsid w:val="008317F6"/>
    <w:rsid w:val="00831A40"/>
    <w:rsid w:val="00831B11"/>
    <w:rsid w:val="00836708"/>
    <w:rsid w:val="00837584"/>
    <w:rsid w:val="00841FF1"/>
    <w:rsid w:val="00842179"/>
    <w:rsid w:val="00843B00"/>
    <w:rsid w:val="00844750"/>
    <w:rsid w:val="008447FC"/>
    <w:rsid w:val="0084488A"/>
    <w:rsid w:val="008458F5"/>
    <w:rsid w:val="00847240"/>
    <w:rsid w:val="00852A9E"/>
    <w:rsid w:val="00853415"/>
    <w:rsid w:val="00856B6B"/>
    <w:rsid w:val="00856D39"/>
    <w:rsid w:val="0085701B"/>
    <w:rsid w:val="00857D4E"/>
    <w:rsid w:val="00860332"/>
    <w:rsid w:val="008610D6"/>
    <w:rsid w:val="00862738"/>
    <w:rsid w:val="008627DA"/>
    <w:rsid w:val="00863DE5"/>
    <w:rsid w:val="00865A2D"/>
    <w:rsid w:val="00866073"/>
    <w:rsid w:val="00866A05"/>
    <w:rsid w:val="00866DC7"/>
    <w:rsid w:val="00867D05"/>
    <w:rsid w:val="00870600"/>
    <w:rsid w:val="00871976"/>
    <w:rsid w:val="00871A2A"/>
    <w:rsid w:val="00871EF4"/>
    <w:rsid w:val="00873ADC"/>
    <w:rsid w:val="00873C52"/>
    <w:rsid w:val="0087460B"/>
    <w:rsid w:val="00875D22"/>
    <w:rsid w:val="00877D2F"/>
    <w:rsid w:val="00880328"/>
    <w:rsid w:val="0088106D"/>
    <w:rsid w:val="00881626"/>
    <w:rsid w:val="00882BDA"/>
    <w:rsid w:val="00883AC8"/>
    <w:rsid w:val="00886AF2"/>
    <w:rsid w:val="00890363"/>
    <w:rsid w:val="00891388"/>
    <w:rsid w:val="00891F11"/>
    <w:rsid w:val="00892C84"/>
    <w:rsid w:val="00893025"/>
    <w:rsid w:val="008939F4"/>
    <w:rsid w:val="008948FE"/>
    <w:rsid w:val="00894A46"/>
    <w:rsid w:val="008962BF"/>
    <w:rsid w:val="008A1754"/>
    <w:rsid w:val="008A2B09"/>
    <w:rsid w:val="008A425C"/>
    <w:rsid w:val="008A42E1"/>
    <w:rsid w:val="008B0281"/>
    <w:rsid w:val="008B0450"/>
    <w:rsid w:val="008B33B3"/>
    <w:rsid w:val="008B4076"/>
    <w:rsid w:val="008B44C4"/>
    <w:rsid w:val="008B7879"/>
    <w:rsid w:val="008C090B"/>
    <w:rsid w:val="008C1DD8"/>
    <w:rsid w:val="008C2D2F"/>
    <w:rsid w:val="008C3758"/>
    <w:rsid w:val="008C39AC"/>
    <w:rsid w:val="008C4B68"/>
    <w:rsid w:val="008C52FB"/>
    <w:rsid w:val="008C54B7"/>
    <w:rsid w:val="008C5876"/>
    <w:rsid w:val="008C604C"/>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55A8"/>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178E"/>
    <w:rsid w:val="009117E5"/>
    <w:rsid w:val="00911A33"/>
    <w:rsid w:val="00911BF7"/>
    <w:rsid w:val="00912093"/>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64A"/>
    <w:rsid w:val="009279E7"/>
    <w:rsid w:val="00930103"/>
    <w:rsid w:val="00930892"/>
    <w:rsid w:val="00931042"/>
    <w:rsid w:val="0093108A"/>
    <w:rsid w:val="0093159D"/>
    <w:rsid w:val="009320E0"/>
    <w:rsid w:val="00934799"/>
    <w:rsid w:val="00934D4C"/>
    <w:rsid w:val="00936388"/>
    <w:rsid w:val="00936F5A"/>
    <w:rsid w:val="00937128"/>
    <w:rsid w:val="00940967"/>
    <w:rsid w:val="00941BAD"/>
    <w:rsid w:val="009421DE"/>
    <w:rsid w:val="00942EC6"/>
    <w:rsid w:val="00944BFA"/>
    <w:rsid w:val="009470BD"/>
    <w:rsid w:val="00950FD3"/>
    <w:rsid w:val="00952A6D"/>
    <w:rsid w:val="00952FDB"/>
    <w:rsid w:val="00954692"/>
    <w:rsid w:val="00955275"/>
    <w:rsid w:val="009556DB"/>
    <w:rsid w:val="0095574D"/>
    <w:rsid w:val="009560B5"/>
    <w:rsid w:val="0095667F"/>
    <w:rsid w:val="009618D5"/>
    <w:rsid w:val="00961A12"/>
    <w:rsid w:val="00962C19"/>
    <w:rsid w:val="00963E6C"/>
    <w:rsid w:val="0096487B"/>
    <w:rsid w:val="00964B4C"/>
    <w:rsid w:val="00964F18"/>
    <w:rsid w:val="00965C1B"/>
    <w:rsid w:val="00970F6B"/>
    <w:rsid w:val="00971562"/>
    <w:rsid w:val="009720E7"/>
    <w:rsid w:val="00975F2A"/>
    <w:rsid w:val="00975FF3"/>
    <w:rsid w:val="00977903"/>
    <w:rsid w:val="00977EC8"/>
    <w:rsid w:val="00980780"/>
    <w:rsid w:val="00981B47"/>
    <w:rsid w:val="00981ED3"/>
    <w:rsid w:val="00982C46"/>
    <w:rsid w:val="00983DA0"/>
    <w:rsid w:val="00984C95"/>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2DA"/>
    <w:rsid w:val="009A3A97"/>
    <w:rsid w:val="009A3D55"/>
    <w:rsid w:val="009A45C7"/>
    <w:rsid w:val="009A4ECA"/>
    <w:rsid w:val="009A68C1"/>
    <w:rsid w:val="009A6A9E"/>
    <w:rsid w:val="009A7A3E"/>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E352A"/>
    <w:rsid w:val="009E40CB"/>
    <w:rsid w:val="009E4BFE"/>
    <w:rsid w:val="009E5160"/>
    <w:rsid w:val="009E5A9D"/>
    <w:rsid w:val="009E7956"/>
    <w:rsid w:val="009E7F5F"/>
    <w:rsid w:val="009F00EB"/>
    <w:rsid w:val="009F02FE"/>
    <w:rsid w:val="009F0985"/>
    <w:rsid w:val="009F1089"/>
    <w:rsid w:val="009F1B84"/>
    <w:rsid w:val="009F2AD9"/>
    <w:rsid w:val="009F3A13"/>
    <w:rsid w:val="009F525B"/>
    <w:rsid w:val="009F6BF5"/>
    <w:rsid w:val="009F7105"/>
    <w:rsid w:val="009F78FD"/>
    <w:rsid w:val="009F7DCC"/>
    <w:rsid w:val="00A00BB7"/>
    <w:rsid w:val="00A0313F"/>
    <w:rsid w:val="00A03BC2"/>
    <w:rsid w:val="00A050FA"/>
    <w:rsid w:val="00A056EB"/>
    <w:rsid w:val="00A05976"/>
    <w:rsid w:val="00A06EC3"/>
    <w:rsid w:val="00A103AF"/>
    <w:rsid w:val="00A133A9"/>
    <w:rsid w:val="00A1345E"/>
    <w:rsid w:val="00A14D76"/>
    <w:rsid w:val="00A14E46"/>
    <w:rsid w:val="00A157F1"/>
    <w:rsid w:val="00A16533"/>
    <w:rsid w:val="00A21731"/>
    <w:rsid w:val="00A219B9"/>
    <w:rsid w:val="00A21A8C"/>
    <w:rsid w:val="00A22F84"/>
    <w:rsid w:val="00A2409B"/>
    <w:rsid w:val="00A2492E"/>
    <w:rsid w:val="00A24CAA"/>
    <w:rsid w:val="00A24FEE"/>
    <w:rsid w:val="00A26FAB"/>
    <w:rsid w:val="00A319C7"/>
    <w:rsid w:val="00A326FA"/>
    <w:rsid w:val="00A330FA"/>
    <w:rsid w:val="00A33846"/>
    <w:rsid w:val="00A34891"/>
    <w:rsid w:val="00A349B9"/>
    <w:rsid w:val="00A35E18"/>
    <w:rsid w:val="00A363C2"/>
    <w:rsid w:val="00A37569"/>
    <w:rsid w:val="00A3791E"/>
    <w:rsid w:val="00A37B57"/>
    <w:rsid w:val="00A40C86"/>
    <w:rsid w:val="00A4137C"/>
    <w:rsid w:val="00A41487"/>
    <w:rsid w:val="00A42102"/>
    <w:rsid w:val="00A426F9"/>
    <w:rsid w:val="00A435BA"/>
    <w:rsid w:val="00A439FC"/>
    <w:rsid w:val="00A447F2"/>
    <w:rsid w:val="00A455E2"/>
    <w:rsid w:val="00A472EE"/>
    <w:rsid w:val="00A47D22"/>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63CA"/>
    <w:rsid w:val="00A667AB"/>
    <w:rsid w:val="00A67496"/>
    <w:rsid w:val="00A70163"/>
    <w:rsid w:val="00A70C7C"/>
    <w:rsid w:val="00A70EF3"/>
    <w:rsid w:val="00A70F3A"/>
    <w:rsid w:val="00A71547"/>
    <w:rsid w:val="00A7321A"/>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69F"/>
    <w:rsid w:val="00AA1932"/>
    <w:rsid w:val="00AA3C33"/>
    <w:rsid w:val="00AA477F"/>
    <w:rsid w:val="00AA4811"/>
    <w:rsid w:val="00AA67FD"/>
    <w:rsid w:val="00AB0493"/>
    <w:rsid w:val="00AB080B"/>
    <w:rsid w:val="00AB0BCE"/>
    <w:rsid w:val="00AB21D5"/>
    <w:rsid w:val="00AB279F"/>
    <w:rsid w:val="00AB42A6"/>
    <w:rsid w:val="00AB5C15"/>
    <w:rsid w:val="00AB6520"/>
    <w:rsid w:val="00AB6D3F"/>
    <w:rsid w:val="00AC00AD"/>
    <w:rsid w:val="00AC1605"/>
    <w:rsid w:val="00AC163E"/>
    <w:rsid w:val="00AC17D7"/>
    <w:rsid w:val="00AC1980"/>
    <w:rsid w:val="00AC22AC"/>
    <w:rsid w:val="00AC2908"/>
    <w:rsid w:val="00AC39A0"/>
    <w:rsid w:val="00AC48E7"/>
    <w:rsid w:val="00AC4A31"/>
    <w:rsid w:val="00AC665D"/>
    <w:rsid w:val="00AC67A1"/>
    <w:rsid w:val="00AC797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8E3"/>
    <w:rsid w:val="00AE2C45"/>
    <w:rsid w:val="00AE352C"/>
    <w:rsid w:val="00AE656F"/>
    <w:rsid w:val="00AE698F"/>
    <w:rsid w:val="00AE794F"/>
    <w:rsid w:val="00AF3617"/>
    <w:rsid w:val="00AF3F1F"/>
    <w:rsid w:val="00AF5C5D"/>
    <w:rsid w:val="00AF7B3E"/>
    <w:rsid w:val="00B000BA"/>
    <w:rsid w:val="00B00816"/>
    <w:rsid w:val="00B00F9B"/>
    <w:rsid w:val="00B014EB"/>
    <w:rsid w:val="00B02105"/>
    <w:rsid w:val="00B0312A"/>
    <w:rsid w:val="00B0320A"/>
    <w:rsid w:val="00B06CBA"/>
    <w:rsid w:val="00B0786E"/>
    <w:rsid w:val="00B10743"/>
    <w:rsid w:val="00B10900"/>
    <w:rsid w:val="00B11D0C"/>
    <w:rsid w:val="00B11FED"/>
    <w:rsid w:val="00B12AB4"/>
    <w:rsid w:val="00B13CFE"/>
    <w:rsid w:val="00B15BC3"/>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1E9D"/>
    <w:rsid w:val="00B52D31"/>
    <w:rsid w:val="00B533EA"/>
    <w:rsid w:val="00B53D3E"/>
    <w:rsid w:val="00B54A7C"/>
    <w:rsid w:val="00B55129"/>
    <w:rsid w:val="00B56B07"/>
    <w:rsid w:val="00B573C6"/>
    <w:rsid w:val="00B61990"/>
    <w:rsid w:val="00B61D66"/>
    <w:rsid w:val="00B638AD"/>
    <w:rsid w:val="00B639FA"/>
    <w:rsid w:val="00B706B3"/>
    <w:rsid w:val="00B71650"/>
    <w:rsid w:val="00B72902"/>
    <w:rsid w:val="00B73F31"/>
    <w:rsid w:val="00B7570F"/>
    <w:rsid w:val="00B778BF"/>
    <w:rsid w:val="00B82108"/>
    <w:rsid w:val="00B83AD7"/>
    <w:rsid w:val="00B83BE4"/>
    <w:rsid w:val="00B84400"/>
    <w:rsid w:val="00B8486B"/>
    <w:rsid w:val="00B85D99"/>
    <w:rsid w:val="00B867C5"/>
    <w:rsid w:val="00B869AF"/>
    <w:rsid w:val="00B87B97"/>
    <w:rsid w:val="00B927C7"/>
    <w:rsid w:val="00B93033"/>
    <w:rsid w:val="00B93E72"/>
    <w:rsid w:val="00B96C98"/>
    <w:rsid w:val="00B9764D"/>
    <w:rsid w:val="00B97A4D"/>
    <w:rsid w:val="00BA0B84"/>
    <w:rsid w:val="00BA20F0"/>
    <w:rsid w:val="00BA2AFD"/>
    <w:rsid w:val="00BA2B3B"/>
    <w:rsid w:val="00BA2F7C"/>
    <w:rsid w:val="00BA3A7E"/>
    <w:rsid w:val="00BA3EC2"/>
    <w:rsid w:val="00BA5166"/>
    <w:rsid w:val="00BA5C78"/>
    <w:rsid w:val="00BB0CEA"/>
    <w:rsid w:val="00BB1AFA"/>
    <w:rsid w:val="00BB1F39"/>
    <w:rsid w:val="00BB2721"/>
    <w:rsid w:val="00BB41A8"/>
    <w:rsid w:val="00BB43AB"/>
    <w:rsid w:val="00BB5994"/>
    <w:rsid w:val="00BB6840"/>
    <w:rsid w:val="00BB69D0"/>
    <w:rsid w:val="00BC12A3"/>
    <w:rsid w:val="00BC150F"/>
    <w:rsid w:val="00BC205E"/>
    <w:rsid w:val="00BC4943"/>
    <w:rsid w:val="00BC6713"/>
    <w:rsid w:val="00BC6718"/>
    <w:rsid w:val="00BD1D5E"/>
    <w:rsid w:val="00BD46E0"/>
    <w:rsid w:val="00BD4C3C"/>
    <w:rsid w:val="00BD4F5D"/>
    <w:rsid w:val="00BD5461"/>
    <w:rsid w:val="00BD6F1A"/>
    <w:rsid w:val="00BD71C8"/>
    <w:rsid w:val="00BD771C"/>
    <w:rsid w:val="00BD791E"/>
    <w:rsid w:val="00BD7960"/>
    <w:rsid w:val="00BD7A93"/>
    <w:rsid w:val="00BD7E1A"/>
    <w:rsid w:val="00BE0841"/>
    <w:rsid w:val="00BE0A14"/>
    <w:rsid w:val="00BE15E7"/>
    <w:rsid w:val="00BE180A"/>
    <w:rsid w:val="00BE19B8"/>
    <w:rsid w:val="00BE2526"/>
    <w:rsid w:val="00BE2ABF"/>
    <w:rsid w:val="00BE34CB"/>
    <w:rsid w:val="00BE45C8"/>
    <w:rsid w:val="00BE4BCF"/>
    <w:rsid w:val="00BE78EB"/>
    <w:rsid w:val="00BE7B88"/>
    <w:rsid w:val="00BF0556"/>
    <w:rsid w:val="00BF12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77B2"/>
    <w:rsid w:val="00C07B09"/>
    <w:rsid w:val="00C11802"/>
    <w:rsid w:val="00C13EF8"/>
    <w:rsid w:val="00C145BF"/>
    <w:rsid w:val="00C15B36"/>
    <w:rsid w:val="00C15CB8"/>
    <w:rsid w:val="00C16BB7"/>
    <w:rsid w:val="00C17138"/>
    <w:rsid w:val="00C21B82"/>
    <w:rsid w:val="00C24B53"/>
    <w:rsid w:val="00C24E22"/>
    <w:rsid w:val="00C25547"/>
    <w:rsid w:val="00C261F8"/>
    <w:rsid w:val="00C2665A"/>
    <w:rsid w:val="00C30775"/>
    <w:rsid w:val="00C30EAF"/>
    <w:rsid w:val="00C3265D"/>
    <w:rsid w:val="00C33100"/>
    <w:rsid w:val="00C3460E"/>
    <w:rsid w:val="00C3499D"/>
    <w:rsid w:val="00C3680E"/>
    <w:rsid w:val="00C37521"/>
    <w:rsid w:val="00C414C5"/>
    <w:rsid w:val="00C44A48"/>
    <w:rsid w:val="00C450C2"/>
    <w:rsid w:val="00C4571C"/>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CE2"/>
    <w:rsid w:val="00C6664E"/>
    <w:rsid w:val="00C67AD2"/>
    <w:rsid w:val="00C70623"/>
    <w:rsid w:val="00C70CA1"/>
    <w:rsid w:val="00C7350D"/>
    <w:rsid w:val="00C749D5"/>
    <w:rsid w:val="00C74E2D"/>
    <w:rsid w:val="00C75383"/>
    <w:rsid w:val="00C75525"/>
    <w:rsid w:val="00C75C94"/>
    <w:rsid w:val="00C766CA"/>
    <w:rsid w:val="00C774C0"/>
    <w:rsid w:val="00C80964"/>
    <w:rsid w:val="00C80CB7"/>
    <w:rsid w:val="00C81DB5"/>
    <w:rsid w:val="00C8319F"/>
    <w:rsid w:val="00C83AC3"/>
    <w:rsid w:val="00C85C16"/>
    <w:rsid w:val="00C860F8"/>
    <w:rsid w:val="00C92863"/>
    <w:rsid w:val="00C940E9"/>
    <w:rsid w:val="00C94120"/>
    <w:rsid w:val="00C94C19"/>
    <w:rsid w:val="00C95322"/>
    <w:rsid w:val="00C95729"/>
    <w:rsid w:val="00C95960"/>
    <w:rsid w:val="00C95E88"/>
    <w:rsid w:val="00C95EA0"/>
    <w:rsid w:val="00C96972"/>
    <w:rsid w:val="00C971C3"/>
    <w:rsid w:val="00CA13E3"/>
    <w:rsid w:val="00CA23DA"/>
    <w:rsid w:val="00CA2B00"/>
    <w:rsid w:val="00CA4776"/>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623D"/>
    <w:rsid w:val="00CC7328"/>
    <w:rsid w:val="00CC7498"/>
    <w:rsid w:val="00CC7725"/>
    <w:rsid w:val="00CC7A67"/>
    <w:rsid w:val="00CD0B47"/>
    <w:rsid w:val="00CD1A71"/>
    <w:rsid w:val="00CD1FBB"/>
    <w:rsid w:val="00CD35AF"/>
    <w:rsid w:val="00CD540D"/>
    <w:rsid w:val="00CD5B18"/>
    <w:rsid w:val="00CD711F"/>
    <w:rsid w:val="00CD7169"/>
    <w:rsid w:val="00CD74EB"/>
    <w:rsid w:val="00CD7CCC"/>
    <w:rsid w:val="00CE16A9"/>
    <w:rsid w:val="00CE21E5"/>
    <w:rsid w:val="00CE32FE"/>
    <w:rsid w:val="00CE341F"/>
    <w:rsid w:val="00CE39EA"/>
    <w:rsid w:val="00CE5A9C"/>
    <w:rsid w:val="00CE60A9"/>
    <w:rsid w:val="00CE7227"/>
    <w:rsid w:val="00CF22B0"/>
    <w:rsid w:val="00CF3FD0"/>
    <w:rsid w:val="00CF51FA"/>
    <w:rsid w:val="00CF5A0C"/>
    <w:rsid w:val="00CF7972"/>
    <w:rsid w:val="00CF7B91"/>
    <w:rsid w:val="00D013EA"/>
    <w:rsid w:val="00D016B5"/>
    <w:rsid w:val="00D02FF3"/>
    <w:rsid w:val="00D03493"/>
    <w:rsid w:val="00D034F1"/>
    <w:rsid w:val="00D044D0"/>
    <w:rsid w:val="00D06186"/>
    <w:rsid w:val="00D06DEF"/>
    <w:rsid w:val="00D0779E"/>
    <w:rsid w:val="00D11B17"/>
    <w:rsid w:val="00D11DC3"/>
    <w:rsid w:val="00D11FC9"/>
    <w:rsid w:val="00D142CE"/>
    <w:rsid w:val="00D14DEA"/>
    <w:rsid w:val="00D15919"/>
    <w:rsid w:val="00D16AB4"/>
    <w:rsid w:val="00D17AAA"/>
    <w:rsid w:val="00D17B35"/>
    <w:rsid w:val="00D203F4"/>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F95"/>
    <w:rsid w:val="00D40FC2"/>
    <w:rsid w:val="00D42542"/>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376E"/>
    <w:rsid w:val="00D6454D"/>
    <w:rsid w:val="00D64A29"/>
    <w:rsid w:val="00D66BC5"/>
    <w:rsid w:val="00D715F3"/>
    <w:rsid w:val="00D74C4B"/>
    <w:rsid w:val="00D753ED"/>
    <w:rsid w:val="00D76268"/>
    <w:rsid w:val="00D76640"/>
    <w:rsid w:val="00D777C4"/>
    <w:rsid w:val="00D803BB"/>
    <w:rsid w:val="00D83205"/>
    <w:rsid w:val="00D834ED"/>
    <w:rsid w:val="00D904E5"/>
    <w:rsid w:val="00D9078E"/>
    <w:rsid w:val="00D9454D"/>
    <w:rsid w:val="00D94B6E"/>
    <w:rsid w:val="00D967C7"/>
    <w:rsid w:val="00D96BEB"/>
    <w:rsid w:val="00D97750"/>
    <w:rsid w:val="00DA069B"/>
    <w:rsid w:val="00DA153B"/>
    <w:rsid w:val="00DA164D"/>
    <w:rsid w:val="00DA33D0"/>
    <w:rsid w:val="00DA363C"/>
    <w:rsid w:val="00DA3B70"/>
    <w:rsid w:val="00DA4CEF"/>
    <w:rsid w:val="00DA57D4"/>
    <w:rsid w:val="00DA7672"/>
    <w:rsid w:val="00DB2190"/>
    <w:rsid w:val="00DB317A"/>
    <w:rsid w:val="00DB4793"/>
    <w:rsid w:val="00DC31CF"/>
    <w:rsid w:val="00DC3460"/>
    <w:rsid w:val="00DC4411"/>
    <w:rsid w:val="00DC441F"/>
    <w:rsid w:val="00DC4D7F"/>
    <w:rsid w:val="00DC549D"/>
    <w:rsid w:val="00DC6FF4"/>
    <w:rsid w:val="00DC7958"/>
    <w:rsid w:val="00DC79CB"/>
    <w:rsid w:val="00DD0B7D"/>
    <w:rsid w:val="00DD3462"/>
    <w:rsid w:val="00DD5B20"/>
    <w:rsid w:val="00DD62FC"/>
    <w:rsid w:val="00DD6E2C"/>
    <w:rsid w:val="00DD6FBB"/>
    <w:rsid w:val="00DD7D17"/>
    <w:rsid w:val="00DE01E3"/>
    <w:rsid w:val="00DE17DD"/>
    <w:rsid w:val="00DE2D26"/>
    <w:rsid w:val="00DE38EA"/>
    <w:rsid w:val="00DE50C1"/>
    <w:rsid w:val="00DE6023"/>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B7"/>
    <w:rsid w:val="00E0413C"/>
    <w:rsid w:val="00E04CA6"/>
    <w:rsid w:val="00E0546B"/>
    <w:rsid w:val="00E068D2"/>
    <w:rsid w:val="00E079ED"/>
    <w:rsid w:val="00E103FE"/>
    <w:rsid w:val="00E11C51"/>
    <w:rsid w:val="00E11E1A"/>
    <w:rsid w:val="00E12FAA"/>
    <w:rsid w:val="00E14106"/>
    <w:rsid w:val="00E15250"/>
    <w:rsid w:val="00E156F4"/>
    <w:rsid w:val="00E158BD"/>
    <w:rsid w:val="00E16C22"/>
    <w:rsid w:val="00E16DBE"/>
    <w:rsid w:val="00E16EAA"/>
    <w:rsid w:val="00E212F0"/>
    <w:rsid w:val="00E23791"/>
    <w:rsid w:val="00E24B8E"/>
    <w:rsid w:val="00E24FC4"/>
    <w:rsid w:val="00E258E6"/>
    <w:rsid w:val="00E259A2"/>
    <w:rsid w:val="00E25B9F"/>
    <w:rsid w:val="00E25CEE"/>
    <w:rsid w:val="00E26C31"/>
    <w:rsid w:val="00E27241"/>
    <w:rsid w:val="00E2750D"/>
    <w:rsid w:val="00E27D2D"/>
    <w:rsid w:val="00E31AB4"/>
    <w:rsid w:val="00E32427"/>
    <w:rsid w:val="00E35D77"/>
    <w:rsid w:val="00E366EE"/>
    <w:rsid w:val="00E417DE"/>
    <w:rsid w:val="00E42D23"/>
    <w:rsid w:val="00E42F9B"/>
    <w:rsid w:val="00E4491D"/>
    <w:rsid w:val="00E44E7C"/>
    <w:rsid w:val="00E457C7"/>
    <w:rsid w:val="00E467D9"/>
    <w:rsid w:val="00E47131"/>
    <w:rsid w:val="00E528F1"/>
    <w:rsid w:val="00E5304E"/>
    <w:rsid w:val="00E534E5"/>
    <w:rsid w:val="00E55963"/>
    <w:rsid w:val="00E55BB7"/>
    <w:rsid w:val="00E55C2C"/>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BC5"/>
    <w:rsid w:val="00E67FDB"/>
    <w:rsid w:val="00E7016C"/>
    <w:rsid w:val="00E716A2"/>
    <w:rsid w:val="00E72DBF"/>
    <w:rsid w:val="00E73CAF"/>
    <w:rsid w:val="00E74A8A"/>
    <w:rsid w:val="00E75398"/>
    <w:rsid w:val="00E769F6"/>
    <w:rsid w:val="00E81E94"/>
    <w:rsid w:val="00E81F87"/>
    <w:rsid w:val="00E82607"/>
    <w:rsid w:val="00E833AF"/>
    <w:rsid w:val="00E84BBA"/>
    <w:rsid w:val="00E84E79"/>
    <w:rsid w:val="00E85DB5"/>
    <w:rsid w:val="00E904A7"/>
    <w:rsid w:val="00E910F9"/>
    <w:rsid w:val="00E92ADE"/>
    <w:rsid w:val="00E92C36"/>
    <w:rsid w:val="00E9338B"/>
    <w:rsid w:val="00E9581D"/>
    <w:rsid w:val="00E95973"/>
    <w:rsid w:val="00E978A0"/>
    <w:rsid w:val="00EA31C2"/>
    <w:rsid w:val="00EA440B"/>
    <w:rsid w:val="00EA4B20"/>
    <w:rsid w:val="00EB0196"/>
    <w:rsid w:val="00EB04A0"/>
    <w:rsid w:val="00EB271D"/>
    <w:rsid w:val="00EB2792"/>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8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1494"/>
    <w:rsid w:val="00F1175A"/>
    <w:rsid w:val="00F125DB"/>
    <w:rsid w:val="00F14CEC"/>
    <w:rsid w:val="00F15C00"/>
    <w:rsid w:val="00F15E15"/>
    <w:rsid w:val="00F1611F"/>
    <w:rsid w:val="00F16AC6"/>
    <w:rsid w:val="00F20C8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5D9E"/>
    <w:rsid w:val="00F36E9E"/>
    <w:rsid w:val="00F400C1"/>
    <w:rsid w:val="00F40135"/>
    <w:rsid w:val="00F413C9"/>
    <w:rsid w:val="00F421CB"/>
    <w:rsid w:val="00F436E6"/>
    <w:rsid w:val="00F447F6"/>
    <w:rsid w:val="00F44DA6"/>
    <w:rsid w:val="00F47712"/>
    <w:rsid w:val="00F50DDA"/>
    <w:rsid w:val="00F51F96"/>
    <w:rsid w:val="00F52711"/>
    <w:rsid w:val="00F54503"/>
    <w:rsid w:val="00F5473B"/>
    <w:rsid w:val="00F54E2D"/>
    <w:rsid w:val="00F56037"/>
    <w:rsid w:val="00F5631D"/>
    <w:rsid w:val="00F56D20"/>
    <w:rsid w:val="00F57129"/>
    <w:rsid w:val="00F60122"/>
    <w:rsid w:val="00F60C3A"/>
    <w:rsid w:val="00F60DCA"/>
    <w:rsid w:val="00F60F81"/>
    <w:rsid w:val="00F610A1"/>
    <w:rsid w:val="00F614CA"/>
    <w:rsid w:val="00F627AE"/>
    <w:rsid w:val="00F6284B"/>
    <w:rsid w:val="00F62C72"/>
    <w:rsid w:val="00F63624"/>
    <w:rsid w:val="00F65A1B"/>
    <w:rsid w:val="00F6679D"/>
    <w:rsid w:val="00F66822"/>
    <w:rsid w:val="00F70B70"/>
    <w:rsid w:val="00F70D48"/>
    <w:rsid w:val="00F71E2D"/>
    <w:rsid w:val="00F71E77"/>
    <w:rsid w:val="00F7284B"/>
    <w:rsid w:val="00F7527C"/>
    <w:rsid w:val="00F80000"/>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5161"/>
    <w:rsid w:val="00F95CCB"/>
    <w:rsid w:val="00F96B3F"/>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43DE"/>
    <w:rsid w:val="00FB457B"/>
    <w:rsid w:val="00FB4C51"/>
    <w:rsid w:val="00FB4DB2"/>
    <w:rsid w:val="00FB630C"/>
    <w:rsid w:val="00FB7B46"/>
    <w:rsid w:val="00FC05F5"/>
    <w:rsid w:val="00FC0C10"/>
    <w:rsid w:val="00FC0CE2"/>
    <w:rsid w:val="00FC0F63"/>
    <w:rsid w:val="00FC17F8"/>
    <w:rsid w:val="00FC2747"/>
    <w:rsid w:val="00FC50B0"/>
    <w:rsid w:val="00FC7555"/>
    <w:rsid w:val="00FD04D2"/>
    <w:rsid w:val="00FD1458"/>
    <w:rsid w:val="00FD2942"/>
    <w:rsid w:val="00FD3F34"/>
    <w:rsid w:val="00FD3F6E"/>
    <w:rsid w:val="00FD56E6"/>
    <w:rsid w:val="00FE0C59"/>
    <w:rsid w:val="00FE10A7"/>
    <w:rsid w:val="00FE19D6"/>
    <w:rsid w:val="00FE1BA8"/>
    <w:rsid w:val="00FE233C"/>
    <w:rsid w:val="00FE239C"/>
    <w:rsid w:val="00FE2B2F"/>
    <w:rsid w:val="00FE3527"/>
    <w:rsid w:val="00FE3619"/>
    <w:rsid w:val="00FE3986"/>
    <w:rsid w:val="00FE3BCE"/>
    <w:rsid w:val="00FE5BC2"/>
    <w:rsid w:val="00FE62DC"/>
    <w:rsid w:val="00FE7744"/>
    <w:rsid w:val="00FF1DBD"/>
    <w:rsid w:val="00FF2A3F"/>
    <w:rsid w:val="00FF2CAE"/>
    <w:rsid w:val="00FF3842"/>
    <w:rsid w:val="00FF4328"/>
    <w:rsid w:val="00FF5472"/>
    <w:rsid w:val="00FF5C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B2D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713"/>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5_G_6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semiHidden/>
    <w:rsid w:val="00A9646C"/>
    <w:rPr>
      <w:lang w:val="fr-CH" w:eastAsia="en-US"/>
    </w:rPr>
  </w:style>
  <w:style w:type="character" w:styleId="PlaceholderText">
    <w:name w:val="Placeholder Text"/>
    <w:basedOn w:val="DefaultParagraphFont"/>
    <w:uiPriority w:val="99"/>
    <w:semiHidden/>
    <w:rsid w:val="0038381F"/>
    <w:rPr>
      <w:color w:val="808080"/>
    </w:rPr>
  </w:style>
  <w:style w:type="numbering" w:customStyle="1" w:styleId="Formatvorlage1">
    <w:name w:val="Formatvorlage1"/>
    <w:uiPriority w:val="99"/>
    <w:rsid w:val="003504FB"/>
    <w:pPr>
      <w:numPr>
        <w:numId w:val="8"/>
      </w:numPr>
    </w:pPr>
  </w:style>
  <w:style w:type="paragraph" w:customStyle="1" w:styleId="memo">
    <w:name w:val="memo"/>
    <w:basedOn w:val="Normal"/>
    <w:rsid w:val="001B08E6"/>
    <w:pPr>
      <w:tabs>
        <w:tab w:val="left" w:pos="1701"/>
      </w:tabs>
      <w:suppressAutoHyphens w:val="0"/>
      <w:spacing w:before="120" w:after="120" w:line="240" w:lineRule="auto"/>
    </w:pPr>
    <w:rPr>
      <w:rFonts w:ascii="Arial" w:hAnsi="Arial"/>
      <w:sz w:val="22"/>
      <w:lang w:val="en-GB" w:eastAsia="nl-NL"/>
    </w:rPr>
  </w:style>
  <w:style w:type="table" w:customStyle="1" w:styleId="Tabellenraster1">
    <w:name w:val="Tabellenraster1"/>
    <w:basedOn w:val="TableNormal"/>
    <w:next w:val="TableGrid"/>
    <w:uiPriority w:val="39"/>
    <w:rsid w:val="0039236C"/>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rsid w:val="00D35D59"/>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rsid w:val="00D35D59"/>
    <w:pPr>
      <w:spacing w:before="60" w:after="60" w:line="210" w:lineRule="atLeast"/>
      <w:jc w:val="left"/>
    </w:pPr>
    <w:rPr>
      <w:sz w:val="20"/>
    </w:rPr>
  </w:style>
  <w:style w:type="paragraph" w:customStyle="1" w:styleId="Tableheader">
    <w:name w:val="Table header"/>
    <w:basedOn w:val="Tablebody"/>
    <w:rsid w:val="00D35D59"/>
  </w:style>
  <w:style w:type="character" w:customStyle="1" w:styleId="BaseTextChar">
    <w:name w:val="Base_Text Char"/>
    <w:link w:val="BaseText"/>
    <w:rsid w:val="00D35D59"/>
    <w:rPr>
      <w:rFonts w:ascii="Cambria" w:eastAsia="Calibri" w:hAnsi="Cambria"/>
      <w:sz w:val="22"/>
      <w:szCs w:val="22"/>
      <w:lang w:val="en-GB" w:eastAsia="en-US"/>
    </w:rPr>
  </w:style>
  <w:style w:type="paragraph" w:styleId="TOCHeading">
    <w:name w:val="TOC Heading"/>
    <w:basedOn w:val="Heading1"/>
    <w:next w:val="Normal"/>
    <w:uiPriority w:val="39"/>
    <w:unhideWhenUsed/>
    <w:qFormat/>
    <w:rsid w:val="00AC00AD"/>
    <w:pPr>
      <w:numPr>
        <w:numId w:val="0"/>
      </w:numPr>
      <w:suppressAutoHyphens w:val="0"/>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TOC2">
    <w:name w:val="toc 2"/>
    <w:basedOn w:val="Normal"/>
    <w:next w:val="Normal"/>
    <w:autoRedefine/>
    <w:uiPriority w:val="39"/>
    <w:unhideWhenUsed/>
    <w:rsid w:val="00AC00AD"/>
    <w:pPr>
      <w:suppressAutoHyphens w:val="0"/>
      <w:spacing w:after="100" w:line="259" w:lineRule="auto"/>
      <w:ind w:left="220"/>
    </w:pPr>
    <w:rPr>
      <w:rFonts w:asciiTheme="minorHAnsi" w:eastAsiaTheme="minorEastAsia" w:hAnsiTheme="minorHAnsi"/>
      <w:sz w:val="22"/>
      <w:szCs w:val="22"/>
      <w:lang w:val="de-DE" w:eastAsia="de-DE"/>
    </w:rPr>
  </w:style>
  <w:style w:type="paragraph" w:styleId="TOC1">
    <w:name w:val="toc 1"/>
    <w:basedOn w:val="Normal"/>
    <w:next w:val="Normal"/>
    <w:autoRedefine/>
    <w:uiPriority w:val="39"/>
    <w:unhideWhenUsed/>
    <w:rsid w:val="006D6013"/>
    <w:pPr>
      <w:tabs>
        <w:tab w:val="right" w:pos="851"/>
        <w:tab w:val="right" w:leader="dot" w:pos="9629"/>
      </w:tabs>
      <w:suppressAutoHyphens w:val="0"/>
      <w:spacing w:after="100" w:line="259" w:lineRule="auto"/>
      <w:ind w:left="1134" w:hanging="567"/>
    </w:pPr>
    <w:rPr>
      <w:rFonts w:eastAsiaTheme="minorEastAsia"/>
      <w:sz w:val="28"/>
      <w:szCs w:val="28"/>
      <w:lang w:val="de-DE" w:eastAsia="de-DE"/>
    </w:rPr>
  </w:style>
  <w:style w:type="paragraph" w:styleId="TOC3">
    <w:name w:val="toc 3"/>
    <w:basedOn w:val="Normal"/>
    <w:next w:val="Normal"/>
    <w:autoRedefine/>
    <w:uiPriority w:val="39"/>
    <w:unhideWhenUsed/>
    <w:rsid w:val="00AC00AD"/>
    <w:pPr>
      <w:suppressAutoHyphens w:val="0"/>
      <w:spacing w:after="100" w:line="259" w:lineRule="auto"/>
      <w:ind w:left="440"/>
    </w:pPr>
    <w:rPr>
      <w:rFonts w:asciiTheme="minorHAnsi" w:eastAsiaTheme="minorEastAsia" w:hAnsiTheme="minorHAns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6477">
      <w:bodyDiv w:val="1"/>
      <w:marLeft w:val="0"/>
      <w:marRight w:val="0"/>
      <w:marTop w:val="0"/>
      <w:marBottom w:val="0"/>
      <w:divBdr>
        <w:top w:val="none" w:sz="0" w:space="0" w:color="auto"/>
        <w:left w:val="none" w:sz="0" w:space="0" w:color="auto"/>
        <w:bottom w:val="none" w:sz="0" w:space="0" w:color="auto"/>
        <w:right w:val="none" w:sz="0" w:space="0" w:color="auto"/>
      </w:divBdr>
    </w:div>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138112103">
      <w:bodyDiv w:val="1"/>
      <w:marLeft w:val="0"/>
      <w:marRight w:val="0"/>
      <w:marTop w:val="0"/>
      <w:marBottom w:val="0"/>
      <w:divBdr>
        <w:top w:val="none" w:sz="0" w:space="0" w:color="auto"/>
        <w:left w:val="none" w:sz="0" w:space="0" w:color="auto"/>
        <w:bottom w:val="none" w:sz="0" w:space="0" w:color="auto"/>
        <w:right w:val="none" w:sz="0" w:space="0" w:color="auto"/>
      </w:divBdr>
    </w:div>
    <w:div w:id="176699665">
      <w:bodyDiv w:val="1"/>
      <w:marLeft w:val="0"/>
      <w:marRight w:val="0"/>
      <w:marTop w:val="0"/>
      <w:marBottom w:val="0"/>
      <w:divBdr>
        <w:top w:val="none" w:sz="0" w:space="0" w:color="auto"/>
        <w:left w:val="none" w:sz="0" w:space="0" w:color="auto"/>
        <w:bottom w:val="none" w:sz="0" w:space="0" w:color="auto"/>
        <w:right w:val="none" w:sz="0" w:space="0" w:color="auto"/>
      </w:divBdr>
    </w:div>
    <w:div w:id="242763331">
      <w:bodyDiv w:val="1"/>
      <w:marLeft w:val="0"/>
      <w:marRight w:val="0"/>
      <w:marTop w:val="0"/>
      <w:marBottom w:val="0"/>
      <w:divBdr>
        <w:top w:val="none" w:sz="0" w:space="0" w:color="auto"/>
        <w:left w:val="none" w:sz="0" w:space="0" w:color="auto"/>
        <w:bottom w:val="none" w:sz="0" w:space="0" w:color="auto"/>
        <w:right w:val="none" w:sz="0" w:space="0" w:color="auto"/>
      </w:divBdr>
    </w:div>
    <w:div w:id="267661178">
      <w:bodyDiv w:val="1"/>
      <w:marLeft w:val="0"/>
      <w:marRight w:val="0"/>
      <w:marTop w:val="0"/>
      <w:marBottom w:val="0"/>
      <w:divBdr>
        <w:top w:val="none" w:sz="0" w:space="0" w:color="auto"/>
        <w:left w:val="none" w:sz="0" w:space="0" w:color="auto"/>
        <w:bottom w:val="none" w:sz="0" w:space="0" w:color="auto"/>
        <w:right w:val="none" w:sz="0" w:space="0" w:color="auto"/>
      </w:divBdr>
    </w:div>
    <w:div w:id="386222511">
      <w:bodyDiv w:val="1"/>
      <w:marLeft w:val="0"/>
      <w:marRight w:val="0"/>
      <w:marTop w:val="0"/>
      <w:marBottom w:val="0"/>
      <w:divBdr>
        <w:top w:val="none" w:sz="0" w:space="0" w:color="auto"/>
        <w:left w:val="none" w:sz="0" w:space="0" w:color="auto"/>
        <w:bottom w:val="none" w:sz="0" w:space="0" w:color="auto"/>
        <w:right w:val="none" w:sz="0" w:space="0" w:color="auto"/>
      </w:divBdr>
    </w:div>
    <w:div w:id="483084017">
      <w:bodyDiv w:val="1"/>
      <w:marLeft w:val="0"/>
      <w:marRight w:val="0"/>
      <w:marTop w:val="0"/>
      <w:marBottom w:val="0"/>
      <w:divBdr>
        <w:top w:val="none" w:sz="0" w:space="0" w:color="auto"/>
        <w:left w:val="none" w:sz="0" w:space="0" w:color="auto"/>
        <w:bottom w:val="none" w:sz="0" w:space="0" w:color="auto"/>
        <w:right w:val="none" w:sz="0" w:space="0" w:color="auto"/>
      </w:divBdr>
    </w:div>
    <w:div w:id="652029555">
      <w:bodyDiv w:val="1"/>
      <w:marLeft w:val="0"/>
      <w:marRight w:val="0"/>
      <w:marTop w:val="0"/>
      <w:marBottom w:val="0"/>
      <w:divBdr>
        <w:top w:val="none" w:sz="0" w:space="0" w:color="auto"/>
        <w:left w:val="none" w:sz="0" w:space="0" w:color="auto"/>
        <w:bottom w:val="none" w:sz="0" w:space="0" w:color="auto"/>
        <w:right w:val="none" w:sz="0" w:space="0" w:color="auto"/>
      </w:divBdr>
    </w:div>
    <w:div w:id="682978016">
      <w:bodyDiv w:val="1"/>
      <w:marLeft w:val="0"/>
      <w:marRight w:val="0"/>
      <w:marTop w:val="0"/>
      <w:marBottom w:val="0"/>
      <w:divBdr>
        <w:top w:val="none" w:sz="0" w:space="0" w:color="auto"/>
        <w:left w:val="none" w:sz="0" w:space="0" w:color="auto"/>
        <w:bottom w:val="none" w:sz="0" w:space="0" w:color="auto"/>
        <w:right w:val="none" w:sz="0" w:space="0" w:color="auto"/>
      </w:divBdr>
    </w:div>
    <w:div w:id="792867708">
      <w:bodyDiv w:val="1"/>
      <w:marLeft w:val="0"/>
      <w:marRight w:val="0"/>
      <w:marTop w:val="0"/>
      <w:marBottom w:val="0"/>
      <w:divBdr>
        <w:top w:val="none" w:sz="0" w:space="0" w:color="auto"/>
        <w:left w:val="none" w:sz="0" w:space="0" w:color="auto"/>
        <w:bottom w:val="none" w:sz="0" w:space="0" w:color="auto"/>
        <w:right w:val="none" w:sz="0" w:space="0" w:color="auto"/>
      </w:divBdr>
    </w:div>
    <w:div w:id="864517206">
      <w:bodyDiv w:val="1"/>
      <w:marLeft w:val="0"/>
      <w:marRight w:val="0"/>
      <w:marTop w:val="0"/>
      <w:marBottom w:val="0"/>
      <w:divBdr>
        <w:top w:val="none" w:sz="0" w:space="0" w:color="auto"/>
        <w:left w:val="none" w:sz="0" w:space="0" w:color="auto"/>
        <w:bottom w:val="none" w:sz="0" w:space="0" w:color="auto"/>
        <w:right w:val="none" w:sz="0" w:space="0" w:color="auto"/>
      </w:divBdr>
    </w:div>
    <w:div w:id="1090151897">
      <w:bodyDiv w:val="1"/>
      <w:marLeft w:val="0"/>
      <w:marRight w:val="0"/>
      <w:marTop w:val="0"/>
      <w:marBottom w:val="0"/>
      <w:divBdr>
        <w:top w:val="none" w:sz="0" w:space="0" w:color="auto"/>
        <w:left w:val="none" w:sz="0" w:space="0" w:color="auto"/>
        <w:bottom w:val="none" w:sz="0" w:space="0" w:color="auto"/>
        <w:right w:val="none" w:sz="0" w:space="0" w:color="auto"/>
      </w:divBdr>
    </w:div>
    <w:div w:id="1237548201">
      <w:bodyDiv w:val="1"/>
      <w:marLeft w:val="0"/>
      <w:marRight w:val="0"/>
      <w:marTop w:val="0"/>
      <w:marBottom w:val="0"/>
      <w:divBdr>
        <w:top w:val="none" w:sz="0" w:space="0" w:color="auto"/>
        <w:left w:val="none" w:sz="0" w:space="0" w:color="auto"/>
        <w:bottom w:val="none" w:sz="0" w:space="0" w:color="auto"/>
        <w:right w:val="none" w:sz="0" w:space="0" w:color="auto"/>
      </w:divBdr>
    </w:div>
    <w:div w:id="1242105475">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505432547">
      <w:bodyDiv w:val="1"/>
      <w:marLeft w:val="0"/>
      <w:marRight w:val="0"/>
      <w:marTop w:val="0"/>
      <w:marBottom w:val="0"/>
      <w:divBdr>
        <w:top w:val="none" w:sz="0" w:space="0" w:color="auto"/>
        <w:left w:val="none" w:sz="0" w:space="0" w:color="auto"/>
        <w:bottom w:val="none" w:sz="0" w:space="0" w:color="auto"/>
        <w:right w:val="none" w:sz="0" w:space="0" w:color="auto"/>
      </w:divBdr>
    </w:div>
    <w:div w:id="1541433345">
      <w:bodyDiv w:val="1"/>
      <w:marLeft w:val="0"/>
      <w:marRight w:val="0"/>
      <w:marTop w:val="0"/>
      <w:marBottom w:val="0"/>
      <w:divBdr>
        <w:top w:val="none" w:sz="0" w:space="0" w:color="auto"/>
        <w:left w:val="none" w:sz="0" w:space="0" w:color="auto"/>
        <w:bottom w:val="none" w:sz="0" w:space="0" w:color="auto"/>
        <w:right w:val="none" w:sz="0" w:space="0" w:color="auto"/>
      </w:divBdr>
    </w:div>
    <w:div w:id="1597401564">
      <w:bodyDiv w:val="1"/>
      <w:marLeft w:val="0"/>
      <w:marRight w:val="0"/>
      <w:marTop w:val="0"/>
      <w:marBottom w:val="0"/>
      <w:divBdr>
        <w:top w:val="none" w:sz="0" w:space="0" w:color="auto"/>
        <w:left w:val="none" w:sz="0" w:space="0" w:color="auto"/>
        <w:bottom w:val="none" w:sz="0" w:space="0" w:color="auto"/>
        <w:right w:val="none" w:sz="0" w:space="0" w:color="auto"/>
      </w:divBdr>
    </w:div>
    <w:div w:id="1603223041">
      <w:bodyDiv w:val="1"/>
      <w:marLeft w:val="0"/>
      <w:marRight w:val="0"/>
      <w:marTop w:val="0"/>
      <w:marBottom w:val="0"/>
      <w:divBdr>
        <w:top w:val="none" w:sz="0" w:space="0" w:color="auto"/>
        <w:left w:val="none" w:sz="0" w:space="0" w:color="auto"/>
        <w:bottom w:val="none" w:sz="0" w:space="0" w:color="auto"/>
        <w:right w:val="none" w:sz="0" w:space="0" w:color="auto"/>
      </w:divBdr>
    </w:div>
    <w:div w:id="1747068783">
      <w:bodyDiv w:val="1"/>
      <w:marLeft w:val="0"/>
      <w:marRight w:val="0"/>
      <w:marTop w:val="0"/>
      <w:marBottom w:val="0"/>
      <w:divBdr>
        <w:top w:val="none" w:sz="0" w:space="0" w:color="auto"/>
        <w:left w:val="none" w:sz="0" w:space="0" w:color="auto"/>
        <w:bottom w:val="none" w:sz="0" w:space="0" w:color="auto"/>
        <w:right w:val="none" w:sz="0" w:space="0" w:color="auto"/>
      </w:divBdr>
    </w:div>
    <w:div w:id="1771966268">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 w:id="1844932209">
      <w:bodyDiv w:val="1"/>
      <w:marLeft w:val="0"/>
      <w:marRight w:val="0"/>
      <w:marTop w:val="0"/>
      <w:marBottom w:val="0"/>
      <w:divBdr>
        <w:top w:val="none" w:sz="0" w:space="0" w:color="auto"/>
        <w:left w:val="none" w:sz="0" w:space="0" w:color="auto"/>
        <w:bottom w:val="none" w:sz="0" w:space="0" w:color="auto"/>
        <w:right w:val="none" w:sz="0" w:space="0" w:color="auto"/>
      </w:divBdr>
    </w:div>
    <w:div w:id="1949191962">
      <w:bodyDiv w:val="1"/>
      <w:marLeft w:val="0"/>
      <w:marRight w:val="0"/>
      <w:marTop w:val="0"/>
      <w:marBottom w:val="0"/>
      <w:divBdr>
        <w:top w:val="none" w:sz="0" w:space="0" w:color="auto"/>
        <w:left w:val="none" w:sz="0" w:space="0" w:color="auto"/>
        <w:bottom w:val="none" w:sz="0" w:space="0" w:color="auto"/>
        <w:right w:val="none" w:sz="0" w:space="0" w:color="auto"/>
      </w:divBdr>
    </w:div>
    <w:div w:id="2067727706">
      <w:bodyDiv w:val="1"/>
      <w:marLeft w:val="0"/>
      <w:marRight w:val="0"/>
      <w:marTop w:val="0"/>
      <w:marBottom w:val="0"/>
      <w:divBdr>
        <w:top w:val="none" w:sz="0" w:space="0" w:color="auto"/>
        <w:left w:val="none" w:sz="0" w:space="0" w:color="auto"/>
        <w:bottom w:val="none" w:sz="0" w:space="0" w:color="auto"/>
        <w:right w:val="none" w:sz="0" w:space="0" w:color="auto"/>
      </w:divBdr>
    </w:div>
    <w:div w:id="20974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24AC0-9BCC-446A-865D-1876CD1BA7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9E0DE-B264-4B1F-9B26-9F28180883D6}">
  <ds:schemaRefs>
    <ds:schemaRef ds:uri="http://schemas.openxmlformats.org/officeDocument/2006/bibliography"/>
  </ds:schemaRefs>
</ds:datastoreItem>
</file>

<file path=customXml/itemProps3.xml><?xml version="1.0" encoding="utf-8"?>
<ds:datastoreItem xmlns:ds="http://schemas.openxmlformats.org/officeDocument/2006/customXml" ds:itemID="{FDDE6EDC-FC5C-4683-B2C1-F37577F2A73B}">
  <ds:schemaRefs>
    <ds:schemaRef ds:uri="http://schemas.microsoft.com/sharepoint/v3/contenttype/forms"/>
  </ds:schemaRefs>
</ds:datastoreItem>
</file>

<file path=customXml/itemProps4.xml><?xml version="1.0" encoding="utf-8"?>
<ds:datastoreItem xmlns:ds="http://schemas.openxmlformats.org/officeDocument/2006/customXml" ds:itemID="{B77C5933-922C-4350-98E3-94418277D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6828</Characters>
  <Application>Microsoft Office Word</Application>
  <DocSecurity>0</DocSecurity>
  <Lines>56</Lines>
  <Paragraphs>16</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Table 7.1**</vt:lpstr>
      <vt:lpstr>Example of calculation of uncertainties for UN Regulation No. 51:</vt:lpstr>
      <vt:lpstr>Measurement uncertainty table for an M1 passenger car with combustion engine - s</vt:lpstr>
      <vt:lpstr>Table 7.2**</vt:lpstr>
      <vt:lpstr>Uncertainty budget for determination of urban sound pressure level</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2022-01-26T09:01:00Z</dcterms:created>
  <dcterms:modified xsi:type="dcterms:W3CDTF">2022-01-26T10:17:00Z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