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50D96F7" w14:textId="77777777" w:rsidTr="00C97039">
        <w:trPr>
          <w:trHeight w:hRule="exact" w:val="851"/>
        </w:trPr>
        <w:tc>
          <w:tcPr>
            <w:tcW w:w="1276" w:type="dxa"/>
            <w:tcBorders>
              <w:bottom w:val="single" w:sz="4" w:space="0" w:color="auto"/>
            </w:tcBorders>
          </w:tcPr>
          <w:p w14:paraId="0CBF3437" w14:textId="77777777" w:rsidR="00F35BAF" w:rsidRPr="00DB58B5" w:rsidRDefault="00F35BAF" w:rsidP="00C065F4"/>
        </w:tc>
        <w:tc>
          <w:tcPr>
            <w:tcW w:w="2268" w:type="dxa"/>
            <w:tcBorders>
              <w:bottom w:val="single" w:sz="4" w:space="0" w:color="auto"/>
            </w:tcBorders>
            <w:vAlign w:val="bottom"/>
          </w:tcPr>
          <w:p w14:paraId="1E42E87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DDDA55" w14:textId="370C51A4" w:rsidR="00F35BAF" w:rsidRPr="00DB58B5" w:rsidRDefault="00C065F4" w:rsidP="00C065F4">
            <w:pPr>
              <w:jc w:val="right"/>
            </w:pPr>
            <w:r w:rsidRPr="00C065F4">
              <w:rPr>
                <w:sz w:val="40"/>
              </w:rPr>
              <w:t>ECE</w:t>
            </w:r>
            <w:r>
              <w:t>/TRANS/WP.29/2022/9</w:t>
            </w:r>
          </w:p>
        </w:tc>
      </w:tr>
      <w:tr w:rsidR="00F35BAF" w:rsidRPr="00DB58B5" w14:paraId="2E2897E8" w14:textId="77777777" w:rsidTr="00C97039">
        <w:trPr>
          <w:trHeight w:hRule="exact" w:val="2835"/>
        </w:trPr>
        <w:tc>
          <w:tcPr>
            <w:tcW w:w="1276" w:type="dxa"/>
            <w:tcBorders>
              <w:top w:val="single" w:sz="4" w:space="0" w:color="auto"/>
              <w:bottom w:val="single" w:sz="12" w:space="0" w:color="auto"/>
            </w:tcBorders>
          </w:tcPr>
          <w:p w14:paraId="55656263" w14:textId="77777777" w:rsidR="00F35BAF" w:rsidRPr="00DB58B5" w:rsidRDefault="00F35BAF" w:rsidP="00C97039">
            <w:pPr>
              <w:spacing w:before="120"/>
              <w:jc w:val="center"/>
            </w:pPr>
            <w:r>
              <w:rPr>
                <w:noProof/>
                <w:lang w:eastAsia="fr-CH"/>
              </w:rPr>
              <w:drawing>
                <wp:inline distT="0" distB="0" distL="0" distR="0" wp14:anchorId="7C153662" wp14:editId="54D43A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7C55F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35771DD" w14:textId="77777777" w:rsidR="00F35BAF" w:rsidRDefault="00C065F4" w:rsidP="00C97039">
            <w:pPr>
              <w:spacing w:before="240"/>
            </w:pPr>
            <w:r>
              <w:t>Distr. générale</w:t>
            </w:r>
          </w:p>
          <w:p w14:paraId="3DF1B37C" w14:textId="77777777" w:rsidR="00C065F4" w:rsidRDefault="00C065F4" w:rsidP="00C065F4">
            <w:pPr>
              <w:spacing w:line="240" w:lineRule="exact"/>
            </w:pPr>
            <w:r>
              <w:t>15 décembre 2021</w:t>
            </w:r>
          </w:p>
          <w:p w14:paraId="7443E09F" w14:textId="77777777" w:rsidR="00C065F4" w:rsidRDefault="00C065F4" w:rsidP="00C065F4">
            <w:pPr>
              <w:spacing w:line="240" w:lineRule="exact"/>
            </w:pPr>
            <w:r>
              <w:t>Français</w:t>
            </w:r>
          </w:p>
          <w:p w14:paraId="15F9E08F" w14:textId="3A0CD712" w:rsidR="00C065F4" w:rsidRPr="00DB58B5" w:rsidRDefault="00C065F4" w:rsidP="00C065F4">
            <w:pPr>
              <w:spacing w:line="240" w:lineRule="exact"/>
            </w:pPr>
            <w:r>
              <w:t>Original : anglais</w:t>
            </w:r>
          </w:p>
        </w:tc>
      </w:tr>
    </w:tbl>
    <w:p w14:paraId="66585D78" w14:textId="77777777" w:rsidR="007F20FA" w:rsidRPr="000312C0" w:rsidRDefault="007F20FA" w:rsidP="007F20FA">
      <w:pPr>
        <w:spacing w:before="120"/>
        <w:rPr>
          <w:b/>
          <w:sz w:val="28"/>
          <w:szCs w:val="28"/>
        </w:rPr>
      </w:pPr>
      <w:r w:rsidRPr="000312C0">
        <w:rPr>
          <w:b/>
          <w:sz w:val="28"/>
          <w:szCs w:val="28"/>
        </w:rPr>
        <w:t>Commission économique pour l’Europe</w:t>
      </w:r>
    </w:p>
    <w:p w14:paraId="6706BBA7" w14:textId="77777777" w:rsidR="007F20FA" w:rsidRDefault="007F20FA" w:rsidP="007F20FA">
      <w:pPr>
        <w:spacing w:before="120"/>
        <w:rPr>
          <w:sz w:val="28"/>
          <w:szCs w:val="28"/>
        </w:rPr>
      </w:pPr>
      <w:r w:rsidRPr="00685843">
        <w:rPr>
          <w:sz w:val="28"/>
          <w:szCs w:val="28"/>
        </w:rPr>
        <w:t>Comité des transports intérieurs</w:t>
      </w:r>
    </w:p>
    <w:p w14:paraId="295A23BD" w14:textId="77777777" w:rsidR="00C065F4" w:rsidRPr="00C413C3" w:rsidRDefault="00C065F4" w:rsidP="00C065F4">
      <w:pPr>
        <w:spacing w:before="120"/>
        <w:rPr>
          <w:b/>
          <w:sz w:val="24"/>
          <w:szCs w:val="24"/>
        </w:rPr>
      </w:pPr>
      <w:r w:rsidRPr="00C413C3">
        <w:rPr>
          <w:b/>
          <w:sz w:val="24"/>
          <w:szCs w:val="24"/>
        </w:rPr>
        <w:t xml:space="preserve">Forum mondial de l’harmonisation </w:t>
      </w:r>
      <w:r w:rsidRPr="00C413C3">
        <w:rPr>
          <w:b/>
          <w:sz w:val="24"/>
          <w:szCs w:val="24"/>
        </w:rPr>
        <w:br/>
        <w:t>des Règlements concernant les véhicules</w:t>
      </w:r>
    </w:p>
    <w:p w14:paraId="0219D890" w14:textId="0905A84E" w:rsidR="00C065F4" w:rsidRPr="00C413C3" w:rsidRDefault="00C065F4" w:rsidP="00C065F4">
      <w:pPr>
        <w:kinsoku/>
        <w:overflowPunct/>
        <w:autoSpaceDE/>
        <w:autoSpaceDN/>
        <w:adjustRightInd/>
        <w:snapToGrid/>
        <w:rPr>
          <w:rFonts w:eastAsia="Times New Roman"/>
          <w:b/>
          <w:bCs/>
          <w:lang w:eastAsia="fr-FR"/>
        </w:rPr>
      </w:pPr>
      <w:r w:rsidRPr="00C413C3">
        <w:rPr>
          <w:rFonts w:eastAsia="Times New Roman"/>
          <w:b/>
          <w:bCs/>
          <w:lang w:eastAsia="fr-FR"/>
        </w:rPr>
        <w:t>186</w:t>
      </w:r>
      <w:r w:rsidRPr="005B0026">
        <w:rPr>
          <w:rFonts w:eastAsia="Times New Roman"/>
          <w:b/>
          <w:bCs/>
          <w:vertAlign w:val="superscript"/>
          <w:lang w:eastAsia="fr-FR"/>
        </w:rPr>
        <w:t>e</w:t>
      </w:r>
      <w:r w:rsidR="005B0026">
        <w:rPr>
          <w:rFonts w:eastAsia="Times New Roman"/>
          <w:b/>
          <w:bCs/>
          <w:lang w:eastAsia="fr-FR"/>
        </w:rPr>
        <w:t> </w:t>
      </w:r>
      <w:r w:rsidRPr="00C413C3">
        <w:rPr>
          <w:rFonts w:eastAsia="Times New Roman"/>
          <w:b/>
          <w:bCs/>
          <w:lang w:eastAsia="fr-FR"/>
        </w:rPr>
        <w:t>session</w:t>
      </w:r>
    </w:p>
    <w:p w14:paraId="3495CA0E" w14:textId="77777777" w:rsidR="00C065F4" w:rsidRPr="00C413C3" w:rsidRDefault="00C065F4" w:rsidP="00C065F4">
      <w:pPr>
        <w:kinsoku/>
        <w:overflowPunct/>
        <w:autoSpaceDE/>
        <w:autoSpaceDN/>
        <w:adjustRightInd/>
        <w:snapToGrid/>
        <w:rPr>
          <w:rFonts w:eastAsia="Times New Roman"/>
          <w:lang w:eastAsia="fr-FR"/>
        </w:rPr>
      </w:pPr>
      <w:r w:rsidRPr="00C413C3">
        <w:rPr>
          <w:rFonts w:eastAsia="Times New Roman"/>
          <w:lang w:eastAsia="fr-FR"/>
        </w:rPr>
        <w:t>Genève, 8-11 mars 2022</w:t>
      </w:r>
    </w:p>
    <w:p w14:paraId="71754856" w14:textId="77777777" w:rsidR="00C065F4" w:rsidRPr="00C413C3" w:rsidRDefault="00C065F4" w:rsidP="00C065F4">
      <w:pPr>
        <w:kinsoku/>
        <w:overflowPunct/>
        <w:autoSpaceDE/>
        <w:autoSpaceDN/>
        <w:adjustRightInd/>
        <w:snapToGrid/>
        <w:rPr>
          <w:rFonts w:eastAsia="Times New Roman"/>
          <w:lang w:eastAsia="fr-FR"/>
        </w:rPr>
      </w:pPr>
      <w:r w:rsidRPr="00C413C3">
        <w:rPr>
          <w:rFonts w:eastAsia="Times New Roman"/>
          <w:lang w:eastAsia="fr-FR"/>
        </w:rPr>
        <w:t>Point 4.6.7 de l’ordre du jour provisoire</w:t>
      </w:r>
    </w:p>
    <w:p w14:paraId="67874677" w14:textId="4904E21E" w:rsidR="00C065F4" w:rsidRPr="00C413C3" w:rsidRDefault="00C065F4" w:rsidP="00C065F4">
      <w:pPr>
        <w:kinsoku/>
        <w:overflowPunct/>
        <w:autoSpaceDE/>
        <w:autoSpaceDN/>
        <w:adjustRightInd/>
        <w:snapToGrid/>
        <w:ind w:right="4251"/>
        <w:rPr>
          <w:rFonts w:eastAsia="Times New Roman"/>
          <w:b/>
          <w:lang w:eastAsia="fr-FR"/>
        </w:rPr>
      </w:pPr>
      <w:r w:rsidRPr="00C413C3">
        <w:rPr>
          <w:rFonts w:eastAsia="Times New Roman"/>
          <w:b/>
          <w:bCs/>
          <w:lang w:eastAsia="fr-FR"/>
        </w:rPr>
        <w:t>Accord de 1958</w:t>
      </w:r>
      <w:r>
        <w:rPr>
          <w:rFonts w:eastAsia="Times New Roman"/>
          <w:b/>
          <w:bCs/>
          <w:lang w:eastAsia="fr-FR"/>
        </w:rPr>
        <w:t> :</w:t>
      </w:r>
      <w:r w:rsidR="00943541">
        <w:rPr>
          <w:rFonts w:eastAsia="Times New Roman"/>
          <w:b/>
          <w:bCs/>
          <w:lang w:eastAsia="fr-FR"/>
        </w:rPr>
        <w:br/>
      </w:r>
      <w:r w:rsidRPr="00C413C3">
        <w:rPr>
          <w:rFonts w:eastAsia="Times New Roman"/>
          <w:b/>
          <w:bCs/>
          <w:lang w:eastAsia="fr-FR"/>
        </w:rPr>
        <w:t xml:space="preserve">Examen de projets d’amendements </w:t>
      </w:r>
      <w:r w:rsidR="005B0026">
        <w:rPr>
          <w:rFonts w:eastAsia="Times New Roman"/>
          <w:b/>
          <w:bCs/>
          <w:lang w:eastAsia="fr-FR"/>
        </w:rPr>
        <w:br/>
      </w:r>
      <w:r w:rsidRPr="00C413C3">
        <w:rPr>
          <w:rFonts w:eastAsia="Times New Roman"/>
          <w:b/>
          <w:bCs/>
          <w:lang w:eastAsia="fr-FR"/>
        </w:rPr>
        <w:t>à des</w:t>
      </w:r>
      <w:r w:rsidR="005B0026">
        <w:rPr>
          <w:rFonts w:eastAsia="Times New Roman"/>
          <w:b/>
          <w:bCs/>
          <w:lang w:eastAsia="fr-FR"/>
        </w:rPr>
        <w:t xml:space="preserve"> </w:t>
      </w:r>
      <w:r w:rsidRPr="00C413C3">
        <w:rPr>
          <w:rFonts w:eastAsia="Times New Roman"/>
          <w:b/>
          <w:bCs/>
          <w:lang w:eastAsia="fr-FR"/>
        </w:rPr>
        <w:t>Règlements ONU existants, soumis par le GRBP</w:t>
      </w:r>
    </w:p>
    <w:p w14:paraId="4BA74156" w14:textId="0046B545" w:rsidR="00C065F4" w:rsidRPr="00C413C3" w:rsidRDefault="00C065F4" w:rsidP="00943541">
      <w:pPr>
        <w:pStyle w:val="HChG"/>
        <w:rPr>
          <w:lang w:eastAsia="fr-FR"/>
        </w:rPr>
      </w:pPr>
      <w:r w:rsidRPr="00C413C3">
        <w:rPr>
          <w:lang w:eastAsia="fr-FR"/>
        </w:rPr>
        <w:tab/>
      </w:r>
      <w:r w:rsidRPr="00C413C3">
        <w:rPr>
          <w:lang w:eastAsia="fr-FR"/>
        </w:rPr>
        <w:tab/>
        <w:t xml:space="preserve">Proposition de complément 1 à la </w:t>
      </w:r>
      <w:r>
        <w:rPr>
          <w:lang w:eastAsia="fr-FR"/>
        </w:rPr>
        <w:t xml:space="preserve">série </w:t>
      </w:r>
      <w:r w:rsidRPr="00C413C3">
        <w:rPr>
          <w:lang w:eastAsia="fr-FR"/>
        </w:rPr>
        <w:t>01 d’amendements au</w:t>
      </w:r>
      <w:r w:rsidR="00943541">
        <w:rPr>
          <w:lang w:eastAsia="fr-FR"/>
        </w:rPr>
        <w:t> </w:t>
      </w:r>
      <w:r w:rsidRPr="00C413C3">
        <w:rPr>
          <w:lang w:eastAsia="fr-FR"/>
        </w:rPr>
        <w:t xml:space="preserve">Règlement ONU </w:t>
      </w:r>
      <w:r w:rsidR="00943541" w:rsidRPr="00943541">
        <w:rPr>
          <w:rFonts w:eastAsia="MS Mincho"/>
          <w:lang w:eastAsia="fr-FR"/>
        </w:rPr>
        <w:t>n</w:t>
      </w:r>
      <w:r w:rsidR="00943541" w:rsidRPr="00943541">
        <w:rPr>
          <w:rFonts w:eastAsia="MS Mincho"/>
          <w:vertAlign w:val="superscript"/>
          <w:lang w:eastAsia="fr-FR"/>
        </w:rPr>
        <w:t>o</w:t>
      </w:r>
      <w:r w:rsidR="00943541">
        <w:rPr>
          <w:lang w:eastAsia="fr-FR"/>
        </w:rPr>
        <w:t> </w:t>
      </w:r>
      <w:r w:rsidRPr="00C413C3">
        <w:rPr>
          <w:lang w:eastAsia="fr-FR"/>
        </w:rPr>
        <w:t>141 (Système de surveillance de</w:t>
      </w:r>
      <w:r w:rsidR="00943541">
        <w:rPr>
          <w:lang w:eastAsia="fr-FR"/>
        </w:rPr>
        <w:t> </w:t>
      </w:r>
      <w:r w:rsidRPr="00C413C3">
        <w:rPr>
          <w:lang w:eastAsia="fr-FR"/>
        </w:rPr>
        <w:t>la</w:t>
      </w:r>
      <w:r w:rsidR="00943541">
        <w:rPr>
          <w:lang w:eastAsia="fr-FR"/>
        </w:rPr>
        <w:t> </w:t>
      </w:r>
      <w:r w:rsidRPr="00C413C3">
        <w:rPr>
          <w:lang w:eastAsia="fr-FR"/>
        </w:rPr>
        <w:t>pression des pneumatiques)</w:t>
      </w:r>
    </w:p>
    <w:p w14:paraId="6A824E9D" w14:textId="77777777" w:rsidR="00C065F4" w:rsidRPr="00C413C3" w:rsidRDefault="00C065F4" w:rsidP="00943541">
      <w:pPr>
        <w:pStyle w:val="H1G"/>
        <w:rPr>
          <w:szCs w:val="24"/>
          <w:lang w:eastAsia="fr-FR"/>
        </w:rPr>
      </w:pPr>
      <w:r w:rsidRPr="00C413C3">
        <w:rPr>
          <w:lang w:eastAsia="fr-FR"/>
        </w:rPr>
        <w:tab/>
      </w:r>
      <w:r w:rsidRPr="00C413C3">
        <w:rPr>
          <w:lang w:eastAsia="fr-FR"/>
        </w:rPr>
        <w:tab/>
        <w:t>Communication du Groupe de travail du bruit et des pneumatiques</w:t>
      </w:r>
      <w:r w:rsidRPr="00943541">
        <w:rPr>
          <w:b w:val="0"/>
          <w:bCs/>
          <w:sz w:val="20"/>
          <w:lang w:eastAsia="fr-FR"/>
        </w:rPr>
        <w:footnoteReference w:customMarkFollows="1" w:id="2"/>
        <w:t>*</w:t>
      </w:r>
    </w:p>
    <w:p w14:paraId="240EDD17" w14:textId="32FCA880" w:rsidR="00C065F4" w:rsidRPr="00C413C3" w:rsidRDefault="00C065F4" w:rsidP="00C065F4">
      <w:pPr>
        <w:kinsoku/>
        <w:overflowPunct/>
        <w:autoSpaceDE/>
        <w:autoSpaceDN/>
        <w:adjustRightInd/>
        <w:snapToGrid/>
        <w:spacing w:after="120"/>
        <w:ind w:left="1134" w:right="1134" w:firstLine="567"/>
        <w:jc w:val="both"/>
        <w:rPr>
          <w:rFonts w:eastAsia="Times New Roman"/>
          <w:lang w:eastAsia="fr-FR"/>
        </w:rPr>
      </w:pPr>
      <w:r w:rsidRPr="00C413C3">
        <w:rPr>
          <w:rFonts w:eastAsia="Times New Roman"/>
          <w:lang w:eastAsia="fr-FR"/>
        </w:rPr>
        <w:t>Le texte ci-après, adopté par le Groupe de travail du bruit et des pneumatiques (GRBP) à sa soixante-quatorzième session (ECE/TRANS/WP.29/GRBP/72, par.</w:t>
      </w:r>
      <w:r w:rsidR="00943541">
        <w:rPr>
          <w:rFonts w:eastAsia="Times New Roman"/>
          <w:lang w:eastAsia="fr-FR"/>
        </w:rPr>
        <w:t> </w:t>
      </w:r>
      <w:r w:rsidRPr="00C413C3">
        <w:rPr>
          <w:rFonts w:eastAsia="Times New Roman"/>
          <w:lang w:eastAsia="fr-FR"/>
        </w:rPr>
        <w:t>25 et 26), est fondé sur le document ECE/TRANS/WP.29/GRBP/2021/19 et sur le document ECE/TRANS/</w:t>
      </w:r>
      <w:r w:rsidR="00943541">
        <w:rPr>
          <w:rFonts w:eastAsia="Times New Roman"/>
          <w:lang w:eastAsia="fr-FR"/>
        </w:rPr>
        <w:t xml:space="preserve"> </w:t>
      </w:r>
      <w:r w:rsidRPr="00C413C3">
        <w:rPr>
          <w:rFonts w:eastAsia="Times New Roman"/>
          <w:lang w:eastAsia="fr-FR"/>
        </w:rPr>
        <w:t xml:space="preserve">WP.29/GRBP/2021/20, tel que modifié par le document informel GRBP-74-37. Il est soumis au Forum mondial de l’harmonisation des Règlements concernant les véhicules (WP.29) et au Comité d’administration (AC.1) pour examen à leurs sessions de mars 2022. </w:t>
      </w:r>
    </w:p>
    <w:p w14:paraId="69447F17" w14:textId="77777777" w:rsidR="00C065F4" w:rsidRPr="00C413C3" w:rsidRDefault="00C065F4" w:rsidP="00C065F4">
      <w:pPr>
        <w:kinsoku/>
        <w:overflowPunct/>
        <w:autoSpaceDE/>
        <w:autoSpaceDN/>
        <w:adjustRightInd/>
        <w:snapToGrid/>
        <w:spacing w:after="120"/>
        <w:ind w:left="1134" w:right="1134" w:firstLine="567"/>
        <w:jc w:val="both"/>
        <w:rPr>
          <w:rFonts w:eastAsia="Times New Roman"/>
          <w:lang w:eastAsia="fr-FR"/>
        </w:rPr>
      </w:pPr>
      <w:r w:rsidRPr="00C413C3">
        <w:rPr>
          <w:rFonts w:eastAsia="Times New Roman"/>
          <w:lang w:eastAsia="fr-FR"/>
        </w:rPr>
        <w:br w:type="page"/>
      </w:r>
    </w:p>
    <w:p w14:paraId="03CC76FE" w14:textId="1DAC2F5F" w:rsidR="00C065F4" w:rsidRPr="00C413C3" w:rsidRDefault="00C065F4" w:rsidP="00943541">
      <w:pPr>
        <w:keepNext/>
        <w:kinsoku/>
        <w:overflowPunct/>
        <w:autoSpaceDE/>
        <w:autoSpaceDN/>
        <w:adjustRightInd/>
        <w:snapToGrid/>
        <w:spacing w:after="120"/>
        <w:ind w:left="2268" w:right="1134" w:hanging="1134"/>
        <w:jc w:val="both"/>
        <w:rPr>
          <w:rFonts w:eastAsia="Times New Roman"/>
          <w:lang w:eastAsia="fr-FR"/>
        </w:rPr>
      </w:pPr>
      <w:bookmarkStart w:id="0" w:name="_Hlk74834755"/>
      <w:r w:rsidRPr="00C413C3">
        <w:rPr>
          <w:rFonts w:eastAsia="Times New Roman"/>
          <w:i/>
          <w:iCs/>
          <w:lang w:eastAsia="fr-FR"/>
        </w:rPr>
        <w:lastRenderedPageBreak/>
        <w:t>Table des matières (liste des annexes)</w:t>
      </w:r>
      <w:r w:rsidRPr="00C413C3">
        <w:rPr>
          <w:rFonts w:eastAsia="Times New Roman"/>
          <w:lang w:eastAsia="fr-FR"/>
        </w:rPr>
        <w:t>, ajouter les nouvelles annexes 7 et 8, comme suit</w:t>
      </w:r>
      <w:r w:rsidRPr="00943541">
        <w:rPr>
          <w:rFonts w:eastAsia="Times New Roman"/>
          <w:lang w:eastAsia="fr-FR"/>
        </w:rPr>
        <w:footnoteReference w:customMarkFollows="1" w:id="3"/>
        <w:t>**</w:t>
      </w:r>
      <w:r>
        <w:rPr>
          <w:rFonts w:eastAsia="Times New Roman"/>
          <w:lang w:eastAsia="fr-FR"/>
        </w:rPr>
        <w:t> :</w:t>
      </w:r>
    </w:p>
    <w:bookmarkEnd w:id="0"/>
    <w:p w14:paraId="55FD9563" w14:textId="0F693AB1" w:rsidR="00C065F4" w:rsidRPr="00C413C3" w:rsidRDefault="00943541" w:rsidP="005B0026">
      <w:pPr>
        <w:pStyle w:val="SingleTxtG"/>
      </w:pPr>
      <w:r>
        <w:rPr>
          <w:lang w:eastAsia="fr-FR"/>
        </w:rPr>
        <w:t>« </w:t>
      </w:r>
      <w:r w:rsidR="00C065F4" w:rsidRPr="00C413C3">
        <w:rPr>
          <w:lang w:eastAsia="fr-FR"/>
        </w:rPr>
        <w:t>…</w:t>
      </w:r>
    </w:p>
    <w:p w14:paraId="7C58C9C2" w14:textId="7D9334B3" w:rsidR="00C065F4" w:rsidRPr="00C413C3" w:rsidRDefault="00943541" w:rsidP="00943541">
      <w:pPr>
        <w:tabs>
          <w:tab w:val="right" w:pos="850"/>
          <w:tab w:val="right" w:leader="dot" w:pos="8787"/>
          <w:tab w:val="right" w:pos="9638"/>
        </w:tabs>
        <w:spacing w:after="120"/>
        <w:ind w:left="1134" w:hanging="1134"/>
        <w:rPr>
          <w:rFonts w:eastAsia="Times New Roman"/>
          <w:lang w:eastAsia="fr-FR"/>
        </w:rPr>
      </w:pPr>
      <w:r>
        <w:tab/>
      </w:r>
      <w:r w:rsidR="00C065F4" w:rsidRPr="00C413C3">
        <w:t>7</w:t>
      </w:r>
      <w:r w:rsidR="005B0026">
        <w:t>.</w:t>
      </w:r>
      <w:r>
        <w:tab/>
      </w:r>
      <w:r w:rsidR="00C065F4" w:rsidRPr="00C413C3">
        <w:rPr>
          <w:rFonts w:eastAsia="Times New Roman"/>
          <w:lang w:eastAsia="fr-FR"/>
        </w:rPr>
        <w:t xml:space="preserve">Essai de fonctionnement du système de surveillance de la pression </w:t>
      </w:r>
      <w:r>
        <w:rPr>
          <w:rFonts w:eastAsia="Times New Roman"/>
          <w:lang w:eastAsia="fr-FR"/>
        </w:rPr>
        <w:br/>
      </w:r>
      <w:r w:rsidR="00C065F4" w:rsidRPr="00C413C3">
        <w:rPr>
          <w:rFonts w:eastAsia="Times New Roman"/>
          <w:lang w:eastAsia="fr-FR"/>
        </w:rPr>
        <w:t xml:space="preserve">des pneumatiques, du </w:t>
      </w:r>
      <w:r w:rsidR="00C065F4" w:rsidRPr="00943541">
        <w:rPr>
          <w:lang w:eastAsia="fr-FR"/>
        </w:rPr>
        <w:t>système</w:t>
      </w:r>
      <w:r w:rsidR="00C065F4" w:rsidRPr="00C413C3">
        <w:rPr>
          <w:rFonts w:eastAsia="Times New Roman"/>
          <w:lang w:eastAsia="fr-FR"/>
        </w:rPr>
        <w:t xml:space="preserve"> de regonflage des pneumatiques </w:t>
      </w:r>
      <w:r>
        <w:rPr>
          <w:rFonts w:eastAsia="Times New Roman"/>
          <w:lang w:eastAsia="fr-FR"/>
        </w:rPr>
        <w:br/>
      </w:r>
      <w:r w:rsidR="00C065F4" w:rsidRPr="00C413C3">
        <w:rPr>
          <w:rFonts w:eastAsia="Times New Roman"/>
          <w:lang w:eastAsia="fr-FR"/>
        </w:rPr>
        <w:t>ou du système central de gonflage des pneumatiques</w:t>
      </w:r>
      <w:r>
        <w:rPr>
          <w:rFonts w:eastAsia="Times New Roman"/>
          <w:lang w:eastAsia="fr-FR"/>
        </w:rPr>
        <w:tab/>
      </w:r>
      <w:r w:rsidR="005B0026">
        <w:rPr>
          <w:rFonts w:eastAsia="Times New Roman"/>
          <w:lang w:eastAsia="fr-FR"/>
        </w:rPr>
        <w:tab/>
      </w:r>
    </w:p>
    <w:p w14:paraId="75410CA9" w14:textId="1359A58D" w:rsidR="00C065F4" w:rsidRPr="00C413C3" w:rsidRDefault="00943541" w:rsidP="00943541">
      <w:pPr>
        <w:tabs>
          <w:tab w:val="right" w:pos="850"/>
          <w:tab w:val="right" w:leader="dot" w:pos="8787"/>
          <w:tab w:val="right" w:pos="9638"/>
        </w:tabs>
        <w:spacing w:after="120"/>
        <w:ind w:left="1134" w:hanging="1134"/>
        <w:rPr>
          <w:rFonts w:eastAsia="Times New Roman"/>
          <w:lang w:eastAsia="fr-FR"/>
        </w:rPr>
      </w:pPr>
      <w:r>
        <w:rPr>
          <w:rFonts w:eastAsia="Times New Roman"/>
          <w:lang w:eastAsia="fr-FR"/>
        </w:rPr>
        <w:tab/>
      </w:r>
      <w:r w:rsidR="00C065F4" w:rsidRPr="00C413C3">
        <w:rPr>
          <w:rFonts w:eastAsia="Times New Roman"/>
          <w:lang w:eastAsia="fr-FR"/>
        </w:rPr>
        <w:t>8</w:t>
      </w:r>
      <w:r w:rsidR="005B0026">
        <w:rPr>
          <w:rFonts w:eastAsia="Times New Roman"/>
          <w:lang w:eastAsia="fr-FR"/>
        </w:rPr>
        <w:t>.</w:t>
      </w:r>
      <w:r w:rsidR="00C065F4" w:rsidRPr="00C413C3">
        <w:rPr>
          <w:rFonts w:eastAsia="Times New Roman"/>
          <w:lang w:eastAsia="fr-FR"/>
        </w:rPr>
        <w:tab/>
      </w:r>
      <w:r w:rsidR="00C065F4" w:rsidRPr="00943541">
        <w:rPr>
          <w:lang w:eastAsia="fr-FR"/>
        </w:rPr>
        <w:t>Procédure</w:t>
      </w:r>
      <w:r w:rsidR="00C065F4" w:rsidRPr="00C413C3">
        <w:rPr>
          <w:rFonts w:eastAsia="Times New Roman"/>
          <w:lang w:eastAsia="fr-FR"/>
        </w:rPr>
        <w:t xml:space="preserve"> de remplacement pour l’homologation de type </w:t>
      </w:r>
      <w:r>
        <w:rPr>
          <w:rFonts w:eastAsia="Times New Roman"/>
          <w:lang w:eastAsia="fr-FR"/>
        </w:rPr>
        <w:br/>
      </w:r>
      <w:r w:rsidR="00C065F4" w:rsidRPr="00C413C3">
        <w:rPr>
          <w:rFonts w:eastAsia="Times New Roman"/>
          <w:lang w:eastAsia="fr-FR"/>
        </w:rPr>
        <w:t>d’une remorque considérée</w:t>
      </w:r>
      <w:r w:rsidR="00C065F4" w:rsidRPr="00C413C3">
        <w:rPr>
          <w:rFonts w:eastAsia="Times New Roman"/>
          <w:lang w:eastAsia="fr-FR"/>
        </w:rPr>
        <w:tab/>
      </w:r>
      <w:r>
        <w:rPr>
          <w:rFonts w:eastAsia="Times New Roman"/>
          <w:lang w:eastAsia="fr-FR"/>
        </w:rPr>
        <w:tab/>
        <w:t> »</w:t>
      </w:r>
      <w:r w:rsidR="00C065F4" w:rsidRPr="00C413C3">
        <w:rPr>
          <w:rFonts w:eastAsia="Times New Roman"/>
          <w:lang w:eastAsia="fr-FR"/>
        </w:rPr>
        <w:t>.</w:t>
      </w:r>
    </w:p>
    <w:p w14:paraId="5B8FB2E4" w14:textId="73BD6303" w:rsidR="00C065F4" w:rsidRPr="00C413C3" w:rsidRDefault="00C065F4" w:rsidP="00943541">
      <w:pPr>
        <w:pStyle w:val="SingleTxtG"/>
      </w:pPr>
      <w:r>
        <w:rPr>
          <w:i/>
          <w:iCs/>
        </w:rPr>
        <w:t xml:space="preserve">Paragraphe </w:t>
      </w:r>
      <w:r w:rsidRPr="00C413C3">
        <w:rPr>
          <w:i/>
          <w:iCs/>
        </w:rPr>
        <w:t>12</w:t>
      </w:r>
      <w:r w:rsidRPr="00C413C3">
        <w:t>, lire</w:t>
      </w:r>
      <w:r>
        <w:t> :</w:t>
      </w:r>
    </w:p>
    <w:p w14:paraId="32CECCA4" w14:textId="77777777" w:rsidR="00C065F4" w:rsidRPr="00C413C3" w:rsidRDefault="00C065F4" w:rsidP="00C065F4">
      <w:pPr>
        <w:pStyle w:val="SingleTxtG"/>
        <w:ind w:left="2268" w:hanging="1134"/>
      </w:pPr>
      <w:r w:rsidRPr="00C413C3">
        <w:t>« 12.</w:t>
      </w:r>
      <w:r w:rsidRPr="00C413C3">
        <w:tab/>
      </w:r>
      <w:r w:rsidRPr="00C413C3">
        <w:tab/>
        <w:t>Dispositions transitoires</w:t>
      </w:r>
    </w:p>
    <w:p w14:paraId="428D7410" w14:textId="702440EB" w:rsidR="00C065F4" w:rsidRPr="00C413C3" w:rsidRDefault="00C065F4" w:rsidP="00C065F4">
      <w:pPr>
        <w:pStyle w:val="SingleTxtG"/>
        <w:ind w:left="2268" w:hanging="1134"/>
        <w:rPr>
          <w:iCs/>
          <w:color w:val="000000"/>
        </w:rPr>
      </w:pPr>
      <w:r w:rsidRPr="00C413C3">
        <w:t>12.1</w:t>
      </w:r>
      <w:r w:rsidRPr="00C413C3">
        <w:tab/>
        <w:t xml:space="preserve">À compter de la date officielle d’entrée en vigueur de la </w:t>
      </w:r>
      <w:r>
        <w:t xml:space="preserve">série </w:t>
      </w:r>
      <w:r w:rsidRPr="00C413C3">
        <w:t xml:space="preserve">01 d’amendements, aucune Partie contractante appliquant le présent Règlement ne pourra refuser d’accorder ou d’accepter une homologation de type en vertu dudit Règlement tel que modifié par la </w:t>
      </w:r>
      <w:r>
        <w:t xml:space="preserve">série </w:t>
      </w:r>
      <w:r w:rsidRPr="00C413C3">
        <w:t>01 d’amendements.</w:t>
      </w:r>
    </w:p>
    <w:p w14:paraId="47AA6467" w14:textId="100872D6" w:rsidR="00C065F4" w:rsidRPr="00C413C3" w:rsidRDefault="00C065F4" w:rsidP="00C065F4">
      <w:pPr>
        <w:pStyle w:val="SingleTxtG"/>
        <w:ind w:left="2268" w:hanging="1134"/>
        <w:rPr>
          <w:iCs/>
          <w:color w:val="000000"/>
        </w:rPr>
      </w:pPr>
      <w:r w:rsidRPr="00C413C3">
        <w:t>12.2</w:t>
      </w:r>
      <w:r w:rsidRPr="00C413C3">
        <w:tab/>
        <w:t xml:space="preserve">À compter du 6 juillet 2022, pour les types de véhicules de la </w:t>
      </w:r>
      <w:r w:rsidR="005E24D6">
        <w:t xml:space="preserve">catégorie </w:t>
      </w:r>
      <w:r w:rsidRPr="00C413C3">
        <w:t>N</w:t>
      </w:r>
      <w:r w:rsidRPr="00C413C3">
        <w:rPr>
          <w:vertAlign w:val="subscript"/>
        </w:rPr>
        <w:t>1</w:t>
      </w:r>
      <w:r w:rsidRPr="00C413C3">
        <w:t xml:space="preserve"> qui ne sont pas équipés de roues jumelées montées sur un essieu, les Parties contractantes appliquant le présent Règlement ne seront plus tenues d’accepter les homologations de type établies conformément aux précédentes séries d’amendements, délivrées pour la première fois après le 6 juillet 2022.</w:t>
      </w:r>
    </w:p>
    <w:p w14:paraId="6EDA8E0B" w14:textId="017BFC59" w:rsidR="00C065F4" w:rsidRPr="00C413C3" w:rsidRDefault="00C065F4" w:rsidP="00C065F4">
      <w:pPr>
        <w:pStyle w:val="SingleTxtG"/>
        <w:ind w:left="2268" w:hanging="1134"/>
        <w:rPr>
          <w:iCs/>
          <w:color w:val="000000"/>
        </w:rPr>
      </w:pPr>
      <w:r w:rsidRPr="00C413C3">
        <w:t>12.3</w:t>
      </w:r>
      <w:r w:rsidRPr="00C413C3">
        <w:tab/>
        <w:t xml:space="preserve">Jusqu’au 6 juillet 2022, pour les types de véhicules de la </w:t>
      </w:r>
      <w:r w:rsidR="005E24D6">
        <w:t xml:space="preserve">catégorie </w:t>
      </w:r>
      <w:r w:rsidRPr="00C413C3">
        <w:t>M</w:t>
      </w:r>
      <w:r w:rsidRPr="00C413C3">
        <w:rPr>
          <w:vertAlign w:val="subscript"/>
        </w:rPr>
        <w:t>1</w:t>
      </w:r>
      <w:r w:rsidRPr="00C413C3">
        <w:t xml:space="preserve"> dont la masse maximale autorisée n’est pas supérieure à 3</w:t>
      </w:r>
      <w:r w:rsidR="005E24D6">
        <w:t> </w:t>
      </w:r>
      <w:r w:rsidRPr="00C413C3">
        <w:t>500</w:t>
      </w:r>
      <w:r w:rsidR="005E24D6">
        <w:t xml:space="preserve"> </w:t>
      </w:r>
      <w:r w:rsidRPr="00C413C3">
        <w:t xml:space="preserve">kg et qui ne sont pas équipés de roues jumelées montées sur un essieu, et jusqu’au 6 juillet 2024 pour les types de véhicules de la </w:t>
      </w:r>
      <w:r w:rsidR="005E24D6">
        <w:t xml:space="preserve">catégorie </w:t>
      </w:r>
      <w:r w:rsidRPr="00C413C3">
        <w:t>N</w:t>
      </w:r>
      <w:r w:rsidRPr="00C413C3">
        <w:rPr>
          <w:vertAlign w:val="subscript"/>
        </w:rPr>
        <w:t>1</w:t>
      </w:r>
      <w:r w:rsidRPr="00C413C3">
        <w:t xml:space="preserve"> qui ne sont pas équipés de roues jumelées montées sur un essieu, les Parties contractantes appliquant le présent Règlement seront tenues d’accepter les homologations de type établies conformément aux précédentes séries d’amendements, délivrées pour la première fois avant le 6 juillet 2022.</w:t>
      </w:r>
    </w:p>
    <w:p w14:paraId="518838E7" w14:textId="0B05A4D5" w:rsidR="00C065F4" w:rsidRPr="00C413C3" w:rsidRDefault="00C065F4" w:rsidP="00C065F4">
      <w:pPr>
        <w:pStyle w:val="SingleTxtG"/>
        <w:ind w:left="2268" w:hanging="1134"/>
        <w:rPr>
          <w:iCs/>
          <w:color w:val="000000"/>
        </w:rPr>
      </w:pPr>
      <w:r w:rsidRPr="00C413C3">
        <w:t>12.4</w:t>
      </w:r>
      <w:r w:rsidRPr="00C413C3">
        <w:tab/>
        <w:t xml:space="preserve">À compter du 6 juillet 2022, pour les types de véhicules de la </w:t>
      </w:r>
      <w:r w:rsidR="005E24D6">
        <w:t xml:space="preserve">catégorie </w:t>
      </w:r>
      <w:r w:rsidRPr="00C413C3">
        <w:t>M</w:t>
      </w:r>
      <w:r w:rsidRPr="00C413C3">
        <w:rPr>
          <w:vertAlign w:val="subscript"/>
        </w:rPr>
        <w:t>1</w:t>
      </w:r>
      <w:r w:rsidRPr="00C413C3">
        <w:t xml:space="preserve"> dont la masse maximale autorisée n’est pas supérieure à 3</w:t>
      </w:r>
      <w:r w:rsidR="005E24D6">
        <w:t> </w:t>
      </w:r>
      <w:r w:rsidRPr="00C413C3">
        <w:t>500</w:t>
      </w:r>
      <w:r w:rsidR="005E24D6">
        <w:t xml:space="preserve"> </w:t>
      </w:r>
      <w:r w:rsidRPr="00C413C3">
        <w:t xml:space="preserve">kg et qui ne sont pas équipés de roues jumelées montées sur un essieu, et jusqu’au 6 juillet 2024 pour les types de véhicules de la </w:t>
      </w:r>
      <w:r w:rsidR="005E24D6">
        <w:t xml:space="preserve">catégorie </w:t>
      </w:r>
      <w:r w:rsidRPr="00C413C3">
        <w:t>N</w:t>
      </w:r>
      <w:r w:rsidRPr="00C413C3">
        <w:rPr>
          <w:vertAlign w:val="subscript"/>
        </w:rPr>
        <w:t>1</w:t>
      </w:r>
      <w:r w:rsidRPr="00C413C3">
        <w:t xml:space="preserve"> qui ne sont pas équipés de roues jumelées montées sur un essieu, les Parties contractantes appliquant le présent Règlement ne seront plus tenues d’accepter les homologations de type délivrées en vertu des précédentes séries d’amendements audit Règlement.</w:t>
      </w:r>
    </w:p>
    <w:p w14:paraId="71FBC7F6" w14:textId="21D4F38A" w:rsidR="00C065F4" w:rsidRPr="00C413C3" w:rsidRDefault="00C065F4" w:rsidP="00C065F4">
      <w:pPr>
        <w:pStyle w:val="SingleTxtG"/>
        <w:ind w:left="2268" w:hanging="1134"/>
        <w:rPr>
          <w:iCs/>
          <w:color w:val="000000"/>
        </w:rPr>
      </w:pPr>
      <w:r w:rsidRPr="00C413C3">
        <w:t>12.5</w:t>
      </w:r>
      <w:r w:rsidRPr="00C413C3">
        <w:tab/>
      </w:r>
      <w:r w:rsidRPr="00C413C3">
        <w:rPr>
          <w:iCs/>
          <w:color w:val="000000"/>
        </w:rPr>
        <w:t xml:space="preserve">Nonobstant les dispositions transitoires ci-dessus, les Parties contractantes qui commencent à appliquer le présent Règlement après la date d’entrée en vigueur de la plus récente </w:t>
      </w:r>
      <w:r>
        <w:rPr>
          <w:iCs/>
          <w:color w:val="000000"/>
        </w:rPr>
        <w:t xml:space="preserve">série </w:t>
      </w:r>
      <w:r w:rsidRPr="00C413C3">
        <w:rPr>
          <w:iCs/>
          <w:color w:val="000000"/>
        </w:rPr>
        <w:t xml:space="preserve">d’amendements ne sont pas tenues d’accepter les homologations de type délivrées en vertu des précédentes séries d’amendements à ce Règlement et ne sont tenues d’accepter que les homologations de type délivrées en vertu de la </w:t>
      </w:r>
      <w:r>
        <w:rPr>
          <w:iCs/>
          <w:color w:val="000000"/>
        </w:rPr>
        <w:t xml:space="preserve">série </w:t>
      </w:r>
      <w:r w:rsidRPr="00C413C3">
        <w:rPr>
          <w:iCs/>
          <w:color w:val="000000"/>
        </w:rPr>
        <w:t>01 d’amendements</w:t>
      </w:r>
      <w:r w:rsidRPr="00C413C3">
        <w:t>.</w:t>
      </w:r>
    </w:p>
    <w:p w14:paraId="63332499" w14:textId="2EE616DD" w:rsidR="00C065F4" w:rsidRPr="00C413C3" w:rsidRDefault="00C065F4" w:rsidP="00C065F4">
      <w:pPr>
        <w:pStyle w:val="SingleTxtG"/>
        <w:ind w:left="2268" w:hanging="1134"/>
        <w:rPr>
          <w:iCs/>
          <w:color w:val="000000"/>
        </w:rPr>
      </w:pPr>
      <w:r w:rsidRPr="00C413C3">
        <w:t>12.6</w:t>
      </w:r>
      <w:r w:rsidRPr="00C413C3">
        <w:tab/>
      </w:r>
      <w:r w:rsidRPr="00C413C3">
        <w:rPr>
          <w:iCs/>
          <w:color w:val="000000"/>
        </w:rPr>
        <w:t xml:space="preserve">Nonobstant les dispositions du </w:t>
      </w:r>
      <w:r>
        <w:rPr>
          <w:iCs/>
          <w:color w:val="000000"/>
        </w:rPr>
        <w:t xml:space="preserve">paragraphe </w:t>
      </w:r>
      <w:r w:rsidRPr="00C413C3">
        <w:rPr>
          <w:iCs/>
          <w:color w:val="000000"/>
        </w:rPr>
        <w:t xml:space="preserve">12.4, les Parties contractantes appliquant le présent Règlement devront continuer à reconnaître les homologations de type délivrées au titre des précédentes séries d’amendements à ce Règlement, pour les véhicules ou les systèmes pour véhicules qui ne sont pas concernés par les modifications apportées par la </w:t>
      </w:r>
      <w:r>
        <w:rPr>
          <w:iCs/>
          <w:color w:val="000000"/>
        </w:rPr>
        <w:t xml:space="preserve">série </w:t>
      </w:r>
      <w:r w:rsidRPr="00C413C3">
        <w:rPr>
          <w:iCs/>
          <w:color w:val="000000"/>
        </w:rPr>
        <w:t>01 d’amendements</w:t>
      </w:r>
      <w:r w:rsidRPr="00C413C3">
        <w:t>.</w:t>
      </w:r>
    </w:p>
    <w:p w14:paraId="3C0FE1B7" w14:textId="77777777" w:rsidR="00C065F4" w:rsidRPr="00C413C3" w:rsidRDefault="00C065F4" w:rsidP="00C065F4">
      <w:pPr>
        <w:pStyle w:val="SingleTxtG"/>
        <w:ind w:left="2268" w:hanging="1134"/>
        <w:rPr>
          <w:iCs/>
          <w:color w:val="000000" w:themeColor="text1"/>
        </w:rPr>
      </w:pPr>
      <w:r w:rsidRPr="00C413C3">
        <w:t>12.7</w:t>
      </w:r>
      <w:r w:rsidRPr="00C413C3">
        <w:tab/>
        <w:t>Les</w:t>
      </w:r>
      <w:r w:rsidRPr="00C413C3">
        <w:rPr>
          <w:iCs/>
          <w:color w:val="000000" w:themeColor="text1"/>
        </w:rPr>
        <w:t xml:space="preserve"> Parties contractantes appliquant le présent Règlement peuvent accorder des homologations de type en vertu de l’une quelconque des précédentes </w:t>
      </w:r>
      <w:r w:rsidRPr="00C413C3">
        <w:rPr>
          <w:iCs/>
          <w:color w:val="000000"/>
        </w:rPr>
        <w:t>séries</w:t>
      </w:r>
      <w:r w:rsidRPr="00C413C3">
        <w:rPr>
          <w:iCs/>
          <w:color w:val="000000" w:themeColor="text1"/>
        </w:rPr>
        <w:t xml:space="preserve"> d’amendements à ce Règlement</w:t>
      </w:r>
      <w:r w:rsidRPr="00C413C3">
        <w:t>.</w:t>
      </w:r>
    </w:p>
    <w:p w14:paraId="4853050B" w14:textId="77777777" w:rsidR="00C065F4" w:rsidRPr="00C413C3" w:rsidRDefault="00C065F4" w:rsidP="00C065F4">
      <w:pPr>
        <w:pStyle w:val="SingleTxtG"/>
        <w:ind w:left="2268" w:hanging="1134"/>
        <w:rPr>
          <w:sz w:val="18"/>
          <w:szCs w:val="18"/>
        </w:rPr>
      </w:pPr>
      <w:r w:rsidRPr="00C413C3">
        <w:t>12.8</w:t>
      </w:r>
      <w:r w:rsidRPr="00C413C3">
        <w:tab/>
      </w:r>
      <w:r w:rsidRPr="00C413C3">
        <w:rPr>
          <w:iCs/>
          <w:color w:val="000000" w:themeColor="text1"/>
        </w:rPr>
        <w:t xml:space="preserve">Les Parties contractantes </w:t>
      </w:r>
      <w:r w:rsidRPr="00C413C3">
        <w:rPr>
          <w:iCs/>
          <w:color w:val="000000"/>
        </w:rPr>
        <w:t>appliquant</w:t>
      </w:r>
      <w:r w:rsidRPr="00C413C3">
        <w:rPr>
          <w:iCs/>
          <w:color w:val="000000" w:themeColor="text1"/>
        </w:rPr>
        <w:t xml:space="preserve"> le présent Règlement doivent continuer à accorder des extensions d’homologations existantes en vertu de l’une quelconque des précédentes séries d’amendements à ce Règlement</w:t>
      </w:r>
      <w:r w:rsidRPr="00C413C3">
        <w:t>. ».</w:t>
      </w:r>
    </w:p>
    <w:p w14:paraId="33F54F7D" w14:textId="3C2509F8" w:rsidR="00C065F4" w:rsidRPr="00C413C3" w:rsidRDefault="00C065F4" w:rsidP="00846228">
      <w:pPr>
        <w:pStyle w:val="SingleTxtG"/>
        <w:keepNext/>
      </w:pPr>
      <w:r w:rsidRPr="00C413C3">
        <w:rPr>
          <w:i/>
          <w:iCs/>
        </w:rPr>
        <w:lastRenderedPageBreak/>
        <w:t>Ajouter les nouvelles annexes</w:t>
      </w:r>
      <w:r w:rsidR="00846228">
        <w:rPr>
          <w:i/>
          <w:iCs/>
        </w:rPr>
        <w:t xml:space="preserve"> </w:t>
      </w:r>
      <w:r w:rsidRPr="00C413C3">
        <w:rPr>
          <w:i/>
          <w:iCs/>
        </w:rPr>
        <w:t>7 et 8</w:t>
      </w:r>
      <w:r w:rsidRPr="00C413C3">
        <w:t>, comme suit</w:t>
      </w:r>
      <w:r>
        <w:t> :</w:t>
      </w:r>
    </w:p>
    <w:p w14:paraId="64F735BD" w14:textId="71DAD979" w:rsidR="00C065F4" w:rsidRPr="00C413C3" w:rsidRDefault="00C065F4" w:rsidP="00C065F4">
      <w:pPr>
        <w:pStyle w:val="HChG"/>
        <w:rPr>
          <w:szCs w:val="28"/>
        </w:rPr>
      </w:pPr>
      <w:r w:rsidRPr="00C413C3">
        <w:rPr>
          <w:sz w:val="20"/>
        </w:rPr>
        <w:t>« </w:t>
      </w:r>
      <w:r>
        <w:t xml:space="preserve">Annexe </w:t>
      </w:r>
      <w:r w:rsidRPr="00C413C3">
        <w:t>7</w:t>
      </w:r>
    </w:p>
    <w:p w14:paraId="7AD590DD" w14:textId="245D6388" w:rsidR="00C065F4" w:rsidRPr="00C413C3" w:rsidRDefault="00C065F4" w:rsidP="00C065F4">
      <w:pPr>
        <w:pStyle w:val="HChG"/>
        <w:rPr>
          <w:szCs w:val="28"/>
        </w:rPr>
      </w:pPr>
      <w:r w:rsidRPr="00C413C3">
        <w:rPr>
          <w:rFonts w:ascii="Times New Roman Gras" w:hAnsi="Times New Roman Gras"/>
          <w:spacing w:val="2"/>
        </w:rPr>
        <w:tab/>
      </w:r>
      <w:r w:rsidRPr="00C413C3">
        <w:rPr>
          <w:rFonts w:ascii="Times New Roman Gras" w:hAnsi="Times New Roman Gras"/>
          <w:spacing w:val="2"/>
        </w:rPr>
        <w:tab/>
        <w:t>Essai de fonctionnement du système de surveillance de</w:t>
      </w:r>
      <w:r w:rsidR="005E24D6">
        <w:rPr>
          <w:rFonts w:ascii="Times New Roman Gras" w:hAnsi="Times New Roman Gras" w:hint="eastAsia"/>
          <w:spacing w:val="2"/>
        </w:rPr>
        <w:t> </w:t>
      </w:r>
      <w:r w:rsidRPr="00C413C3">
        <w:rPr>
          <w:rFonts w:ascii="Times New Roman Gras" w:hAnsi="Times New Roman Gras"/>
          <w:spacing w:val="2"/>
        </w:rPr>
        <w:t>la</w:t>
      </w:r>
      <w:r w:rsidR="005E24D6">
        <w:rPr>
          <w:rFonts w:ascii="Times New Roman Gras" w:hAnsi="Times New Roman Gras" w:hint="eastAsia"/>
          <w:spacing w:val="2"/>
        </w:rPr>
        <w:t> </w:t>
      </w:r>
      <w:r w:rsidRPr="00C413C3">
        <w:rPr>
          <w:rFonts w:ascii="Times New Roman Gras" w:hAnsi="Times New Roman Gras"/>
          <w:spacing w:val="2"/>
        </w:rPr>
        <w:t>pression des pneumatiques, ou du système de</w:t>
      </w:r>
      <w:r w:rsidR="005E24D6">
        <w:rPr>
          <w:rFonts w:ascii="Times New Roman Gras" w:hAnsi="Times New Roman Gras" w:hint="eastAsia"/>
          <w:spacing w:val="2"/>
        </w:rPr>
        <w:t> </w:t>
      </w:r>
      <w:r w:rsidRPr="00C413C3">
        <w:rPr>
          <w:rFonts w:ascii="Times New Roman Gras" w:hAnsi="Times New Roman Gras"/>
          <w:spacing w:val="2"/>
        </w:rPr>
        <w:t>regonflage des pneumatiques, ou du système central de</w:t>
      </w:r>
      <w:r w:rsidR="005E24D6">
        <w:rPr>
          <w:rFonts w:ascii="Times New Roman Gras" w:hAnsi="Times New Roman Gras" w:hint="eastAsia"/>
          <w:spacing w:val="2"/>
        </w:rPr>
        <w:t> </w:t>
      </w:r>
      <w:r w:rsidRPr="00C413C3">
        <w:rPr>
          <w:rFonts w:ascii="Times New Roman Gras" w:hAnsi="Times New Roman Gras"/>
          <w:spacing w:val="2"/>
        </w:rPr>
        <w:t>gonflage des pneumatiques</w:t>
      </w:r>
    </w:p>
    <w:p w14:paraId="6E235C21" w14:textId="77777777" w:rsidR="00C065F4" w:rsidRPr="00C413C3" w:rsidRDefault="00C065F4" w:rsidP="00C065F4">
      <w:pPr>
        <w:pStyle w:val="SingleTxtG"/>
        <w:ind w:left="2268" w:hanging="1134"/>
      </w:pPr>
      <w:r w:rsidRPr="00C413C3">
        <w:t>1.</w:t>
      </w:r>
      <w:r w:rsidRPr="00C413C3">
        <w:tab/>
        <w:t>Généralités</w:t>
      </w:r>
    </w:p>
    <w:p w14:paraId="5D9242EA" w14:textId="66ACCA49" w:rsidR="00C065F4" w:rsidRPr="00C413C3" w:rsidRDefault="00C065F4" w:rsidP="00C065F4">
      <w:pPr>
        <w:pStyle w:val="SingleTxtG"/>
        <w:ind w:left="2268" w:hanging="1134"/>
      </w:pPr>
      <w:r w:rsidRPr="00C413C3">
        <w:t>1.1</w:t>
      </w:r>
      <w:r w:rsidRPr="00C413C3">
        <w:tab/>
        <w:t xml:space="preserve">La présente </w:t>
      </w:r>
      <w:r>
        <w:t xml:space="preserve">annexe </w:t>
      </w:r>
      <w:r w:rsidRPr="00C413C3">
        <w:t xml:space="preserve">définit la procédure à suivre pour évaluer le fonctionnement d’un système de surveillance de la pression des pneumatiques (TPMS), d’un système de regonflage des pneumatiques (TPRS) ou d’un système central de gonflage des pneumatiques (CTIS) destiné à être installé sur un véhicule de la </w:t>
      </w:r>
      <w:r w:rsidR="005E24D6">
        <w:t xml:space="preserve">catégorie </w:t>
      </w:r>
      <w:r w:rsidRPr="00C413C3">
        <w:t>O</w:t>
      </w:r>
      <w:r w:rsidRPr="00C413C3">
        <w:rPr>
          <w:vertAlign w:val="subscript"/>
        </w:rPr>
        <w:t>3</w:t>
      </w:r>
      <w:r w:rsidRPr="00C413C3">
        <w:t xml:space="preserve"> ou O</w:t>
      </w:r>
      <w:r w:rsidRPr="00C413C3">
        <w:rPr>
          <w:vertAlign w:val="subscript"/>
        </w:rPr>
        <w:t>4</w:t>
      </w:r>
      <w:r w:rsidRPr="00C413C3">
        <w:t>.</w:t>
      </w:r>
    </w:p>
    <w:p w14:paraId="4F1DFE9F" w14:textId="42CA5AA7" w:rsidR="00C065F4" w:rsidRPr="00C413C3" w:rsidRDefault="00C065F4" w:rsidP="00C065F4">
      <w:pPr>
        <w:pStyle w:val="SingleTxtG"/>
        <w:ind w:left="2268" w:hanging="1134"/>
      </w:pPr>
      <w:r w:rsidRPr="00C413C3">
        <w:t>1.2</w:t>
      </w:r>
      <w:r w:rsidRPr="00C413C3">
        <w:tab/>
        <w:t xml:space="preserve">Les prescriptions découlant des essais effectués sur des remorques de la </w:t>
      </w:r>
      <w:r w:rsidR="005E24D6">
        <w:t xml:space="preserve">catégorie </w:t>
      </w:r>
      <w:r w:rsidRPr="00C413C3">
        <w:t>O</w:t>
      </w:r>
      <w:r w:rsidRPr="00C413C3">
        <w:rPr>
          <w:vertAlign w:val="subscript"/>
        </w:rPr>
        <w:t>4</w:t>
      </w:r>
      <w:r w:rsidRPr="00C413C3">
        <w:t xml:space="preserve"> valent aussi pour les remorques de la </w:t>
      </w:r>
      <w:r w:rsidR="005E24D6">
        <w:t xml:space="preserve">catégorie </w:t>
      </w:r>
      <w:r w:rsidRPr="00C413C3">
        <w:t>O</w:t>
      </w:r>
      <w:r w:rsidRPr="00C413C3">
        <w:rPr>
          <w:vertAlign w:val="subscript"/>
        </w:rPr>
        <w:t>3</w:t>
      </w:r>
      <w:r w:rsidRPr="00C413C3">
        <w:t>.</w:t>
      </w:r>
    </w:p>
    <w:p w14:paraId="4CBDFE04" w14:textId="77777777" w:rsidR="00C065F4" w:rsidRPr="00C413C3" w:rsidRDefault="00C065F4" w:rsidP="00C065F4">
      <w:pPr>
        <w:pStyle w:val="SingleTxtG"/>
        <w:ind w:left="2268" w:hanging="1134"/>
      </w:pPr>
      <w:r w:rsidRPr="00C413C3">
        <w:t>2.</w:t>
      </w:r>
      <w:r w:rsidRPr="00C413C3">
        <w:tab/>
        <w:t>Fiche de renseignements</w:t>
      </w:r>
    </w:p>
    <w:p w14:paraId="2FC6BAA4" w14:textId="31A1C788" w:rsidR="00C065F4" w:rsidRPr="00C413C3" w:rsidRDefault="00C065F4" w:rsidP="00C065F4">
      <w:pPr>
        <w:pStyle w:val="SingleTxtG"/>
        <w:ind w:left="2268" w:hanging="1134"/>
      </w:pPr>
      <w:r w:rsidRPr="00C413C3">
        <w:t>2.1</w:t>
      </w:r>
      <w:r w:rsidRPr="00C413C3">
        <w:tab/>
        <w:t>Le fabricant du TPMS/TPRS/CTIS doit fournir au service technique une fiche de renseignements sur le ou les systèmes dont le fonctionnement doit être vérifié, dans laquelle doivent figurer au moins les informations visées à l’</w:t>
      </w:r>
      <w:r>
        <w:t xml:space="preserve">appendice </w:t>
      </w:r>
      <w:r w:rsidRPr="00C413C3">
        <w:t>1 et, le cas échéant, l’</w:t>
      </w:r>
      <w:r>
        <w:t xml:space="preserve">appendice </w:t>
      </w:r>
      <w:r w:rsidRPr="00C413C3">
        <w:t>2 de la présente annexe.</w:t>
      </w:r>
    </w:p>
    <w:p w14:paraId="75F30196" w14:textId="41FB3D2D" w:rsidR="00C065F4" w:rsidRPr="00C413C3" w:rsidRDefault="00C065F4" w:rsidP="00C065F4">
      <w:pPr>
        <w:pStyle w:val="SingleTxtG"/>
        <w:ind w:left="2268" w:hanging="1134"/>
      </w:pPr>
      <w:r w:rsidRPr="00C413C3">
        <w:t>2.2</w:t>
      </w:r>
      <w:r w:rsidRPr="00C413C3">
        <w:tab/>
        <w:t>Le cas échéant, le fabricant du module de gestion électronique conforme à la norme ISO 11992-2 installé sur le véhicule tracté (module passerelle) doit fournir au fabricant du TPMS/TPRS/CTIS une fiche de renseignements sur le ou les systèmes dont le fonctionnement doit être vérifié, que le fabricant doit transmettre au service technique, et dans laquelle doivent figurer au moins les informations visées à l’</w:t>
      </w:r>
      <w:r>
        <w:t xml:space="preserve">appendice </w:t>
      </w:r>
      <w:r w:rsidRPr="00C413C3">
        <w:t>2 de la présente annexe.</w:t>
      </w:r>
    </w:p>
    <w:p w14:paraId="0690D9CC" w14:textId="77777777" w:rsidR="00C065F4" w:rsidRPr="00C413C3" w:rsidRDefault="00C065F4" w:rsidP="00C065F4">
      <w:pPr>
        <w:pStyle w:val="SingleTxtG"/>
        <w:ind w:left="2268" w:hanging="1134"/>
      </w:pPr>
      <w:r w:rsidRPr="00C413C3">
        <w:t>3.</w:t>
      </w:r>
      <w:r w:rsidRPr="00C413C3">
        <w:tab/>
        <w:t>Définition des véhicules d’essai</w:t>
      </w:r>
    </w:p>
    <w:p w14:paraId="7E0015C9" w14:textId="2755FCE1" w:rsidR="00C065F4" w:rsidRPr="00C413C3" w:rsidRDefault="00C065F4" w:rsidP="00C065F4">
      <w:pPr>
        <w:pStyle w:val="SingleTxtG"/>
        <w:ind w:left="2268" w:hanging="1134"/>
      </w:pPr>
      <w:r w:rsidRPr="00C413C3">
        <w:t>3.1</w:t>
      </w:r>
      <w:r w:rsidRPr="00C413C3">
        <w:tab/>
        <w:t xml:space="preserve">Sur la base des informations figurant dans la fiche de renseignements, concernant, en particulier, les applications définies au </w:t>
      </w:r>
      <w:r>
        <w:t xml:space="preserve">paragraphe </w:t>
      </w:r>
      <w:r w:rsidRPr="00C413C3">
        <w:t>2 de l’</w:t>
      </w:r>
      <w:r>
        <w:t xml:space="preserve">appendice </w:t>
      </w:r>
      <w:r w:rsidRPr="00C413C3">
        <w:t xml:space="preserve">1, le service technique doit mettre à l’essai une ou plusieurs remorques représentatives munies d’un nombre d’essieux ne dépassant pas le nombre maximal défini dans la fiche de renseignements et équipées de la configuration du TPMS/TPRS/CTIS correspondante. En outre, lors de la sélection de la ou des remorques à évaluer, on doit également tenir compte des paramètres définis dans les </w:t>
      </w:r>
      <w:r>
        <w:t xml:space="preserve">paragraphes </w:t>
      </w:r>
      <w:r w:rsidRPr="00C413C3">
        <w:t>suivants.</w:t>
      </w:r>
    </w:p>
    <w:p w14:paraId="6450C670" w14:textId="77777777" w:rsidR="00C065F4" w:rsidRPr="00C413C3" w:rsidRDefault="00C065F4" w:rsidP="00C065F4">
      <w:pPr>
        <w:pStyle w:val="SingleTxtG"/>
        <w:ind w:left="2268" w:hanging="1134"/>
      </w:pPr>
      <w:r w:rsidRPr="00C413C3">
        <w:t>3.1.1</w:t>
      </w:r>
      <w:r w:rsidRPr="00C413C3">
        <w:tab/>
        <w:t>Nombre d’essieux</w:t>
      </w:r>
    </w:p>
    <w:p w14:paraId="09D9B1CC" w14:textId="77777777" w:rsidR="00C065F4" w:rsidRPr="00C413C3" w:rsidRDefault="00C065F4" w:rsidP="00C065F4">
      <w:pPr>
        <w:pStyle w:val="SingleTxtG"/>
        <w:ind w:left="2268" w:hanging="1134"/>
      </w:pPr>
      <w:r w:rsidRPr="00C413C3">
        <w:t>3.1.2</w:t>
      </w:r>
      <w:r w:rsidRPr="00C413C3">
        <w:tab/>
        <w:t>Nombre et type de jantes et dimensions des pneumatiques pour chaque essieu</w:t>
      </w:r>
    </w:p>
    <w:p w14:paraId="7F86A34A" w14:textId="77777777" w:rsidR="00C065F4" w:rsidRPr="00C413C3" w:rsidRDefault="00C065F4" w:rsidP="00C065F4">
      <w:pPr>
        <w:pStyle w:val="SingleTxtG"/>
        <w:ind w:left="2268" w:hanging="1134"/>
      </w:pPr>
      <w:r w:rsidRPr="00C413C3">
        <w:t>3.1.3</w:t>
      </w:r>
      <w:r w:rsidRPr="00C413C3">
        <w:tab/>
        <w:t>Nombre et position des essieux relevables</w:t>
      </w:r>
    </w:p>
    <w:p w14:paraId="6B335952" w14:textId="77777777" w:rsidR="00C065F4" w:rsidRPr="00C413C3" w:rsidRDefault="00C065F4" w:rsidP="00C065F4">
      <w:pPr>
        <w:pStyle w:val="SingleTxtG"/>
        <w:ind w:left="2268" w:hanging="1134"/>
      </w:pPr>
      <w:r w:rsidRPr="00C413C3">
        <w:t>3.1.4</w:t>
      </w:r>
      <w:r w:rsidRPr="00C413C3">
        <w:tab/>
        <w:t>Distance entre les roues et le récepteur/l’antenne</w:t>
      </w:r>
    </w:p>
    <w:p w14:paraId="2BF6A057" w14:textId="77777777" w:rsidR="00C065F4" w:rsidRPr="00C413C3" w:rsidRDefault="00C065F4" w:rsidP="00C065F4">
      <w:pPr>
        <w:pStyle w:val="SingleTxtG"/>
        <w:ind w:left="2268" w:hanging="1134"/>
      </w:pPr>
      <w:r w:rsidRPr="00C413C3">
        <w:t>3.1.5</w:t>
      </w:r>
      <w:r w:rsidRPr="00C413C3">
        <w:tab/>
        <w:t>Plage de pression de référence/pression nominale prise en charge</w:t>
      </w:r>
    </w:p>
    <w:p w14:paraId="2F7205B2" w14:textId="77777777" w:rsidR="00C065F4" w:rsidRPr="00C413C3" w:rsidRDefault="00C065F4" w:rsidP="00C065F4">
      <w:pPr>
        <w:pStyle w:val="SingleTxtG"/>
        <w:ind w:left="2268" w:hanging="1134"/>
      </w:pPr>
      <w:r w:rsidRPr="00C413C3">
        <w:t>3.2</w:t>
      </w:r>
      <w:r w:rsidRPr="00C413C3">
        <w:tab/>
        <w:t>Aux fins d’homologation, les semi-remorques, les remorques, les diabolos et les remorques à essieux médians sont considérés comme un même type de véhicule.</w:t>
      </w:r>
    </w:p>
    <w:p w14:paraId="44513A35" w14:textId="77777777" w:rsidR="00C065F4" w:rsidRPr="00C413C3" w:rsidRDefault="00C065F4" w:rsidP="00C065F4">
      <w:pPr>
        <w:pStyle w:val="SingleTxtG"/>
        <w:keepNext/>
        <w:keepLines/>
        <w:ind w:left="2268" w:hanging="1134"/>
        <w:rPr>
          <w:spacing w:val="-1"/>
        </w:rPr>
      </w:pPr>
      <w:r w:rsidRPr="00C413C3">
        <w:rPr>
          <w:spacing w:val="-1"/>
        </w:rPr>
        <w:t>4.</w:t>
      </w:r>
      <w:r w:rsidRPr="00C413C3">
        <w:rPr>
          <w:spacing w:val="-1"/>
        </w:rPr>
        <w:tab/>
      </w:r>
      <w:r w:rsidRPr="00C413C3">
        <w:t>Programme d’essai pour la remorque de référence</w:t>
      </w:r>
    </w:p>
    <w:p w14:paraId="7B32D419" w14:textId="48F8971A" w:rsidR="00C065F4" w:rsidRPr="00C413C3" w:rsidRDefault="00C065F4" w:rsidP="00C065F4">
      <w:pPr>
        <w:pStyle w:val="SingleTxtG"/>
        <w:ind w:left="2268" w:hanging="1134"/>
      </w:pPr>
      <w:r w:rsidRPr="00C413C3">
        <w:t>4.1</w:t>
      </w:r>
      <w:r w:rsidRPr="00C413C3">
        <w:tab/>
        <w:t xml:space="preserve">Les essais suivants doivent être effectués par le service technique sur le ou les véhicules définis au </w:t>
      </w:r>
      <w:r>
        <w:t xml:space="preserve">paragraphe </w:t>
      </w:r>
      <w:r w:rsidRPr="00C413C3">
        <w:t xml:space="preserve">3 de la présente </w:t>
      </w:r>
      <w:r>
        <w:t xml:space="preserve">annexe </w:t>
      </w:r>
      <w:r w:rsidRPr="00C413C3">
        <w:t xml:space="preserve">pour chaque configuration du TPMS/TPRS/CTIS, compte tenu de la liste des applications </w:t>
      </w:r>
      <w:r w:rsidRPr="00C413C3">
        <w:lastRenderedPageBreak/>
        <w:t xml:space="preserve">définies au </w:t>
      </w:r>
      <w:r>
        <w:t xml:space="preserve">paragraphe </w:t>
      </w:r>
      <w:r w:rsidRPr="00C413C3">
        <w:t>1.4 de l’</w:t>
      </w:r>
      <w:r>
        <w:t xml:space="preserve">appendice </w:t>
      </w:r>
      <w:r w:rsidRPr="00C413C3">
        <w:t>1 et, le cas échéant, de l’</w:t>
      </w:r>
      <w:r>
        <w:t xml:space="preserve">appendice </w:t>
      </w:r>
      <w:r w:rsidRPr="00C413C3">
        <w:t>2 de la présente annexe.</w:t>
      </w:r>
    </w:p>
    <w:p w14:paraId="67FFC2E8" w14:textId="229EB65F" w:rsidR="00C065F4" w:rsidRPr="00C413C3" w:rsidRDefault="00C065F4" w:rsidP="00C065F4">
      <w:pPr>
        <w:pStyle w:val="SingleTxtG"/>
        <w:ind w:left="2268" w:hanging="1134"/>
      </w:pPr>
      <w:r w:rsidRPr="00C413C3">
        <w:t>4.1.1</w:t>
      </w:r>
      <w:r w:rsidRPr="00C413C3">
        <w:tab/>
        <w:t>Dans le cas d’un TPMS</w:t>
      </w:r>
      <w:r>
        <w:t> :</w:t>
      </w:r>
      <w:r w:rsidRPr="00C413C3">
        <w:t xml:space="preserve"> Essai de crevaison</w:t>
      </w:r>
      <w:r>
        <w:t> :</w:t>
      </w:r>
      <w:r w:rsidRPr="00C413C3">
        <w:t xml:space="preserve"> Effectuer un essai conformément à l’</w:t>
      </w:r>
      <w:r>
        <w:t xml:space="preserve">annexe </w:t>
      </w:r>
      <w:r w:rsidRPr="00C413C3">
        <w:t>3 du présent Règlement.</w:t>
      </w:r>
    </w:p>
    <w:p w14:paraId="59E539FD" w14:textId="4679DE3E" w:rsidR="00C065F4" w:rsidRPr="00C413C3" w:rsidRDefault="00C065F4" w:rsidP="00C065F4">
      <w:pPr>
        <w:pStyle w:val="SingleTxtG"/>
        <w:ind w:left="2268" w:hanging="1134"/>
      </w:pPr>
      <w:r w:rsidRPr="00C413C3">
        <w:t>4.1.2</w:t>
      </w:r>
      <w:r w:rsidRPr="00C413C3">
        <w:tab/>
        <w:t>Dans le cas d’un TPMS</w:t>
      </w:r>
      <w:r>
        <w:t> :</w:t>
      </w:r>
      <w:r w:rsidRPr="00C413C3">
        <w:t xml:space="preserve"> Essai de défaut d’étanchéité</w:t>
      </w:r>
      <w:r>
        <w:t> :</w:t>
      </w:r>
      <w:r w:rsidRPr="00C413C3">
        <w:t xml:space="preserve"> Effectuer un essai conformément à l’</w:t>
      </w:r>
      <w:r>
        <w:t xml:space="preserve">annexe </w:t>
      </w:r>
      <w:r w:rsidRPr="00C413C3">
        <w:t>3 du présent Règlement.</w:t>
      </w:r>
    </w:p>
    <w:p w14:paraId="49EE747A" w14:textId="6E2AA93D" w:rsidR="00C065F4" w:rsidRPr="00C413C3" w:rsidRDefault="00C065F4" w:rsidP="00C065F4">
      <w:pPr>
        <w:pStyle w:val="SingleTxtG"/>
        <w:ind w:left="2268" w:hanging="1134"/>
      </w:pPr>
      <w:r w:rsidRPr="00C413C3">
        <w:t>4.1.3</w:t>
      </w:r>
      <w:r w:rsidRPr="00C413C3">
        <w:tab/>
        <w:t>Dans le cas d’un TPRS/CTIS</w:t>
      </w:r>
      <w:r>
        <w:t> :</w:t>
      </w:r>
      <w:r w:rsidRPr="00C413C3">
        <w:t xml:space="preserve"> Essai de regonflage</w:t>
      </w:r>
      <w:r>
        <w:t> :</w:t>
      </w:r>
      <w:r w:rsidRPr="00C413C3">
        <w:t xml:space="preserve"> Effectuer un essai conformément à l’</w:t>
      </w:r>
      <w:r>
        <w:t xml:space="preserve">annexe </w:t>
      </w:r>
      <w:r w:rsidRPr="00C413C3">
        <w:t>4 du présent Règlement.</w:t>
      </w:r>
    </w:p>
    <w:p w14:paraId="5BF756CB" w14:textId="72FE6E36" w:rsidR="00C065F4" w:rsidRPr="00C413C3" w:rsidRDefault="00C065F4" w:rsidP="00C065F4">
      <w:pPr>
        <w:pStyle w:val="SingleTxtG"/>
        <w:ind w:left="2268" w:hanging="1134"/>
      </w:pPr>
      <w:r w:rsidRPr="00C413C3">
        <w:t>4.1.4</w:t>
      </w:r>
      <w:r w:rsidRPr="00C413C3">
        <w:tab/>
        <w:t>Dans le cas d’un TPMS</w:t>
      </w:r>
      <w:r>
        <w:t> :</w:t>
      </w:r>
      <w:r w:rsidRPr="00C413C3">
        <w:t xml:space="preserve"> Essai de dysfonctionnement</w:t>
      </w:r>
      <w:r>
        <w:t> :</w:t>
      </w:r>
      <w:r w:rsidRPr="00C413C3">
        <w:t xml:space="preserve"> Effectuer un essai conformément à l’</w:t>
      </w:r>
      <w:r>
        <w:t xml:space="preserve">annexe </w:t>
      </w:r>
      <w:r w:rsidRPr="00C413C3">
        <w:t>3 du présent Règlement.</w:t>
      </w:r>
    </w:p>
    <w:p w14:paraId="3AC987DB" w14:textId="3382F272" w:rsidR="00C065F4" w:rsidRPr="00C413C3" w:rsidRDefault="00C065F4" w:rsidP="00C065F4">
      <w:pPr>
        <w:pStyle w:val="SingleTxtG"/>
        <w:ind w:left="2268" w:hanging="1134"/>
      </w:pPr>
      <w:r w:rsidRPr="00C413C3">
        <w:t>4.1.5</w:t>
      </w:r>
      <w:r w:rsidRPr="00C413C3">
        <w:tab/>
        <w:t>Dans le cas d’un TPRS/CTIS</w:t>
      </w:r>
      <w:r>
        <w:t> :</w:t>
      </w:r>
      <w:r w:rsidRPr="00C413C3">
        <w:t xml:space="preserve"> Essai de dysfonctionnement</w:t>
      </w:r>
      <w:r>
        <w:t> :</w:t>
      </w:r>
      <w:r w:rsidRPr="00C413C3">
        <w:t xml:space="preserve"> Effectuer un essai conformément à l’</w:t>
      </w:r>
      <w:r>
        <w:t xml:space="preserve">annexe </w:t>
      </w:r>
      <w:r w:rsidRPr="00C413C3">
        <w:t>4 du présent Règlement.</w:t>
      </w:r>
    </w:p>
    <w:p w14:paraId="606DBBCA" w14:textId="3D499B1E" w:rsidR="00C065F4" w:rsidRPr="00C413C3" w:rsidRDefault="00C065F4" w:rsidP="00C065F4">
      <w:pPr>
        <w:pStyle w:val="SingleTxtG"/>
        <w:ind w:left="2268" w:hanging="1134"/>
      </w:pPr>
      <w:r w:rsidRPr="00C413C3">
        <w:t>4.1.6</w:t>
      </w:r>
      <w:r w:rsidRPr="00C413C3">
        <w:tab/>
        <w:t>Communication de données</w:t>
      </w:r>
      <w:r>
        <w:t> :</w:t>
      </w:r>
      <w:r w:rsidRPr="00C413C3">
        <w:t xml:space="preserve"> En cas d’utilisation d’un module de gestion électronique passerelle conforme à la norme</w:t>
      </w:r>
      <w:r w:rsidR="005E24D6">
        <w:t xml:space="preserve"> </w:t>
      </w:r>
      <w:r w:rsidRPr="00C413C3">
        <w:t>ISO 11992</w:t>
      </w:r>
      <w:r>
        <w:t> :</w:t>
      </w:r>
      <w:r w:rsidRPr="00C413C3">
        <w:t xml:space="preserve"> Essai de communication</w:t>
      </w:r>
      <w:r>
        <w:t> :</w:t>
      </w:r>
      <w:r w:rsidRPr="00C413C3">
        <w:t xml:space="preserve"> Effectuer un essai conformément à l’</w:t>
      </w:r>
      <w:r>
        <w:t xml:space="preserve">annexe </w:t>
      </w:r>
      <w:r w:rsidRPr="00C413C3">
        <w:t>6 du présent Règlement.</w:t>
      </w:r>
    </w:p>
    <w:p w14:paraId="6CCA2F6A" w14:textId="77777777" w:rsidR="00C065F4" w:rsidRPr="00C413C3" w:rsidRDefault="00C065F4" w:rsidP="00C065F4">
      <w:pPr>
        <w:pStyle w:val="SingleTxtG"/>
        <w:ind w:left="2268" w:hanging="1134"/>
      </w:pPr>
      <w:r w:rsidRPr="00C413C3">
        <w:br w:type="page"/>
      </w:r>
    </w:p>
    <w:p w14:paraId="2389D917" w14:textId="6A86994A" w:rsidR="00C065F4" w:rsidRPr="00C413C3" w:rsidRDefault="00C065F4" w:rsidP="00C065F4">
      <w:pPr>
        <w:pStyle w:val="HChG"/>
        <w:rPr>
          <w:sz w:val="36"/>
          <w:szCs w:val="36"/>
        </w:rPr>
      </w:pPr>
      <w:r>
        <w:lastRenderedPageBreak/>
        <w:t xml:space="preserve">Annexe </w:t>
      </w:r>
      <w:r w:rsidRPr="00C413C3">
        <w:t xml:space="preserve">7 − </w:t>
      </w:r>
      <w:r>
        <w:t xml:space="preserve">Appendice </w:t>
      </w:r>
      <w:r w:rsidRPr="00C413C3">
        <w:t>1</w:t>
      </w:r>
    </w:p>
    <w:p w14:paraId="7A5A0A43" w14:textId="34935ED4" w:rsidR="00C065F4" w:rsidRPr="00C413C3" w:rsidRDefault="00C065F4" w:rsidP="00C065F4">
      <w:pPr>
        <w:pStyle w:val="HChG"/>
      </w:pPr>
      <w:r w:rsidRPr="00C413C3">
        <w:rPr>
          <w:rFonts w:ascii="Times New Roman Gras" w:hAnsi="Times New Roman Gras"/>
          <w:spacing w:val="-2"/>
        </w:rPr>
        <w:tab/>
      </w:r>
      <w:r w:rsidRPr="00C413C3">
        <w:rPr>
          <w:rFonts w:ascii="Times New Roman Gras" w:hAnsi="Times New Roman Gras"/>
          <w:spacing w:val="-2"/>
        </w:rPr>
        <w:tab/>
        <w:t>Fiche de renseignements concernant le système de surveillance</w:t>
      </w:r>
      <w:r w:rsidRPr="00C413C3">
        <w:t xml:space="preserve"> de la pression des pneumatiques, ou le système de regonflage des pneumatiques, ou le système de gonflage central des</w:t>
      </w:r>
      <w:r w:rsidR="005E24D6">
        <w:t> </w:t>
      </w:r>
      <w:r w:rsidRPr="00C413C3">
        <w:t>pneumatiques, pour la remorque de référence</w:t>
      </w:r>
    </w:p>
    <w:p w14:paraId="6B48B468" w14:textId="77777777" w:rsidR="00C065F4" w:rsidRPr="00C413C3" w:rsidRDefault="00C065F4" w:rsidP="00C065F4">
      <w:pPr>
        <w:pStyle w:val="SingleTxtG"/>
        <w:ind w:left="2268" w:hanging="1134"/>
        <w:rPr>
          <w:color w:val="000000"/>
        </w:rPr>
      </w:pPr>
      <w:r w:rsidRPr="00C413C3">
        <w:t>1.</w:t>
      </w:r>
      <w:r w:rsidRPr="00C413C3">
        <w:tab/>
        <w:t>Généralités</w:t>
      </w:r>
    </w:p>
    <w:p w14:paraId="5F3DF496" w14:textId="77777777" w:rsidR="00C065F4" w:rsidRPr="00C413C3" w:rsidRDefault="00C065F4" w:rsidP="00C065F4">
      <w:pPr>
        <w:pStyle w:val="SingleTxtG"/>
        <w:ind w:left="2268" w:hanging="1134"/>
        <w:rPr>
          <w:color w:val="000000"/>
        </w:rPr>
      </w:pPr>
      <w:r w:rsidRPr="00C413C3">
        <w:t>1.1</w:t>
      </w:r>
      <w:r w:rsidRPr="00C413C3">
        <w:tab/>
        <w:t>Nom et adresse du fabricant</w:t>
      </w:r>
    </w:p>
    <w:p w14:paraId="66DD139A" w14:textId="77777777" w:rsidR="00C065F4" w:rsidRPr="00C413C3" w:rsidRDefault="00C065F4" w:rsidP="00C065F4">
      <w:pPr>
        <w:pStyle w:val="SingleTxtG"/>
        <w:ind w:left="2268" w:hanging="1134"/>
        <w:rPr>
          <w:color w:val="000000"/>
        </w:rPr>
      </w:pPr>
      <w:r w:rsidRPr="00C413C3">
        <w:t>1.2</w:t>
      </w:r>
      <w:r w:rsidRPr="00C413C3">
        <w:tab/>
        <w:t>Nom du système</w:t>
      </w:r>
    </w:p>
    <w:p w14:paraId="4A45F77A" w14:textId="77777777" w:rsidR="00C065F4" w:rsidRPr="00C413C3" w:rsidRDefault="00C065F4" w:rsidP="00C065F4">
      <w:pPr>
        <w:pStyle w:val="SingleTxtG"/>
        <w:ind w:left="2268" w:hanging="1134"/>
        <w:rPr>
          <w:color w:val="000000"/>
        </w:rPr>
      </w:pPr>
      <w:r w:rsidRPr="00C413C3">
        <w:t>1.3</w:t>
      </w:r>
      <w:r w:rsidRPr="00C413C3">
        <w:tab/>
        <w:t>Variantes du système</w:t>
      </w:r>
    </w:p>
    <w:p w14:paraId="7933D8CF" w14:textId="77777777" w:rsidR="00C065F4" w:rsidRPr="00C413C3" w:rsidRDefault="00C065F4" w:rsidP="00C065F4">
      <w:pPr>
        <w:pStyle w:val="SingleTxtG"/>
        <w:ind w:left="2268" w:hanging="1134"/>
        <w:rPr>
          <w:color w:val="000000"/>
        </w:rPr>
      </w:pPr>
      <w:r w:rsidRPr="00C413C3">
        <w:t>1.4</w:t>
      </w:r>
      <w:r w:rsidRPr="00C413C3">
        <w:tab/>
        <w:t>Configurations du système (par exemple, nombre d’essieux, nombre de pneumatiques, etc.)</w:t>
      </w:r>
    </w:p>
    <w:p w14:paraId="55118711" w14:textId="77777777" w:rsidR="00C065F4" w:rsidRPr="00C413C3" w:rsidRDefault="00C065F4" w:rsidP="00C065F4">
      <w:pPr>
        <w:pStyle w:val="SingleTxtG"/>
        <w:ind w:left="2268" w:hanging="1134"/>
        <w:rPr>
          <w:color w:val="000000"/>
        </w:rPr>
      </w:pPr>
      <w:r w:rsidRPr="00C413C3">
        <w:t>1.5</w:t>
      </w:r>
      <w:r w:rsidRPr="00C413C3">
        <w:tab/>
        <w:t>Explication de la fonction de base ou du principe du système</w:t>
      </w:r>
    </w:p>
    <w:p w14:paraId="1C777969" w14:textId="77777777" w:rsidR="00C065F4" w:rsidRPr="00C413C3" w:rsidRDefault="00C065F4" w:rsidP="00C065F4">
      <w:pPr>
        <w:pStyle w:val="SingleTxtG"/>
        <w:ind w:left="2268" w:hanging="1134"/>
        <w:rPr>
          <w:color w:val="000000"/>
        </w:rPr>
      </w:pPr>
      <w:r w:rsidRPr="00C413C3">
        <w:t>2.</w:t>
      </w:r>
      <w:r w:rsidRPr="00C413C3">
        <w:tab/>
        <w:t>Applications</w:t>
      </w:r>
    </w:p>
    <w:p w14:paraId="2E7969A4" w14:textId="77777777" w:rsidR="00C065F4" w:rsidRPr="00C413C3" w:rsidRDefault="00C065F4" w:rsidP="00C065F4">
      <w:pPr>
        <w:pStyle w:val="SingleTxtG"/>
        <w:ind w:left="2268" w:hanging="1134"/>
        <w:rPr>
          <w:color w:val="000000"/>
        </w:rPr>
      </w:pPr>
      <w:r w:rsidRPr="00C413C3">
        <w:t>2.1</w:t>
      </w:r>
      <w:r w:rsidRPr="00C413C3">
        <w:tab/>
        <w:t>Liste des types de remorque et des configurations de TPMS/TPRS/CTIS</w:t>
      </w:r>
      <w:r w:rsidRPr="00C413C3">
        <w:rPr>
          <w:rStyle w:val="Appelnotedebasdep"/>
        </w:rPr>
        <w:footnoteReference w:id="4"/>
      </w:r>
      <w:r w:rsidRPr="00C413C3">
        <w:t xml:space="preserve"> présentés à l’homologation</w:t>
      </w:r>
    </w:p>
    <w:p w14:paraId="02D690C6" w14:textId="4E5C8977" w:rsidR="00C065F4" w:rsidRPr="00C413C3" w:rsidRDefault="00C065F4" w:rsidP="00C065F4">
      <w:pPr>
        <w:pStyle w:val="SingleTxtG"/>
        <w:ind w:left="2268" w:hanging="1134"/>
        <w:rPr>
          <w:color w:val="000000"/>
        </w:rPr>
      </w:pPr>
      <w:r w:rsidRPr="00C413C3">
        <w:t>2.2</w:t>
      </w:r>
      <w:r w:rsidRPr="00C413C3">
        <w:tab/>
        <w:t>Schémas des configurations installées sur les remorques, telles que définies au point</w:t>
      </w:r>
      <w:r w:rsidR="005E24D6">
        <w:t xml:space="preserve"> </w:t>
      </w:r>
      <w:r w:rsidRPr="00C413C3">
        <w:t>2.1 ci-dessus, compte tenu des critères suivants</w:t>
      </w:r>
      <w:r>
        <w:t> :</w:t>
      </w:r>
    </w:p>
    <w:p w14:paraId="7C7CA762" w14:textId="3BB3763B" w:rsidR="00C065F4" w:rsidRPr="00C413C3" w:rsidRDefault="00C065F4" w:rsidP="00C065F4">
      <w:pPr>
        <w:pStyle w:val="SingleTxtG"/>
        <w:ind w:left="2835" w:hanging="567"/>
      </w:pPr>
      <w:r w:rsidRPr="00C413C3">
        <w:t>-</w:t>
      </w:r>
      <w:r w:rsidRPr="00C413C3">
        <w:tab/>
        <w:t>Nombre d’essieux</w:t>
      </w:r>
      <w:r>
        <w:t> ;</w:t>
      </w:r>
    </w:p>
    <w:p w14:paraId="552E684B" w14:textId="0FC8FEB0" w:rsidR="00C065F4" w:rsidRPr="00C413C3" w:rsidRDefault="00C065F4" w:rsidP="00C065F4">
      <w:pPr>
        <w:pStyle w:val="SingleTxtG"/>
        <w:ind w:left="2835" w:hanging="567"/>
      </w:pPr>
      <w:r w:rsidRPr="00C413C3">
        <w:t>-</w:t>
      </w:r>
      <w:r w:rsidRPr="00C413C3">
        <w:tab/>
        <w:t>Emplacements des roues</w:t>
      </w:r>
      <w:r>
        <w:t> ;</w:t>
      </w:r>
    </w:p>
    <w:p w14:paraId="7063E23B" w14:textId="0DE95B08" w:rsidR="00C065F4" w:rsidRPr="00C413C3" w:rsidRDefault="00C065F4" w:rsidP="00C065F4">
      <w:pPr>
        <w:pStyle w:val="SingleTxtG"/>
        <w:ind w:left="2835" w:hanging="567"/>
      </w:pPr>
      <w:r w:rsidRPr="00C413C3">
        <w:t>-</w:t>
      </w:r>
      <w:r w:rsidRPr="00C413C3">
        <w:tab/>
        <w:t>Position des essieux relevables</w:t>
      </w:r>
      <w:r>
        <w:t> ;</w:t>
      </w:r>
    </w:p>
    <w:p w14:paraId="42EADB3C" w14:textId="179F8EB1" w:rsidR="00C065F4" w:rsidRPr="00C413C3" w:rsidRDefault="00C065F4" w:rsidP="00C065F4">
      <w:pPr>
        <w:pStyle w:val="SingleTxtG"/>
        <w:ind w:left="2835" w:hanging="567"/>
      </w:pPr>
      <w:r w:rsidRPr="00C413C3">
        <w:t>-</w:t>
      </w:r>
      <w:r w:rsidRPr="00C413C3">
        <w:tab/>
        <w:t>Position du récepteur/emplacements des antennes</w:t>
      </w:r>
      <w:r>
        <w:t> ;</w:t>
      </w:r>
    </w:p>
    <w:p w14:paraId="46E9528E" w14:textId="77777777" w:rsidR="00C065F4" w:rsidRPr="00C413C3" w:rsidRDefault="00C065F4" w:rsidP="00C065F4">
      <w:pPr>
        <w:pStyle w:val="SingleTxtG"/>
        <w:ind w:left="2835" w:hanging="567"/>
      </w:pPr>
      <w:r w:rsidRPr="00C413C3">
        <w:t>-</w:t>
      </w:r>
      <w:r w:rsidRPr="00C413C3">
        <w:tab/>
        <w:t>Position des capteurs.</w:t>
      </w:r>
    </w:p>
    <w:p w14:paraId="0010EF8D" w14:textId="01535363" w:rsidR="00C065F4" w:rsidRPr="00C413C3" w:rsidRDefault="00C065F4" w:rsidP="00C065F4">
      <w:pPr>
        <w:pStyle w:val="SingleTxtG"/>
        <w:ind w:left="2268" w:hanging="1134"/>
      </w:pPr>
      <w:r w:rsidRPr="00C413C3">
        <w:t>2.3</w:t>
      </w:r>
      <w:r w:rsidRPr="00C413C3">
        <w:tab/>
        <w:t xml:space="preserve">Limites d’installation/d’intégration (par exemple, distance entre le récepteur/l’antenne et la roue ou la jante, messages et signaux d’entrée requis par le TPMS pour que le véhicule satisfasse aux prescriptions de fonctionnement énoncées aux </w:t>
      </w:r>
      <w:r>
        <w:t xml:space="preserve">paragraphes </w:t>
      </w:r>
      <w:r w:rsidRPr="00C413C3">
        <w:t>5.1.2 à 5.6 du présent Règlement ainsi qu’aux prescriptions d’essai (crevaison, défaut d’étanchéité et défaut de fonctionnement) énoncées dans l’</w:t>
      </w:r>
      <w:r>
        <w:t xml:space="preserve">annexe </w:t>
      </w:r>
      <w:r w:rsidRPr="00C413C3">
        <w:t>3 de ce Règlement en ce qui concerne, par exemple, la vitesse du véhicule)</w:t>
      </w:r>
    </w:p>
    <w:p w14:paraId="24C29F29" w14:textId="77777777" w:rsidR="00C065F4" w:rsidRPr="00C413C3" w:rsidRDefault="00C065F4" w:rsidP="00C065F4">
      <w:pPr>
        <w:pStyle w:val="SingleTxtG"/>
        <w:ind w:left="2268" w:hanging="1134"/>
      </w:pPr>
      <w:r w:rsidRPr="00C413C3">
        <w:t>2.4</w:t>
      </w:r>
      <w:r w:rsidRPr="00C413C3">
        <w:tab/>
        <w:t>Renseignements complémentaires (le cas échéant) aux données concernant l’application prévue pour le TPMS/TPRS/CTIS</w:t>
      </w:r>
    </w:p>
    <w:p w14:paraId="59609E71" w14:textId="77777777" w:rsidR="00C065F4" w:rsidRPr="00C413C3" w:rsidRDefault="00C065F4" w:rsidP="00C065F4">
      <w:pPr>
        <w:pStyle w:val="SingleTxtG"/>
        <w:ind w:left="2268" w:hanging="1134"/>
        <w:rPr>
          <w:color w:val="000000"/>
        </w:rPr>
      </w:pPr>
      <w:r w:rsidRPr="00C413C3">
        <w:t>3.</w:t>
      </w:r>
      <w:r w:rsidRPr="00C413C3">
        <w:tab/>
        <w:t>Description des composants</w:t>
      </w:r>
    </w:p>
    <w:p w14:paraId="6AAB4584" w14:textId="77777777" w:rsidR="00C065F4" w:rsidRPr="00C413C3" w:rsidRDefault="00C065F4" w:rsidP="005E24D6">
      <w:pPr>
        <w:pStyle w:val="SingleTxtG"/>
        <w:keepNext/>
        <w:ind w:left="2268" w:hanging="1134"/>
      </w:pPr>
      <w:r w:rsidRPr="00C413C3">
        <w:t>3.1</w:t>
      </w:r>
      <w:r w:rsidRPr="00C413C3">
        <w:tab/>
        <w:t>Capteur(s)</w:t>
      </w:r>
    </w:p>
    <w:p w14:paraId="4796CB72" w14:textId="77777777" w:rsidR="00C065F4" w:rsidRPr="00C413C3" w:rsidRDefault="00C065F4" w:rsidP="00C065F4">
      <w:pPr>
        <w:pStyle w:val="SingleTxtG"/>
        <w:ind w:left="2835" w:hanging="567"/>
      </w:pPr>
      <w:r w:rsidRPr="00C413C3">
        <w:t>-</w:t>
      </w:r>
      <w:r w:rsidRPr="00C413C3">
        <w:tab/>
        <w:t>Fonction</w:t>
      </w:r>
    </w:p>
    <w:p w14:paraId="7F079CDE" w14:textId="77777777" w:rsidR="00C065F4" w:rsidRPr="00C413C3" w:rsidRDefault="00C065F4" w:rsidP="00C065F4">
      <w:pPr>
        <w:pStyle w:val="SingleTxtG"/>
        <w:ind w:left="2835" w:hanging="567"/>
      </w:pPr>
      <w:r w:rsidRPr="00C413C3">
        <w:t>-</w:t>
      </w:r>
      <w:r w:rsidRPr="00C413C3">
        <w:tab/>
        <w:t>Identification (par exemple, numéro(s) de pièce)</w:t>
      </w:r>
    </w:p>
    <w:p w14:paraId="6219E349" w14:textId="77777777" w:rsidR="00C065F4" w:rsidRPr="00C413C3" w:rsidRDefault="00C065F4" w:rsidP="005E24D6">
      <w:pPr>
        <w:pStyle w:val="SingleTxtG"/>
        <w:keepNext/>
        <w:ind w:left="2268" w:hanging="1134"/>
      </w:pPr>
      <w:r w:rsidRPr="00C413C3">
        <w:t>3.2</w:t>
      </w:r>
      <w:r w:rsidRPr="00C413C3">
        <w:tab/>
        <w:t>Récepteur(s)/antenne(s)</w:t>
      </w:r>
    </w:p>
    <w:p w14:paraId="1631646E" w14:textId="77777777" w:rsidR="00C065F4" w:rsidRPr="00C413C3" w:rsidRDefault="00C065F4" w:rsidP="00C065F4">
      <w:pPr>
        <w:pStyle w:val="SingleTxtG"/>
        <w:ind w:left="2835" w:hanging="567"/>
      </w:pPr>
      <w:r w:rsidRPr="00C413C3">
        <w:t>-</w:t>
      </w:r>
      <w:r w:rsidRPr="00C413C3">
        <w:tab/>
        <w:t>Description générale et fonction</w:t>
      </w:r>
    </w:p>
    <w:p w14:paraId="7FE67B91" w14:textId="77777777" w:rsidR="00C065F4" w:rsidRPr="00C413C3" w:rsidRDefault="00C065F4" w:rsidP="00C065F4">
      <w:pPr>
        <w:pStyle w:val="SingleTxtG"/>
        <w:ind w:left="2835" w:hanging="567"/>
      </w:pPr>
      <w:r w:rsidRPr="00C413C3">
        <w:t>-</w:t>
      </w:r>
      <w:r w:rsidRPr="00C413C3">
        <w:tab/>
        <w:t>Identification (par exemple, numéro(s) de pièce)</w:t>
      </w:r>
    </w:p>
    <w:p w14:paraId="481F5EF0" w14:textId="77777777" w:rsidR="00C065F4" w:rsidRPr="00C413C3" w:rsidRDefault="00C065F4" w:rsidP="00C065F4">
      <w:pPr>
        <w:pStyle w:val="SingleTxtG"/>
        <w:ind w:left="2835" w:hanging="567"/>
        <w:rPr>
          <w:color w:val="000000"/>
        </w:rPr>
      </w:pPr>
      <w:r w:rsidRPr="00C413C3">
        <w:t>-</w:t>
      </w:r>
      <w:r w:rsidRPr="00C413C3">
        <w:tab/>
        <w:t>Fonctions supplémentaires (par exemple, configuration automatique, paramètres variables, diagnostic)</w:t>
      </w:r>
    </w:p>
    <w:p w14:paraId="768A015D" w14:textId="77777777" w:rsidR="00C065F4" w:rsidRPr="00C413C3" w:rsidRDefault="00C065F4" w:rsidP="00C065F4">
      <w:pPr>
        <w:pStyle w:val="SingleTxtG"/>
        <w:ind w:left="2835" w:hanging="567"/>
      </w:pPr>
      <w:r w:rsidRPr="00C413C3">
        <w:t>-</w:t>
      </w:r>
      <w:r w:rsidRPr="00C413C3">
        <w:tab/>
        <w:t>Modes de défaillance</w:t>
      </w:r>
    </w:p>
    <w:p w14:paraId="2763475F" w14:textId="77777777" w:rsidR="00C065F4" w:rsidRPr="00C413C3" w:rsidRDefault="00C065F4" w:rsidP="005E24D6">
      <w:pPr>
        <w:pStyle w:val="SingleTxtG"/>
        <w:keepNext/>
        <w:ind w:left="2268" w:hanging="1134"/>
      </w:pPr>
      <w:r w:rsidRPr="00C413C3">
        <w:lastRenderedPageBreak/>
        <w:t>3.3</w:t>
      </w:r>
      <w:r w:rsidRPr="00C413C3">
        <w:tab/>
        <w:t>Équipement électrique</w:t>
      </w:r>
    </w:p>
    <w:p w14:paraId="26B5C149" w14:textId="77777777" w:rsidR="00C065F4" w:rsidRPr="00C413C3" w:rsidRDefault="00C065F4" w:rsidP="00C065F4">
      <w:pPr>
        <w:pStyle w:val="SingleTxtG"/>
        <w:ind w:left="2835" w:hanging="567"/>
      </w:pPr>
      <w:r w:rsidRPr="00C413C3">
        <w:t>-</w:t>
      </w:r>
      <w:r w:rsidRPr="00C413C3">
        <w:tab/>
        <w:t>Diagramme(s) du circuit</w:t>
      </w:r>
    </w:p>
    <w:p w14:paraId="25C4C2B8" w14:textId="77777777" w:rsidR="00C065F4" w:rsidRPr="00C413C3" w:rsidRDefault="00C065F4" w:rsidP="00C065F4">
      <w:pPr>
        <w:pStyle w:val="SingleTxtG"/>
        <w:ind w:left="2835" w:hanging="567"/>
      </w:pPr>
      <w:r w:rsidRPr="00C413C3">
        <w:t>-</w:t>
      </w:r>
      <w:r w:rsidRPr="00C413C3">
        <w:tab/>
        <w:t>Méthodes d’alimentation</w:t>
      </w:r>
    </w:p>
    <w:p w14:paraId="086EE556" w14:textId="1CC385AE" w:rsidR="00C065F4" w:rsidRPr="00C413C3" w:rsidRDefault="00C065F4" w:rsidP="005E24D6">
      <w:pPr>
        <w:pStyle w:val="SingleTxtG"/>
        <w:keepNext/>
        <w:ind w:left="2268" w:hanging="1134"/>
      </w:pPr>
      <w:r w:rsidRPr="00C413C3">
        <w:t>3.4</w:t>
      </w:r>
      <w:r w:rsidRPr="00C413C3">
        <w:tab/>
        <w:t>S’il y a lieu, compatibilité électromagnétique au sens du Règlement ONU n</w:t>
      </w:r>
      <w:r w:rsidRPr="00C413C3">
        <w:rPr>
          <w:vertAlign w:val="superscript"/>
        </w:rPr>
        <w:t>o</w:t>
      </w:r>
      <w:r w:rsidRPr="00C413C3">
        <w:t> 10 tel que modifié par</w:t>
      </w:r>
      <w:r>
        <w:t> :</w:t>
      </w:r>
    </w:p>
    <w:p w14:paraId="2160DB93" w14:textId="16B7830D" w:rsidR="00C065F4" w:rsidRPr="005E24D6" w:rsidRDefault="00C065F4" w:rsidP="00C065F4">
      <w:pPr>
        <w:pStyle w:val="SingleTxtG"/>
        <w:ind w:left="2835" w:hanging="567"/>
      </w:pPr>
      <w:r w:rsidRPr="005E24D6">
        <w:t>a)</w:t>
      </w:r>
      <w:r w:rsidRPr="005E24D6">
        <w:tab/>
        <w:t>La série 03 d’amendements pour les véhicules dépourvus de système de raccordement pour la recharge du système rechargeable de stockage de l’énergie électrique (batteries de traction) ;</w:t>
      </w:r>
    </w:p>
    <w:p w14:paraId="1BD46D3F" w14:textId="6A848B58" w:rsidR="00C065F4" w:rsidRPr="00C413C3" w:rsidRDefault="00C065F4" w:rsidP="00C065F4">
      <w:pPr>
        <w:pStyle w:val="SingleTxtG"/>
        <w:ind w:left="2835" w:hanging="567"/>
      </w:pPr>
      <w:r w:rsidRPr="00C413C3">
        <w:t>b)</w:t>
      </w:r>
      <w:r w:rsidRPr="00C413C3">
        <w:tab/>
        <w:t xml:space="preserve">La </w:t>
      </w:r>
      <w:r>
        <w:t xml:space="preserve">série </w:t>
      </w:r>
      <w:r w:rsidRPr="00C413C3">
        <w:t>06 d’amendements pour les véhicules équipés d’un système de raccordement pour la recharge du système rechargeable de stockage de l’énergie électrique (batteries de traction).</w:t>
      </w:r>
    </w:p>
    <w:p w14:paraId="3F6FD15E" w14:textId="77777777" w:rsidR="00C065F4" w:rsidRPr="00C413C3" w:rsidRDefault="00C065F4" w:rsidP="00C065F4">
      <w:pPr>
        <w:pStyle w:val="SingleTxtG"/>
        <w:ind w:left="2268" w:hanging="1134"/>
      </w:pPr>
      <w:r w:rsidRPr="00C413C3">
        <w:t>3.5</w:t>
      </w:r>
      <w:r w:rsidRPr="00C413C3">
        <w:tab/>
        <w:t>Renseignements complémentaires (le cas échéant) à la description des composants du TPMS/TPRS/CTIS</w:t>
      </w:r>
    </w:p>
    <w:p w14:paraId="3FBFE7ED" w14:textId="77777777" w:rsidR="00C065F4" w:rsidRPr="00C413C3" w:rsidRDefault="00C065F4" w:rsidP="00C065F4">
      <w:pPr>
        <w:pStyle w:val="SingleTxtG"/>
        <w:ind w:left="2268" w:hanging="1134"/>
      </w:pPr>
      <w:r w:rsidRPr="00C413C3">
        <w:br w:type="page"/>
      </w:r>
    </w:p>
    <w:p w14:paraId="403154B3" w14:textId="2DD27134" w:rsidR="00C065F4" w:rsidRPr="00C413C3" w:rsidRDefault="00C065F4" w:rsidP="00C065F4">
      <w:pPr>
        <w:pStyle w:val="HChG"/>
        <w:rPr>
          <w:sz w:val="36"/>
          <w:szCs w:val="36"/>
        </w:rPr>
      </w:pPr>
      <w:r>
        <w:lastRenderedPageBreak/>
        <w:t xml:space="preserve">Annexe </w:t>
      </w:r>
      <w:r w:rsidRPr="00C413C3">
        <w:t xml:space="preserve">7 − </w:t>
      </w:r>
      <w:r>
        <w:t xml:space="preserve">Appendice </w:t>
      </w:r>
      <w:r w:rsidRPr="00C413C3">
        <w:t>2</w:t>
      </w:r>
    </w:p>
    <w:p w14:paraId="3F8B3C8E" w14:textId="77777777" w:rsidR="00C065F4" w:rsidRPr="00C413C3" w:rsidRDefault="00C065F4" w:rsidP="00C065F4">
      <w:pPr>
        <w:pStyle w:val="HChG"/>
      </w:pPr>
      <w:r w:rsidRPr="00C413C3">
        <w:tab/>
      </w:r>
      <w:r w:rsidRPr="00C413C3">
        <w:tab/>
        <w:t>Fiche de renseignements concernant le module de gestion électronique passerelle conforme à la norme ISO 11992-2 pour la remorque de référence</w:t>
      </w:r>
    </w:p>
    <w:p w14:paraId="5B9EF225" w14:textId="77777777" w:rsidR="00C065F4" w:rsidRPr="00C413C3" w:rsidRDefault="00C065F4" w:rsidP="00C065F4">
      <w:pPr>
        <w:pStyle w:val="SingleTxtG"/>
        <w:ind w:left="2268" w:hanging="1134"/>
      </w:pPr>
      <w:r w:rsidRPr="00C413C3">
        <w:t>1.</w:t>
      </w:r>
      <w:r w:rsidRPr="00C413C3">
        <w:tab/>
        <w:t>Généralités</w:t>
      </w:r>
    </w:p>
    <w:p w14:paraId="7BBC581E" w14:textId="77777777" w:rsidR="00C065F4" w:rsidRPr="00C413C3" w:rsidRDefault="00C065F4" w:rsidP="00C065F4">
      <w:pPr>
        <w:pStyle w:val="SingleTxtG"/>
        <w:ind w:left="2268" w:hanging="1134"/>
      </w:pPr>
      <w:r w:rsidRPr="00C413C3">
        <w:t>1.1</w:t>
      </w:r>
      <w:r w:rsidRPr="00C413C3">
        <w:tab/>
        <w:t>Nom et adresse du fabricant du module passerelle</w:t>
      </w:r>
    </w:p>
    <w:p w14:paraId="038D7F92" w14:textId="77777777" w:rsidR="00C065F4" w:rsidRPr="00C413C3" w:rsidRDefault="00C065F4" w:rsidP="00C065F4">
      <w:pPr>
        <w:pStyle w:val="SingleTxtG"/>
        <w:ind w:left="2268" w:hanging="1134"/>
      </w:pPr>
      <w:r w:rsidRPr="00C413C3">
        <w:t>1.2</w:t>
      </w:r>
      <w:r w:rsidRPr="00C413C3">
        <w:tab/>
        <w:t>Nom du système</w:t>
      </w:r>
    </w:p>
    <w:p w14:paraId="6663C380" w14:textId="77777777" w:rsidR="00C065F4" w:rsidRPr="00C413C3" w:rsidRDefault="00C065F4" w:rsidP="00C065F4">
      <w:pPr>
        <w:pStyle w:val="SingleTxtG"/>
        <w:ind w:left="2268" w:hanging="1134"/>
      </w:pPr>
      <w:r w:rsidRPr="00C413C3">
        <w:t>1.3</w:t>
      </w:r>
      <w:r w:rsidRPr="00C413C3">
        <w:tab/>
        <w:t>Variantes du système</w:t>
      </w:r>
    </w:p>
    <w:p w14:paraId="1C4FFFEF" w14:textId="77777777" w:rsidR="00C065F4" w:rsidRPr="00C413C3" w:rsidRDefault="00C065F4" w:rsidP="00C065F4">
      <w:pPr>
        <w:pStyle w:val="SingleTxtG"/>
        <w:ind w:left="2268" w:hanging="1134"/>
      </w:pPr>
      <w:r w:rsidRPr="00C413C3">
        <w:t>1.4</w:t>
      </w:r>
      <w:r w:rsidRPr="00C413C3">
        <w:tab/>
        <w:t>Configurations du système (par exemple, nombre d’essieux, nombre de pneumatiques, etc.)</w:t>
      </w:r>
    </w:p>
    <w:p w14:paraId="441A4605" w14:textId="77777777" w:rsidR="00C065F4" w:rsidRPr="00C413C3" w:rsidRDefault="00C065F4" w:rsidP="00C065F4">
      <w:pPr>
        <w:pStyle w:val="SingleTxtG"/>
        <w:ind w:left="2268" w:hanging="1134"/>
      </w:pPr>
      <w:r w:rsidRPr="00C413C3">
        <w:t>1.5</w:t>
      </w:r>
      <w:r w:rsidRPr="00C413C3">
        <w:tab/>
        <w:t>Explication de la fonction de base ou du principe du système</w:t>
      </w:r>
    </w:p>
    <w:p w14:paraId="3EFD119F" w14:textId="77777777" w:rsidR="00C065F4" w:rsidRPr="00C413C3" w:rsidRDefault="00C065F4" w:rsidP="00C065F4">
      <w:pPr>
        <w:pStyle w:val="SingleTxtG"/>
        <w:ind w:left="2268" w:hanging="1134"/>
      </w:pPr>
      <w:r w:rsidRPr="00C413C3">
        <w:t>2.</w:t>
      </w:r>
      <w:r w:rsidRPr="00C413C3">
        <w:tab/>
        <w:t>Applications</w:t>
      </w:r>
    </w:p>
    <w:p w14:paraId="0D99D882" w14:textId="77777777" w:rsidR="00C065F4" w:rsidRPr="005E24D6" w:rsidRDefault="00C065F4" w:rsidP="00C065F4">
      <w:pPr>
        <w:pStyle w:val="SingleTxtG"/>
        <w:ind w:left="2268" w:hanging="1134"/>
      </w:pPr>
      <w:r w:rsidRPr="005E24D6">
        <w:t>2.1</w:t>
      </w:r>
      <w:r w:rsidRPr="005E24D6">
        <w:tab/>
        <w:t>Liste des types de remorque et des configurations présentés à l’homologation</w:t>
      </w:r>
    </w:p>
    <w:p w14:paraId="62139B3D" w14:textId="641EC38E" w:rsidR="00C065F4" w:rsidRPr="00C413C3" w:rsidRDefault="00C065F4" w:rsidP="00C065F4">
      <w:pPr>
        <w:pStyle w:val="SingleTxtG"/>
        <w:ind w:left="2268" w:hanging="1134"/>
      </w:pPr>
      <w:r w:rsidRPr="00C413C3">
        <w:t>2.2</w:t>
      </w:r>
      <w:r w:rsidRPr="00C413C3">
        <w:tab/>
        <w:t>Schémas des configurations installées sur les remorques, telles que définies au point 2.1 ci-dessus, compte tenu des critères suivants</w:t>
      </w:r>
      <w:r>
        <w:t> :</w:t>
      </w:r>
    </w:p>
    <w:p w14:paraId="25374CDA" w14:textId="77777777" w:rsidR="00C065F4" w:rsidRPr="00C413C3" w:rsidRDefault="00C065F4" w:rsidP="00C065F4">
      <w:pPr>
        <w:pStyle w:val="SingleTxtG"/>
        <w:ind w:left="2835" w:hanging="567"/>
      </w:pPr>
      <w:r w:rsidRPr="00C413C3">
        <w:t>-</w:t>
      </w:r>
      <w:r w:rsidRPr="00C413C3">
        <w:tab/>
        <w:t>Activation de la fonction de passerelle du TPMS</w:t>
      </w:r>
    </w:p>
    <w:p w14:paraId="558C0AEE" w14:textId="77777777" w:rsidR="00C065F4" w:rsidRPr="00C413C3" w:rsidRDefault="00C065F4" w:rsidP="00C065F4">
      <w:pPr>
        <w:pStyle w:val="SingleTxtG"/>
        <w:ind w:left="2268" w:hanging="1134"/>
      </w:pPr>
      <w:r w:rsidRPr="00C413C3">
        <w:t>2.3</w:t>
      </w:r>
      <w:r w:rsidRPr="00C413C3">
        <w:tab/>
        <w:t>Limites d’installation</w:t>
      </w:r>
    </w:p>
    <w:p w14:paraId="788C2E17" w14:textId="77777777" w:rsidR="00C065F4" w:rsidRPr="00C413C3" w:rsidRDefault="00C065F4" w:rsidP="00C065F4">
      <w:pPr>
        <w:pStyle w:val="SingleTxtG"/>
        <w:ind w:left="2268" w:hanging="1134"/>
      </w:pPr>
      <w:r w:rsidRPr="00C413C3">
        <w:t>2.4</w:t>
      </w:r>
      <w:r w:rsidRPr="00C413C3">
        <w:tab/>
        <w:t>Renseignements complémentaires (le cas échéant) aux données concernant l’application prévue pour le TPMS/TPRS/CTIS</w:t>
      </w:r>
    </w:p>
    <w:p w14:paraId="34D11C32" w14:textId="77777777" w:rsidR="00C065F4" w:rsidRPr="00C413C3" w:rsidRDefault="00C065F4" w:rsidP="00C065F4">
      <w:pPr>
        <w:pStyle w:val="SingleTxtG"/>
        <w:ind w:left="2268" w:hanging="1134"/>
      </w:pPr>
      <w:r w:rsidRPr="00C413C3">
        <w:t>3.</w:t>
      </w:r>
      <w:r w:rsidRPr="00C413C3">
        <w:tab/>
        <w:t>Description des composants</w:t>
      </w:r>
    </w:p>
    <w:p w14:paraId="55337D1C" w14:textId="1B27372E" w:rsidR="00C065F4" w:rsidRPr="00C413C3" w:rsidRDefault="00C065F4" w:rsidP="00C065F4">
      <w:pPr>
        <w:pStyle w:val="SingleTxtG"/>
        <w:ind w:left="2268" w:hanging="1134"/>
      </w:pPr>
      <w:r w:rsidRPr="00C413C3">
        <w:t>3.1</w:t>
      </w:r>
      <w:r w:rsidRPr="00C413C3">
        <w:tab/>
        <w:t>Module passerelle conforme à l’</w:t>
      </w:r>
      <w:r>
        <w:t xml:space="preserve">annexe </w:t>
      </w:r>
      <w:r w:rsidRPr="00C413C3">
        <w:t>5 du présent Règlement</w:t>
      </w:r>
    </w:p>
    <w:p w14:paraId="335377EF" w14:textId="2D6701B7" w:rsidR="00C065F4" w:rsidRPr="00C413C3" w:rsidRDefault="00C065F4" w:rsidP="00C065F4">
      <w:pPr>
        <w:pStyle w:val="SingleTxtG"/>
        <w:ind w:left="2835" w:hanging="567"/>
      </w:pPr>
      <w:r w:rsidRPr="00C413C3">
        <w:t>-</w:t>
      </w:r>
      <w:r w:rsidRPr="00C413C3">
        <w:tab/>
        <w:t>Description générale et fonction</w:t>
      </w:r>
      <w:r>
        <w:t> ;</w:t>
      </w:r>
    </w:p>
    <w:p w14:paraId="242CE0B8" w14:textId="60D5B3D3" w:rsidR="00C065F4" w:rsidRPr="00C413C3" w:rsidRDefault="00C065F4" w:rsidP="00C065F4">
      <w:pPr>
        <w:pStyle w:val="SingleTxtG"/>
        <w:ind w:left="2835" w:hanging="567"/>
      </w:pPr>
      <w:r w:rsidRPr="00C413C3">
        <w:t>-</w:t>
      </w:r>
      <w:r w:rsidRPr="00C413C3">
        <w:tab/>
        <w:t>Identification (par exemple, numéro(s) de pièce)</w:t>
      </w:r>
      <w:r>
        <w:t> ;</w:t>
      </w:r>
    </w:p>
    <w:p w14:paraId="68B5C4F7" w14:textId="7212A7E3" w:rsidR="00C065F4" w:rsidRPr="005E24D6" w:rsidRDefault="00C065F4" w:rsidP="00C065F4">
      <w:pPr>
        <w:pStyle w:val="SingleTxtG"/>
        <w:ind w:left="2835" w:hanging="567"/>
      </w:pPr>
      <w:r w:rsidRPr="005E24D6">
        <w:t>-</w:t>
      </w:r>
      <w:r w:rsidRPr="005E24D6">
        <w:tab/>
        <w:t>Limitations (par exemple, compatibilité avec les autres systèmes connectés au bus CAN, messages et signaux de sortie requis par le TPMS pour que le véhicule satisfasse aux prescriptions de fonctionnement énoncées aux paragraphes 5.1.2 à 5.6 du présent Règlement ainsi qu’aux prescriptions d’essai (crevaison, défaut d’étanchéité et défaut de fonctionnement) énoncées dans l’annexe 3 de ce Règlement en ce qui concerne, par exemple, la vitesse du véhicule) ;</w:t>
      </w:r>
    </w:p>
    <w:p w14:paraId="20521492" w14:textId="77777777" w:rsidR="00C065F4" w:rsidRPr="00C413C3" w:rsidRDefault="00C065F4" w:rsidP="00C065F4">
      <w:pPr>
        <w:pStyle w:val="SingleTxtG"/>
        <w:ind w:left="2835" w:hanging="567"/>
      </w:pPr>
      <w:r w:rsidRPr="00C413C3">
        <w:t>-</w:t>
      </w:r>
      <w:r w:rsidRPr="00C413C3">
        <w:tab/>
        <w:t>Cet élément peut faire l’objet d’un procès-verbal d’essai distinct.</w:t>
      </w:r>
    </w:p>
    <w:p w14:paraId="07EBDA8B" w14:textId="77777777" w:rsidR="00C065F4" w:rsidRPr="00C413C3" w:rsidRDefault="00C065F4" w:rsidP="00C065F4">
      <w:pPr>
        <w:pStyle w:val="SingleTxtG"/>
        <w:ind w:left="2268" w:hanging="1134"/>
      </w:pPr>
      <w:r w:rsidRPr="00C413C3">
        <w:t>3.2</w:t>
      </w:r>
      <w:r w:rsidRPr="00C413C3">
        <w:tab/>
        <w:t>Équipement électrique</w:t>
      </w:r>
    </w:p>
    <w:p w14:paraId="7E2BAE21" w14:textId="60D4FDAB" w:rsidR="00C065F4" w:rsidRPr="00C413C3" w:rsidRDefault="00C065F4" w:rsidP="00C065F4">
      <w:pPr>
        <w:pStyle w:val="SingleTxtG"/>
        <w:ind w:left="2835" w:hanging="567"/>
      </w:pPr>
      <w:r w:rsidRPr="00C413C3">
        <w:t>-</w:t>
      </w:r>
      <w:r w:rsidRPr="00C413C3">
        <w:tab/>
        <w:t>Diagramme(s) du circuit</w:t>
      </w:r>
      <w:r>
        <w:t> ;</w:t>
      </w:r>
    </w:p>
    <w:p w14:paraId="6CC42B8F" w14:textId="77777777" w:rsidR="00C065F4" w:rsidRPr="00C413C3" w:rsidRDefault="00C065F4" w:rsidP="00C065F4">
      <w:pPr>
        <w:pStyle w:val="SingleTxtG"/>
        <w:ind w:left="2835" w:hanging="567"/>
      </w:pPr>
      <w:r w:rsidRPr="00C413C3">
        <w:t>-</w:t>
      </w:r>
      <w:r w:rsidRPr="00C413C3">
        <w:tab/>
        <w:t>Méthodes d’alimentation</w:t>
      </w:r>
    </w:p>
    <w:p w14:paraId="3CC80BA7" w14:textId="5939203B" w:rsidR="00C065F4" w:rsidRPr="00C413C3" w:rsidRDefault="00C065F4" w:rsidP="00C065F4">
      <w:pPr>
        <w:pStyle w:val="SingleTxtG"/>
        <w:ind w:left="2268" w:hanging="1134"/>
      </w:pPr>
      <w:r w:rsidRPr="00C413C3">
        <w:t>3.3</w:t>
      </w:r>
      <w:r w:rsidRPr="00C413C3">
        <w:tab/>
        <w:t>S’il y a lieu, compatibilité électromagnétique au sens du Règlement ONU n</w:t>
      </w:r>
      <w:r w:rsidRPr="00C413C3">
        <w:rPr>
          <w:vertAlign w:val="superscript"/>
        </w:rPr>
        <w:t>o</w:t>
      </w:r>
      <w:r w:rsidRPr="00C413C3">
        <w:t> 10 tel que modifié par</w:t>
      </w:r>
      <w:r>
        <w:t> :</w:t>
      </w:r>
    </w:p>
    <w:p w14:paraId="6173E580" w14:textId="3B66B806" w:rsidR="00C065F4" w:rsidRPr="005E24D6" w:rsidRDefault="00C065F4" w:rsidP="00C065F4">
      <w:pPr>
        <w:pStyle w:val="SingleTxtG"/>
        <w:ind w:left="2835" w:hanging="567"/>
      </w:pPr>
      <w:r w:rsidRPr="005E24D6">
        <w:t>a)</w:t>
      </w:r>
      <w:r w:rsidRPr="005E24D6">
        <w:tab/>
        <w:t>La série 03 d’amendements pour les véhicules dépourvus de système de raccordement pour la recharge du système rechargeable de stockage de l’énergie électrique (batteries de traction) ;</w:t>
      </w:r>
    </w:p>
    <w:p w14:paraId="3638458E" w14:textId="528FE9AB" w:rsidR="00C065F4" w:rsidRPr="00C413C3" w:rsidRDefault="00C065F4" w:rsidP="00C065F4">
      <w:pPr>
        <w:pStyle w:val="SingleTxtG"/>
        <w:ind w:left="2835" w:hanging="567"/>
      </w:pPr>
      <w:r w:rsidRPr="00C413C3">
        <w:t>b)</w:t>
      </w:r>
      <w:r w:rsidRPr="00C413C3">
        <w:tab/>
        <w:t xml:space="preserve">La </w:t>
      </w:r>
      <w:r>
        <w:t xml:space="preserve">série </w:t>
      </w:r>
      <w:r w:rsidRPr="00C413C3">
        <w:t>06 d’amendements pour les véhicules équipés d’un système de raccordement pour la recharge du système rechargeable de stockage de l’énergie électrique (batteries de traction).</w:t>
      </w:r>
    </w:p>
    <w:p w14:paraId="27D11B33" w14:textId="58F81F79" w:rsidR="00C065F4" w:rsidRPr="00846228" w:rsidRDefault="00C065F4" w:rsidP="00C065F4">
      <w:pPr>
        <w:pStyle w:val="SingleTxtG"/>
        <w:ind w:left="2268" w:hanging="1134"/>
      </w:pPr>
      <w:r w:rsidRPr="00C413C3">
        <w:t>3.4</w:t>
      </w:r>
      <w:r w:rsidRPr="00C413C3">
        <w:tab/>
        <w:t>Renseignements complémentaires (le cas échéant) à la description des composants du TPMS/TPRS/CTIS</w:t>
      </w:r>
      <w:r w:rsidRPr="00C413C3">
        <w:rPr>
          <w:b/>
          <w:bCs/>
        </w:rPr>
        <w:br w:type="page"/>
      </w:r>
    </w:p>
    <w:p w14:paraId="1C0D395D" w14:textId="2601C321" w:rsidR="00C065F4" w:rsidRPr="00C413C3" w:rsidRDefault="00C065F4" w:rsidP="00C065F4">
      <w:pPr>
        <w:pStyle w:val="HChG"/>
        <w:rPr>
          <w:szCs w:val="28"/>
        </w:rPr>
      </w:pPr>
      <w:r>
        <w:lastRenderedPageBreak/>
        <w:t xml:space="preserve">Annexe </w:t>
      </w:r>
      <w:r w:rsidRPr="00C413C3">
        <w:t xml:space="preserve">7 − </w:t>
      </w:r>
      <w:r>
        <w:t xml:space="preserve">Appendice </w:t>
      </w:r>
      <w:r w:rsidRPr="00C413C3">
        <w:t>3</w:t>
      </w:r>
    </w:p>
    <w:p w14:paraId="425E635A" w14:textId="12C1FF4A" w:rsidR="00C065F4" w:rsidRPr="00C413C3" w:rsidRDefault="00C065F4" w:rsidP="00C065F4">
      <w:pPr>
        <w:pStyle w:val="HChG"/>
      </w:pPr>
      <w:r w:rsidRPr="00C413C3">
        <w:rPr>
          <w:rFonts w:ascii="Times New Roman Gras" w:hAnsi="Times New Roman Gras"/>
          <w:spacing w:val="2"/>
        </w:rPr>
        <w:tab/>
      </w:r>
      <w:r w:rsidRPr="00C413C3">
        <w:rPr>
          <w:rFonts w:ascii="Times New Roman Gras" w:hAnsi="Times New Roman Gras"/>
          <w:spacing w:val="2"/>
        </w:rPr>
        <w:tab/>
        <w:t>Procès-verbal d’essai concernant le système de surveillance de la pression des pneumatiques, ou le système de regonflage des</w:t>
      </w:r>
      <w:r w:rsidRPr="00C413C3">
        <w:t xml:space="preserve"> </w:t>
      </w:r>
      <w:r w:rsidRPr="00C413C3">
        <w:rPr>
          <w:rFonts w:ascii="Times New Roman Gras" w:hAnsi="Times New Roman Gras"/>
          <w:spacing w:val="-2"/>
        </w:rPr>
        <w:t>pneumatiques, ou le système de gonflage central des</w:t>
      </w:r>
      <w:r w:rsidR="005E24D6">
        <w:rPr>
          <w:rFonts w:ascii="Times New Roman Gras" w:hAnsi="Times New Roman Gras" w:hint="eastAsia"/>
          <w:spacing w:val="-2"/>
        </w:rPr>
        <w:t> </w:t>
      </w:r>
      <w:r w:rsidRPr="00C413C3">
        <w:rPr>
          <w:rFonts w:ascii="Times New Roman Gras" w:hAnsi="Times New Roman Gras"/>
          <w:spacing w:val="-2"/>
        </w:rPr>
        <w:t>pneumatiques,</w:t>
      </w:r>
      <w:r w:rsidRPr="00C413C3">
        <w:t xml:space="preserve"> pour la remorque de référence</w:t>
      </w:r>
    </w:p>
    <w:p w14:paraId="3A1640DF" w14:textId="77777777" w:rsidR="00C065F4" w:rsidRPr="00C413C3" w:rsidRDefault="00C065F4" w:rsidP="00C065F4">
      <w:pPr>
        <w:pStyle w:val="SingleTxtG"/>
        <w:ind w:left="2268" w:hanging="1134"/>
      </w:pPr>
      <w:r w:rsidRPr="00C413C3">
        <w:t>1.</w:t>
      </w:r>
      <w:r w:rsidRPr="00C413C3">
        <w:tab/>
        <w:t>Identification</w:t>
      </w:r>
    </w:p>
    <w:p w14:paraId="02C3884D" w14:textId="77777777" w:rsidR="00C065F4" w:rsidRPr="00C413C3" w:rsidRDefault="00C065F4" w:rsidP="00C065F4">
      <w:pPr>
        <w:pStyle w:val="SingleTxtG"/>
        <w:ind w:left="2268" w:hanging="1134"/>
      </w:pPr>
      <w:r w:rsidRPr="00C413C3">
        <w:t>1.1</w:t>
      </w:r>
      <w:r w:rsidRPr="00C413C3">
        <w:tab/>
        <w:t>Nom et adresse du fabricant du système de surveillance de la pression des pneumatiques (TPMS)/système de regonflage des pneumatiques (TPRS)/système central de gonflage des pneumatiques (CTIS)</w:t>
      </w:r>
      <w:r w:rsidRPr="00C413C3">
        <w:rPr>
          <w:rStyle w:val="Appelnotedebasdep"/>
        </w:rPr>
        <w:footnoteReference w:id="5"/>
      </w:r>
    </w:p>
    <w:p w14:paraId="2250AAEC" w14:textId="77777777" w:rsidR="00C065F4" w:rsidRPr="00C413C3" w:rsidRDefault="00C065F4" w:rsidP="00C065F4">
      <w:pPr>
        <w:pStyle w:val="SingleTxtG"/>
        <w:ind w:left="2268" w:hanging="1134"/>
      </w:pPr>
      <w:r w:rsidRPr="00C413C3">
        <w:t>1.2</w:t>
      </w:r>
      <w:r w:rsidRPr="00C413C3">
        <w:tab/>
        <w:t>Nom du système et modèle</w:t>
      </w:r>
    </w:p>
    <w:p w14:paraId="0BB9D504" w14:textId="77777777" w:rsidR="00C065F4" w:rsidRPr="00C413C3" w:rsidRDefault="00C065F4" w:rsidP="00C065F4">
      <w:pPr>
        <w:pStyle w:val="SingleTxtG"/>
        <w:ind w:left="2268" w:hanging="1134"/>
      </w:pPr>
      <w:r w:rsidRPr="00C413C3">
        <w:t>1.3</w:t>
      </w:r>
      <w:r w:rsidRPr="00C413C3">
        <w:tab/>
        <w:t>Fonction de surveillance pour le TPMS</w:t>
      </w:r>
    </w:p>
    <w:p w14:paraId="732DA42F" w14:textId="77777777" w:rsidR="00C065F4" w:rsidRPr="00C413C3" w:rsidRDefault="00C065F4" w:rsidP="00C065F4">
      <w:pPr>
        <w:pStyle w:val="SingleTxtG"/>
        <w:ind w:left="2268" w:hanging="1134"/>
      </w:pPr>
      <w:r w:rsidRPr="00C413C3">
        <w:t>1.4</w:t>
      </w:r>
      <w:r w:rsidRPr="00C413C3">
        <w:tab/>
        <w:t>Fonction de commande et de contrôle pour le TPRS/CTIS</w:t>
      </w:r>
    </w:p>
    <w:p w14:paraId="3900A5F2" w14:textId="45E96E65" w:rsidR="00C065F4" w:rsidRPr="00C413C3" w:rsidRDefault="00C065F4" w:rsidP="00C065F4">
      <w:pPr>
        <w:pStyle w:val="SingleTxtG"/>
        <w:ind w:left="2268" w:hanging="1134"/>
      </w:pPr>
      <w:r w:rsidRPr="00C413C3">
        <w:t>2.</w:t>
      </w:r>
      <w:r w:rsidRPr="00C413C3">
        <w:tab/>
        <w:t>Systèmes et installations homologués</w:t>
      </w:r>
      <w:r>
        <w:t> :</w:t>
      </w:r>
    </w:p>
    <w:p w14:paraId="68EB0CF4" w14:textId="65E6B775" w:rsidR="00C065F4" w:rsidRPr="00C413C3" w:rsidRDefault="00C065F4" w:rsidP="00C065F4">
      <w:pPr>
        <w:pStyle w:val="SingleTxtG"/>
        <w:ind w:left="2268" w:hanging="1134"/>
      </w:pPr>
      <w:r w:rsidRPr="00C413C3">
        <w:t>2.1</w:t>
      </w:r>
      <w:r w:rsidRPr="00C413C3">
        <w:tab/>
        <w:t>Configurations du TPMS/TPRS/CTIS (s’il y a lieu)</w:t>
      </w:r>
      <w:r>
        <w:t> :</w:t>
      </w:r>
      <w:r w:rsidRPr="00C413C3">
        <w:t xml:space="preserve"> définition des paramètres qui ont une incidence sur le fonctionnement du TPMS/TPRS/CTIS. Toutes les sous-configurations autorisées doivent être prises en charge sous réserve que la marque adéquate soit bien indiquée, par exemple si seul un sous-ensemble d’essieux est équipé.</w:t>
      </w:r>
    </w:p>
    <w:tbl>
      <w:tblPr>
        <w:tblW w:w="6222" w:type="dxa"/>
        <w:tblInd w:w="2282" w:type="dxa"/>
        <w:tblLayout w:type="fixed"/>
        <w:tblCellMar>
          <w:left w:w="0" w:type="dxa"/>
          <w:right w:w="0" w:type="dxa"/>
        </w:tblCellMar>
        <w:tblLook w:val="04A0" w:firstRow="1" w:lastRow="0" w:firstColumn="1" w:lastColumn="0" w:noHBand="0" w:noVBand="1"/>
      </w:tblPr>
      <w:tblGrid>
        <w:gridCol w:w="2626"/>
        <w:gridCol w:w="599"/>
        <w:gridCol w:w="599"/>
        <w:gridCol w:w="599"/>
        <w:gridCol w:w="599"/>
        <w:gridCol w:w="599"/>
        <w:gridCol w:w="601"/>
      </w:tblGrid>
      <w:tr w:rsidR="00C065F4" w:rsidRPr="005E24D6" w14:paraId="6C36C880" w14:textId="77777777" w:rsidTr="00C065F4">
        <w:trPr>
          <w:tblHeader/>
        </w:trPr>
        <w:tc>
          <w:tcPr>
            <w:tcW w:w="2626" w:type="dxa"/>
            <w:tcBorders>
              <w:top w:val="single" w:sz="4" w:space="0" w:color="auto"/>
              <w:bottom w:val="single" w:sz="4" w:space="0" w:color="auto"/>
            </w:tcBorders>
            <w:shd w:val="clear" w:color="auto" w:fill="auto"/>
            <w:vAlign w:val="bottom"/>
          </w:tcPr>
          <w:p w14:paraId="1C5CD6E4" w14:textId="77777777" w:rsidR="00C065F4" w:rsidRPr="005E24D6" w:rsidRDefault="00C065F4" w:rsidP="00C065F4">
            <w:pPr>
              <w:suppressAutoHyphens w:val="0"/>
              <w:spacing w:before="80" w:after="80" w:line="200" w:lineRule="exact"/>
              <w:rPr>
                <w:i/>
                <w:sz w:val="16"/>
              </w:rPr>
            </w:pPr>
          </w:p>
        </w:tc>
        <w:tc>
          <w:tcPr>
            <w:tcW w:w="3596" w:type="dxa"/>
            <w:gridSpan w:val="6"/>
            <w:tcBorders>
              <w:top w:val="single" w:sz="4" w:space="0" w:color="auto"/>
              <w:bottom w:val="single" w:sz="4" w:space="0" w:color="auto"/>
            </w:tcBorders>
            <w:shd w:val="clear" w:color="auto" w:fill="auto"/>
            <w:vAlign w:val="bottom"/>
          </w:tcPr>
          <w:p w14:paraId="30ACB209" w14:textId="77777777" w:rsidR="00C065F4" w:rsidRPr="005E24D6" w:rsidRDefault="00C065F4" w:rsidP="00C065F4">
            <w:pPr>
              <w:suppressAutoHyphens w:val="0"/>
              <w:spacing w:before="80" w:after="80" w:line="200" w:lineRule="exact"/>
              <w:jc w:val="center"/>
              <w:rPr>
                <w:i/>
                <w:sz w:val="16"/>
              </w:rPr>
            </w:pPr>
            <w:r w:rsidRPr="005E24D6">
              <w:rPr>
                <w:i/>
                <w:sz w:val="16"/>
              </w:rPr>
              <w:t>Nombre d’essieux</w:t>
            </w:r>
          </w:p>
        </w:tc>
      </w:tr>
      <w:tr w:rsidR="00C065F4" w:rsidRPr="005E24D6" w14:paraId="592438A8" w14:textId="77777777" w:rsidTr="00C065F4">
        <w:tc>
          <w:tcPr>
            <w:tcW w:w="2626" w:type="dxa"/>
            <w:tcBorders>
              <w:top w:val="single" w:sz="4" w:space="0" w:color="auto"/>
              <w:bottom w:val="single" w:sz="12" w:space="0" w:color="auto"/>
            </w:tcBorders>
            <w:shd w:val="clear" w:color="auto" w:fill="auto"/>
          </w:tcPr>
          <w:p w14:paraId="0CB6D069" w14:textId="77777777" w:rsidR="00C065F4" w:rsidRPr="005E24D6" w:rsidRDefault="00C065F4" w:rsidP="00C065F4">
            <w:pPr>
              <w:suppressAutoHyphens w:val="0"/>
              <w:spacing w:before="80" w:after="80" w:line="200" w:lineRule="exact"/>
              <w:rPr>
                <w:i/>
                <w:spacing w:val="4"/>
                <w:w w:val="103"/>
                <w:kern w:val="14"/>
                <w:sz w:val="16"/>
              </w:rPr>
            </w:pPr>
          </w:p>
        </w:tc>
        <w:tc>
          <w:tcPr>
            <w:tcW w:w="599" w:type="dxa"/>
            <w:tcBorders>
              <w:top w:val="single" w:sz="4" w:space="0" w:color="auto"/>
              <w:bottom w:val="single" w:sz="12" w:space="0" w:color="auto"/>
            </w:tcBorders>
            <w:shd w:val="clear" w:color="auto" w:fill="auto"/>
            <w:vAlign w:val="bottom"/>
          </w:tcPr>
          <w:p w14:paraId="5C661400" w14:textId="77777777" w:rsidR="00C065F4" w:rsidRPr="005E24D6" w:rsidRDefault="00C065F4" w:rsidP="00C065F4">
            <w:pPr>
              <w:suppressAutoHyphens w:val="0"/>
              <w:spacing w:before="80" w:after="80" w:line="200" w:lineRule="exact"/>
              <w:jc w:val="center"/>
              <w:rPr>
                <w:i/>
                <w:spacing w:val="4"/>
                <w:w w:val="103"/>
                <w:kern w:val="14"/>
                <w:sz w:val="16"/>
              </w:rPr>
            </w:pPr>
            <w:r w:rsidRPr="005E24D6">
              <w:rPr>
                <w:i/>
                <w:spacing w:val="4"/>
                <w:w w:val="103"/>
                <w:kern w:val="14"/>
                <w:sz w:val="16"/>
              </w:rPr>
              <w:t>1</w:t>
            </w:r>
          </w:p>
        </w:tc>
        <w:tc>
          <w:tcPr>
            <w:tcW w:w="599" w:type="dxa"/>
            <w:tcBorders>
              <w:top w:val="single" w:sz="4" w:space="0" w:color="auto"/>
              <w:bottom w:val="single" w:sz="12" w:space="0" w:color="auto"/>
            </w:tcBorders>
            <w:shd w:val="clear" w:color="auto" w:fill="auto"/>
            <w:vAlign w:val="bottom"/>
          </w:tcPr>
          <w:p w14:paraId="531A2542" w14:textId="77777777" w:rsidR="00C065F4" w:rsidRPr="005E24D6" w:rsidRDefault="00C065F4" w:rsidP="00C065F4">
            <w:pPr>
              <w:suppressAutoHyphens w:val="0"/>
              <w:spacing w:before="80" w:after="80" w:line="200" w:lineRule="exact"/>
              <w:jc w:val="center"/>
              <w:rPr>
                <w:i/>
                <w:spacing w:val="4"/>
                <w:w w:val="103"/>
                <w:kern w:val="14"/>
                <w:sz w:val="16"/>
              </w:rPr>
            </w:pPr>
            <w:r w:rsidRPr="005E24D6">
              <w:rPr>
                <w:i/>
                <w:spacing w:val="4"/>
                <w:w w:val="103"/>
                <w:kern w:val="14"/>
                <w:sz w:val="16"/>
              </w:rPr>
              <w:t>2</w:t>
            </w:r>
          </w:p>
        </w:tc>
        <w:tc>
          <w:tcPr>
            <w:tcW w:w="599" w:type="dxa"/>
            <w:tcBorders>
              <w:top w:val="single" w:sz="4" w:space="0" w:color="auto"/>
              <w:bottom w:val="single" w:sz="12" w:space="0" w:color="auto"/>
            </w:tcBorders>
            <w:shd w:val="clear" w:color="auto" w:fill="auto"/>
            <w:vAlign w:val="bottom"/>
          </w:tcPr>
          <w:p w14:paraId="2D1425FA" w14:textId="77777777" w:rsidR="00C065F4" w:rsidRPr="005E24D6" w:rsidRDefault="00C065F4" w:rsidP="00C065F4">
            <w:pPr>
              <w:suppressAutoHyphens w:val="0"/>
              <w:spacing w:before="80" w:after="80" w:line="200" w:lineRule="exact"/>
              <w:jc w:val="center"/>
              <w:rPr>
                <w:i/>
                <w:spacing w:val="4"/>
                <w:w w:val="103"/>
                <w:kern w:val="14"/>
                <w:sz w:val="16"/>
              </w:rPr>
            </w:pPr>
            <w:r w:rsidRPr="005E24D6">
              <w:rPr>
                <w:i/>
                <w:spacing w:val="4"/>
                <w:w w:val="103"/>
                <w:kern w:val="14"/>
                <w:sz w:val="16"/>
              </w:rPr>
              <w:t>3</w:t>
            </w:r>
          </w:p>
        </w:tc>
        <w:tc>
          <w:tcPr>
            <w:tcW w:w="599" w:type="dxa"/>
            <w:tcBorders>
              <w:top w:val="single" w:sz="4" w:space="0" w:color="auto"/>
              <w:bottom w:val="single" w:sz="12" w:space="0" w:color="auto"/>
            </w:tcBorders>
            <w:shd w:val="clear" w:color="auto" w:fill="auto"/>
            <w:vAlign w:val="bottom"/>
          </w:tcPr>
          <w:p w14:paraId="7901A8DB" w14:textId="77777777" w:rsidR="00C065F4" w:rsidRPr="005E24D6" w:rsidRDefault="00C065F4" w:rsidP="00C065F4">
            <w:pPr>
              <w:suppressAutoHyphens w:val="0"/>
              <w:spacing w:before="80" w:after="80" w:line="200" w:lineRule="exact"/>
              <w:jc w:val="center"/>
              <w:rPr>
                <w:i/>
                <w:spacing w:val="4"/>
                <w:w w:val="103"/>
                <w:kern w:val="14"/>
                <w:sz w:val="16"/>
              </w:rPr>
            </w:pPr>
            <w:r w:rsidRPr="005E24D6">
              <w:rPr>
                <w:i/>
                <w:spacing w:val="4"/>
                <w:w w:val="103"/>
                <w:kern w:val="14"/>
                <w:sz w:val="16"/>
              </w:rPr>
              <w:t>4</w:t>
            </w:r>
          </w:p>
        </w:tc>
        <w:tc>
          <w:tcPr>
            <w:tcW w:w="599" w:type="dxa"/>
            <w:tcBorders>
              <w:top w:val="single" w:sz="4" w:space="0" w:color="auto"/>
              <w:bottom w:val="single" w:sz="12" w:space="0" w:color="auto"/>
            </w:tcBorders>
            <w:shd w:val="clear" w:color="auto" w:fill="auto"/>
            <w:vAlign w:val="bottom"/>
          </w:tcPr>
          <w:p w14:paraId="4FB7CCDF" w14:textId="77777777" w:rsidR="00C065F4" w:rsidRPr="005E24D6" w:rsidRDefault="00C065F4" w:rsidP="00C065F4">
            <w:pPr>
              <w:suppressAutoHyphens w:val="0"/>
              <w:spacing w:before="80" w:after="80" w:line="200" w:lineRule="exact"/>
              <w:jc w:val="center"/>
              <w:rPr>
                <w:i/>
                <w:spacing w:val="4"/>
                <w:w w:val="103"/>
                <w:kern w:val="14"/>
                <w:sz w:val="16"/>
              </w:rPr>
            </w:pPr>
            <w:r w:rsidRPr="005E24D6">
              <w:rPr>
                <w:i/>
                <w:spacing w:val="4"/>
                <w:w w:val="103"/>
                <w:kern w:val="14"/>
                <w:sz w:val="16"/>
              </w:rPr>
              <w:t>5</w:t>
            </w:r>
          </w:p>
        </w:tc>
        <w:tc>
          <w:tcPr>
            <w:tcW w:w="599" w:type="dxa"/>
            <w:tcBorders>
              <w:top w:val="single" w:sz="4" w:space="0" w:color="auto"/>
              <w:bottom w:val="single" w:sz="12" w:space="0" w:color="auto"/>
            </w:tcBorders>
            <w:shd w:val="clear" w:color="auto" w:fill="auto"/>
            <w:vAlign w:val="bottom"/>
          </w:tcPr>
          <w:p w14:paraId="593B75D4" w14:textId="77777777" w:rsidR="00C065F4" w:rsidRPr="005E24D6" w:rsidRDefault="00C065F4" w:rsidP="00C065F4">
            <w:pPr>
              <w:suppressAutoHyphens w:val="0"/>
              <w:spacing w:before="80" w:after="80" w:line="200" w:lineRule="exact"/>
              <w:jc w:val="center"/>
              <w:rPr>
                <w:i/>
                <w:spacing w:val="4"/>
                <w:w w:val="103"/>
                <w:kern w:val="14"/>
                <w:sz w:val="16"/>
              </w:rPr>
            </w:pPr>
            <w:r w:rsidRPr="005E24D6">
              <w:rPr>
                <w:i/>
                <w:spacing w:val="4"/>
                <w:w w:val="103"/>
                <w:kern w:val="14"/>
                <w:sz w:val="16"/>
              </w:rPr>
              <w:t>6</w:t>
            </w:r>
          </w:p>
        </w:tc>
      </w:tr>
      <w:tr w:rsidR="00C065F4" w:rsidRPr="00C413C3" w14:paraId="7F2A1E20" w14:textId="77777777" w:rsidTr="00C065F4">
        <w:tc>
          <w:tcPr>
            <w:tcW w:w="2626" w:type="dxa"/>
            <w:tcBorders>
              <w:top w:val="single" w:sz="12" w:space="0" w:color="auto"/>
            </w:tcBorders>
            <w:shd w:val="clear" w:color="auto" w:fill="auto"/>
          </w:tcPr>
          <w:p w14:paraId="5D9E5B6C" w14:textId="77777777" w:rsidR="00C065F4" w:rsidRPr="00C413C3" w:rsidRDefault="00C065F4" w:rsidP="00C065F4">
            <w:pPr>
              <w:suppressAutoHyphens w:val="0"/>
              <w:spacing w:before="40" w:after="40" w:line="220" w:lineRule="exact"/>
              <w:rPr>
                <w:sz w:val="18"/>
                <w:szCs w:val="18"/>
              </w:rPr>
            </w:pPr>
            <w:r w:rsidRPr="00C413C3">
              <w:rPr>
                <w:sz w:val="18"/>
                <w:szCs w:val="18"/>
              </w:rPr>
              <w:t>Pneumatique simple</w:t>
            </w:r>
          </w:p>
        </w:tc>
        <w:tc>
          <w:tcPr>
            <w:tcW w:w="599" w:type="dxa"/>
            <w:tcBorders>
              <w:top w:val="single" w:sz="12" w:space="0" w:color="auto"/>
            </w:tcBorders>
            <w:shd w:val="clear" w:color="auto" w:fill="auto"/>
            <w:vAlign w:val="bottom"/>
          </w:tcPr>
          <w:p w14:paraId="1F2628A3" w14:textId="77777777" w:rsidR="00C065F4" w:rsidRPr="00C413C3" w:rsidRDefault="00C065F4" w:rsidP="00C065F4">
            <w:pPr>
              <w:suppressAutoHyphens w:val="0"/>
              <w:spacing w:before="40" w:after="40" w:line="220" w:lineRule="exact"/>
              <w:jc w:val="right"/>
              <w:rPr>
                <w:sz w:val="18"/>
                <w:szCs w:val="18"/>
              </w:rPr>
            </w:pPr>
          </w:p>
        </w:tc>
        <w:tc>
          <w:tcPr>
            <w:tcW w:w="599" w:type="dxa"/>
            <w:tcBorders>
              <w:top w:val="single" w:sz="12" w:space="0" w:color="auto"/>
            </w:tcBorders>
            <w:shd w:val="clear" w:color="auto" w:fill="auto"/>
            <w:vAlign w:val="bottom"/>
          </w:tcPr>
          <w:p w14:paraId="15F1A5FF" w14:textId="77777777" w:rsidR="00C065F4" w:rsidRPr="00C413C3" w:rsidRDefault="00C065F4" w:rsidP="00C065F4">
            <w:pPr>
              <w:suppressAutoHyphens w:val="0"/>
              <w:spacing w:before="40" w:after="40" w:line="220" w:lineRule="exact"/>
              <w:jc w:val="right"/>
              <w:rPr>
                <w:sz w:val="18"/>
                <w:szCs w:val="18"/>
              </w:rPr>
            </w:pPr>
          </w:p>
        </w:tc>
        <w:tc>
          <w:tcPr>
            <w:tcW w:w="599" w:type="dxa"/>
            <w:tcBorders>
              <w:top w:val="single" w:sz="12" w:space="0" w:color="auto"/>
            </w:tcBorders>
            <w:shd w:val="clear" w:color="auto" w:fill="auto"/>
            <w:vAlign w:val="bottom"/>
          </w:tcPr>
          <w:p w14:paraId="7279E4A0" w14:textId="77777777" w:rsidR="00C065F4" w:rsidRPr="00C413C3" w:rsidRDefault="00C065F4" w:rsidP="00C065F4">
            <w:pPr>
              <w:suppressAutoHyphens w:val="0"/>
              <w:spacing w:before="40" w:after="40" w:line="220" w:lineRule="exact"/>
              <w:jc w:val="right"/>
              <w:rPr>
                <w:sz w:val="18"/>
                <w:szCs w:val="18"/>
              </w:rPr>
            </w:pPr>
          </w:p>
        </w:tc>
        <w:tc>
          <w:tcPr>
            <w:tcW w:w="599" w:type="dxa"/>
            <w:tcBorders>
              <w:top w:val="single" w:sz="12" w:space="0" w:color="auto"/>
            </w:tcBorders>
            <w:shd w:val="clear" w:color="auto" w:fill="auto"/>
            <w:vAlign w:val="bottom"/>
          </w:tcPr>
          <w:p w14:paraId="4944C8C8" w14:textId="77777777" w:rsidR="00C065F4" w:rsidRPr="00C413C3" w:rsidRDefault="00C065F4" w:rsidP="00C065F4">
            <w:pPr>
              <w:suppressAutoHyphens w:val="0"/>
              <w:spacing w:before="40" w:after="40" w:line="220" w:lineRule="exact"/>
              <w:jc w:val="right"/>
              <w:rPr>
                <w:sz w:val="18"/>
                <w:szCs w:val="18"/>
              </w:rPr>
            </w:pPr>
          </w:p>
        </w:tc>
        <w:tc>
          <w:tcPr>
            <w:tcW w:w="599" w:type="dxa"/>
            <w:tcBorders>
              <w:top w:val="single" w:sz="12" w:space="0" w:color="auto"/>
            </w:tcBorders>
            <w:shd w:val="clear" w:color="auto" w:fill="auto"/>
            <w:vAlign w:val="bottom"/>
          </w:tcPr>
          <w:p w14:paraId="6ED787D4" w14:textId="77777777" w:rsidR="00C065F4" w:rsidRPr="00C413C3" w:rsidRDefault="00C065F4" w:rsidP="00C065F4">
            <w:pPr>
              <w:suppressAutoHyphens w:val="0"/>
              <w:spacing w:before="40" w:after="40" w:line="220" w:lineRule="exact"/>
              <w:jc w:val="right"/>
              <w:rPr>
                <w:sz w:val="18"/>
                <w:szCs w:val="18"/>
              </w:rPr>
            </w:pPr>
          </w:p>
        </w:tc>
        <w:tc>
          <w:tcPr>
            <w:tcW w:w="599" w:type="dxa"/>
            <w:tcBorders>
              <w:top w:val="single" w:sz="12" w:space="0" w:color="auto"/>
            </w:tcBorders>
            <w:shd w:val="clear" w:color="auto" w:fill="auto"/>
            <w:vAlign w:val="bottom"/>
          </w:tcPr>
          <w:p w14:paraId="5D82D4C9" w14:textId="77777777" w:rsidR="00C065F4" w:rsidRPr="00C413C3" w:rsidRDefault="00C065F4" w:rsidP="00C065F4">
            <w:pPr>
              <w:suppressAutoHyphens w:val="0"/>
              <w:spacing w:before="40" w:after="40" w:line="220" w:lineRule="exact"/>
              <w:jc w:val="right"/>
              <w:rPr>
                <w:sz w:val="18"/>
                <w:szCs w:val="18"/>
              </w:rPr>
            </w:pPr>
          </w:p>
        </w:tc>
      </w:tr>
      <w:tr w:rsidR="00C065F4" w:rsidRPr="00C413C3" w14:paraId="18907955" w14:textId="77777777" w:rsidTr="00C065F4">
        <w:tc>
          <w:tcPr>
            <w:tcW w:w="2626" w:type="dxa"/>
            <w:shd w:val="clear" w:color="auto" w:fill="auto"/>
          </w:tcPr>
          <w:p w14:paraId="0DD29C2D" w14:textId="77777777" w:rsidR="00C065F4" w:rsidRPr="00C413C3" w:rsidRDefault="00C065F4" w:rsidP="00C065F4">
            <w:pPr>
              <w:suppressAutoHyphens w:val="0"/>
              <w:spacing w:before="40" w:after="40" w:line="220" w:lineRule="exact"/>
              <w:rPr>
                <w:sz w:val="18"/>
                <w:szCs w:val="18"/>
              </w:rPr>
            </w:pPr>
            <w:r w:rsidRPr="00C413C3">
              <w:rPr>
                <w:sz w:val="18"/>
                <w:szCs w:val="18"/>
              </w:rPr>
              <w:t>Pneumatiques jumelés</w:t>
            </w:r>
          </w:p>
        </w:tc>
        <w:tc>
          <w:tcPr>
            <w:tcW w:w="599" w:type="dxa"/>
            <w:shd w:val="clear" w:color="auto" w:fill="auto"/>
            <w:vAlign w:val="bottom"/>
          </w:tcPr>
          <w:p w14:paraId="63BE2936" w14:textId="77777777" w:rsidR="00C065F4" w:rsidRPr="00C413C3" w:rsidRDefault="00C065F4" w:rsidP="00C065F4">
            <w:pPr>
              <w:suppressAutoHyphens w:val="0"/>
              <w:spacing w:before="40" w:after="40" w:line="220" w:lineRule="exact"/>
              <w:jc w:val="right"/>
              <w:rPr>
                <w:sz w:val="18"/>
                <w:szCs w:val="18"/>
              </w:rPr>
            </w:pPr>
          </w:p>
        </w:tc>
        <w:tc>
          <w:tcPr>
            <w:tcW w:w="599" w:type="dxa"/>
            <w:shd w:val="clear" w:color="auto" w:fill="auto"/>
            <w:vAlign w:val="bottom"/>
          </w:tcPr>
          <w:p w14:paraId="113FE5AB" w14:textId="77777777" w:rsidR="00C065F4" w:rsidRPr="00C413C3" w:rsidRDefault="00C065F4" w:rsidP="00C065F4">
            <w:pPr>
              <w:suppressAutoHyphens w:val="0"/>
              <w:spacing w:before="40" w:after="40" w:line="220" w:lineRule="exact"/>
              <w:jc w:val="right"/>
              <w:rPr>
                <w:sz w:val="18"/>
                <w:szCs w:val="18"/>
              </w:rPr>
            </w:pPr>
          </w:p>
        </w:tc>
        <w:tc>
          <w:tcPr>
            <w:tcW w:w="599" w:type="dxa"/>
            <w:shd w:val="clear" w:color="auto" w:fill="auto"/>
            <w:vAlign w:val="bottom"/>
          </w:tcPr>
          <w:p w14:paraId="5B5A9DEC" w14:textId="77777777" w:rsidR="00C065F4" w:rsidRPr="00C413C3" w:rsidRDefault="00C065F4" w:rsidP="00C065F4">
            <w:pPr>
              <w:suppressAutoHyphens w:val="0"/>
              <w:spacing w:before="40" w:after="40" w:line="220" w:lineRule="exact"/>
              <w:jc w:val="right"/>
              <w:rPr>
                <w:sz w:val="18"/>
                <w:szCs w:val="18"/>
              </w:rPr>
            </w:pPr>
          </w:p>
        </w:tc>
        <w:tc>
          <w:tcPr>
            <w:tcW w:w="599" w:type="dxa"/>
            <w:shd w:val="clear" w:color="auto" w:fill="auto"/>
            <w:vAlign w:val="bottom"/>
          </w:tcPr>
          <w:p w14:paraId="3E69478B" w14:textId="77777777" w:rsidR="00C065F4" w:rsidRPr="00C413C3" w:rsidRDefault="00C065F4" w:rsidP="00C065F4">
            <w:pPr>
              <w:suppressAutoHyphens w:val="0"/>
              <w:spacing w:before="40" w:after="40" w:line="220" w:lineRule="exact"/>
              <w:jc w:val="right"/>
              <w:rPr>
                <w:sz w:val="18"/>
                <w:szCs w:val="18"/>
              </w:rPr>
            </w:pPr>
          </w:p>
        </w:tc>
        <w:tc>
          <w:tcPr>
            <w:tcW w:w="599" w:type="dxa"/>
            <w:shd w:val="clear" w:color="auto" w:fill="auto"/>
            <w:vAlign w:val="bottom"/>
          </w:tcPr>
          <w:p w14:paraId="67EA6D0B" w14:textId="77777777" w:rsidR="00C065F4" w:rsidRPr="00C413C3" w:rsidRDefault="00C065F4" w:rsidP="00C065F4">
            <w:pPr>
              <w:suppressAutoHyphens w:val="0"/>
              <w:spacing w:before="40" w:after="40" w:line="220" w:lineRule="exact"/>
              <w:jc w:val="right"/>
              <w:rPr>
                <w:sz w:val="18"/>
                <w:szCs w:val="18"/>
              </w:rPr>
            </w:pPr>
          </w:p>
        </w:tc>
        <w:tc>
          <w:tcPr>
            <w:tcW w:w="599" w:type="dxa"/>
            <w:shd w:val="clear" w:color="auto" w:fill="auto"/>
            <w:vAlign w:val="bottom"/>
          </w:tcPr>
          <w:p w14:paraId="27663F20" w14:textId="77777777" w:rsidR="00C065F4" w:rsidRPr="00C413C3" w:rsidRDefault="00C065F4" w:rsidP="00C065F4">
            <w:pPr>
              <w:suppressAutoHyphens w:val="0"/>
              <w:spacing w:before="40" w:after="40" w:line="220" w:lineRule="exact"/>
              <w:jc w:val="right"/>
              <w:rPr>
                <w:sz w:val="18"/>
                <w:szCs w:val="18"/>
              </w:rPr>
            </w:pPr>
          </w:p>
        </w:tc>
      </w:tr>
      <w:tr w:rsidR="00C065F4" w:rsidRPr="00C413C3" w14:paraId="442DC661" w14:textId="77777777" w:rsidTr="00C065F4">
        <w:tc>
          <w:tcPr>
            <w:tcW w:w="2626" w:type="dxa"/>
            <w:tcBorders>
              <w:bottom w:val="single" w:sz="12" w:space="0" w:color="auto"/>
            </w:tcBorders>
            <w:shd w:val="clear" w:color="auto" w:fill="auto"/>
          </w:tcPr>
          <w:p w14:paraId="798B6906" w14:textId="77777777" w:rsidR="00C065F4" w:rsidRPr="00C413C3" w:rsidRDefault="00C065F4" w:rsidP="00C065F4">
            <w:pPr>
              <w:suppressAutoHyphens w:val="0"/>
              <w:spacing w:before="40" w:after="40" w:line="220" w:lineRule="exact"/>
              <w:rPr>
                <w:sz w:val="18"/>
                <w:szCs w:val="18"/>
              </w:rPr>
            </w:pPr>
            <w:r w:rsidRPr="00C413C3">
              <w:rPr>
                <w:sz w:val="18"/>
                <w:szCs w:val="18"/>
              </w:rPr>
              <w:t>Plage de pression nominale (kPa)</w:t>
            </w:r>
          </w:p>
        </w:tc>
        <w:tc>
          <w:tcPr>
            <w:tcW w:w="599" w:type="dxa"/>
            <w:tcBorders>
              <w:bottom w:val="single" w:sz="12" w:space="0" w:color="auto"/>
            </w:tcBorders>
            <w:shd w:val="clear" w:color="auto" w:fill="auto"/>
            <w:vAlign w:val="bottom"/>
          </w:tcPr>
          <w:p w14:paraId="7448FF64" w14:textId="77777777" w:rsidR="00C065F4" w:rsidRPr="00C413C3" w:rsidRDefault="00C065F4" w:rsidP="00C065F4">
            <w:pPr>
              <w:suppressAutoHyphens w:val="0"/>
              <w:spacing w:before="40" w:after="40" w:line="220" w:lineRule="exact"/>
              <w:jc w:val="right"/>
              <w:rPr>
                <w:sz w:val="18"/>
                <w:szCs w:val="18"/>
              </w:rPr>
            </w:pPr>
          </w:p>
        </w:tc>
        <w:tc>
          <w:tcPr>
            <w:tcW w:w="599" w:type="dxa"/>
            <w:tcBorders>
              <w:bottom w:val="single" w:sz="12" w:space="0" w:color="auto"/>
            </w:tcBorders>
            <w:shd w:val="clear" w:color="auto" w:fill="auto"/>
            <w:vAlign w:val="bottom"/>
          </w:tcPr>
          <w:p w14:paraId="2F7A950B" w14:textId="77777777" w:rsidR="00C065F4" w:rsidRPr="00C413C3" w:rsidRDefault="00C065F4" w:rsidP="00C065F4">
            <w:pPr>
              <w:suppressAutoHyphens w:val="0"/>
              <w:spacing w:before="40" w:after="40" w:line="220" w:lineRule="exact"/>
              <w:jc w:val="right"/>
              <w:rPr>
                <w:sz w:val="18"/>
                <w:szCs w:val="18"/>
              </w:rPr>
            </w:pPr>
          </w:p>
        </w:tc>
        <w:tc>
          <w:tcPr>
            <w:tcW w:w="599" w:type="dxa"/>
            <w:tcBorders>
              <w:bottom w:val="single" w:sz="12" w:space="0" w:color="auto"/>
            </w:tcBorders>
            <w:shd w:val="clear" w:color="auto" w:fill="auto"/>
            <w:vAlign w:val="bottom"/>
          </w:tcPr>
          <w:p w14:paraId="0CB48843" w14:textId="77777777" w:rsidR="00C065F4" w:rsidRPr="00C413C3" w:rsidRDefault="00C065F4" w:rsidP="00C065F4">
            <w:pPr>
              <w:suppressAutoHyphens w:val="0"/>
              <w:spacing w:before="40" w:after="40" w:line="220" w:lineRule="exact"/>
              <w:jc w:val="right"/>
              <w:rPr>
                <w:sz w:val="18"/>
                <w:szCs w:val="18"/>
              </w:rPr>
            </w:pPr>
          </w:p>
        </w:tc>
        <w:tc>
          <w:tcPr>
            <w:tcW w:w="599" w:type="dxa"/>
            <w:tcBorders>
              <w:bottom w:val="single" w:sz="12" w:space="0" w:color="auto"/>
            </w:tcBorders>
            <w:shd w:val="clear" w:color="auto" w:fill="auto"/>
            <w:vAlign w:val="bottom"/>
          </w:tcPr>
          <w:p w14:paraId="04DC2DD6" w14:textId="77777777" w:rsidR="00C065F4" w:rsidRPr="00C413C3" w:rsidRDefault="00C065F4" w:rsidP="00C065F4">
            <w:pPr>
              <w:suppressAutoHyphens w:val="0"/>
              <w:spacing w:before="40" w:after="40" w:line="220" w:lineRule="exact"/>
              <w:jc w:val="right"/>
              <w:rPr>
                <w:sz w:val="18"/>
                <w:szCs w:val="18"/>
              </w:rPr>
            </w:pPr>
          </w:p>
        </w:tc>
        <w:tc>
          <w:tcPr>
            <w:tcW w:w="599" w:type="dxa"/>
            <w:tcBorders>
              <w:bottom w:val="single" w:sz="12" w:space="0" w:color="auto"/>
            </w:tcBorders>
            <w:shd w:val="clear" w:color="auto" w:fill="auto"/>
            <w:vAlign w:val="bottom"/>
          </w:tcPr>
          <w:p w14:paraId="0DD726C3" w14:textId="77777777" w:rsidR="00C065F4" w:rsidRPr="00C413C3" w:rsidRDefault="00C065F4" w:rsidP="00C065F4">
            <w:pPr>
              <w:suppressAutoHyphens w:val="0"/>
              <w:spacing w:before="40" w:after="40" w:line="220" w:lineRule="exact"/>
              <w:jc w:val="right"/>
              <w:rPr>
                <w:sz w:val="18"/>
                <w:szCs w:val="18"/>
              </w:rPr>
            </w:pPr>
          </w:p>
        </w:tc>
        <w:tc>
          <w:tcPr>
            <w:tcW w:w="599" w:type="dxa"/>
            <w:tcBorders>
              <w:bottom w:val="single" w:sz="12" w:space="0" w:color="auto"/>
            </w:tcBorders>
            <w:shd w:val="clear" w:color="auto" w:fill="auto"/>
            <w:vAlign w:val="bottom"/>
          </w:tcPr>
          <w:p w14:paraId="11F6CD47" w14:textId="77777777" w:rsidR="00C065F4" w:rsidRPr="00C413C3" w:rsidRDefault="00C065F4" w:rsidP="00C065F4">
            <w:pPr>
              <w:suppressAutoHyphens w:val="0"/>
              <w:spacing w:before="40" w:after="40" w:line="220" w:lineRule="exact"/>
              <w:jc w:val="right"/>
              <w:rPr>
                <w:sz w:val="18"/>
                <w:szCs w:val="18"/>
              </w:rPr>
            </w:pPr>
          </w:p>
        </w:tc>
      </w:tr>
    </w:tbl>
    <w:p w14:paraId="2B2049D0" w14:textId="3CA01741" w:rsidR="00C065F4" w:rsidRPr="00C413C3" w:rsidRDefault="00C065F4" w:rsidP="00C065F4">
      <w:pPr>
        <w:pStyle w:val="Bullet1G"/>
        <w:numPr>
          <w:ilvl w:val="0"/>
          <w:numId w:val="1"/>
        </w:numPr>
        <w:spacing w:before="120"/>
        <w:ind w:left="2835" w:hanging="567"/>
      </w:pPr>
      <w:r w:rsidRPr="00C413C3">
        <w:tab/>
        <w:t>Type ou spécification d’autres facteurs, tels que le type et les dimensions des jantes</w:t>
      </w:r>
      <w:r>
        <w:t> ;</w:t>
      </w:r>
    </w:p>
    <w:p w14:paraId="10BC6A7C" w14:textId="3F842829" w:rsidR="00C065F4" w:rsidRPr="00C413C3" w:rsidRDefault="00C065F4" w:rsidP="00C065F4">
      <w:pPr>
        <w:pStyle w:val="Bullet1G"/>
        <w:numPr>
          <w:ilvl w:val="0"/>
          <w:numId w:val="1"/>
        </w:numPr>
        <w:spacing w:before="120"/>
        <w:ind w:left="2835" w:hanging="567"/>
      </w:pPr>
      <w:r w:rsidRPr="00C413C3">
        <w:tab/>
        <w:t>Nombre et position des essieux relevables</w:t>
      </w:r>
      <w:r>
        <w:t> ;</w:t>
      </w:r>
    </w:p>
    <w:p w14:paraId="274DDA2F" w14:textId="77777777" w:rsidR="00C065F4" w:rsidRPr="00C413C3" w:rsidRDefault="00C065F4" w:rsidP="00C065F4">
      <w:pPr>
        <w:pStyle w:val="Bullet1G"/>
        <w:numPr>
          <w:ilvl w:val="0"/>
          <w:numId w:val="1"/>
        </w:numPr>
        <w:spacing w:before="120"/>
        <w:ind w:left="2835" w:hanging="567"/>
      </w:pPr>
      <w:r w:rsidRPr="00C413C3">
        <w:tab/>
        <w:t>Emplacement et configuration du récepteur et/ou des antennes, y compris la zone de montage autorisée.</w:t>
      </w:r>
    </w:p>
    <w:p w14:paraId="70B80D52" w14:textId="1A1F9CFD" w:rsidR="00C065F4" w:rsidRPr="00C413C3" w:rsidRDefault="00C065F4" w:rsidP="00C065F4">
      <w:pPr>
        <w:pStyle w:val="SingleTxtG"/>
        <w:ind w:left="2268" w:hanging="1134"/>
      </w:pPr>
      <w:r w:rsidRPr="00C413C3">
        <w:t>2.2</w:t>
      </w:r>
      <w:r w:rsidRPr="00C413C3">
        <w:tab/>
        <w:t xml:space="preserve">Autres limitations définies par le fabricant (domaine d’application (type de remorque et nombre d’essieux, messages et signaux d’entrée requis par le TPMS pour que le véhicule satisfasse aux prescriptions de fonctionnement énoncées aux </w:t>
      </w:r>
      <w:r>
        <w:t xml:space="preserve">paragraphes </w:t>
      </w:r>
      <w:r w:rsidRPr="00C413C3">
        <w:t>5.1.2 à 5.6 du présent Règlement ainsi qu’aux prescriptions d’essai (crevaison, défaut d’étanchéité et défaut de fonctionnement) énoncées dans l’</w:t>
      </w:r>
      <w:r>
        <w:t xml:space="preserve">annexe </w:t>
      </w:r>
      <w:r w:rsidRPr="00C413C3">
        <w:t>3 de ce Règlement en ce qui concerne, par exemple, la vitesse du véhicule)</w:t>
      </w:r>
    </w:p>
    <w:p w14:paraId="5FE3F13B" w14:textId="77777777" w:rsidR="00C065F4" w:rsidRPr="00C413C3" w:rsidRDefault="00C065F4" w:rsidP="00C065F4">
      <w:pPr>
        <w:pStyle w:val="SingleTxtG"/>
        <w:ind w:left="2268" w:hanging="1134"/>
      </w:pPr>
      <w:r w:rsidRPr="00C413C3">
        <w:t>2.3</w:t>
      </w:r>
      <w:r w:rsidRPr="00C413C3">
        <w:tab/>
        <w:t>Fonctions supplémentaires (le cas échéant)</w:t>
      </w:r>
    </w:p>
    <w:p w14:paraId="46AA5ABF" w14:textId="77777777" w:rsidR="00C065F4" w:rsidRPr="00C413C3" w:rsidRDefault="00C065F4" w:rsidP="00C065F4">
      <w:pPr>
        <w:pStyle w:val="SingleTxtG"/>
        <w:ind w:left="2268" w:hanging="1134"/>
      </w:pPr>
      <w:r w:rsidRPr="00C413C3">
        <w:t>3.</w:t>
      </w:r>
      <w:r w:rsidRPr="00C413C3">
        <w:tab/>
        <w:t>Résultats des essais</w:t>
      </w:r>
    </w:p>
    <w:p w14:paraId="106823F6" w14:textId="77777777" w:rsidR="00C065F4" w:rsidRPr="005E24D6" w:rsidRDefault="00C065F4" w:rsidP="00C065F4">
      <w:pPr>
        <w:pStyle w:val="SingleTxtG"/>
        <w:ind w:left="2268" w:hanging="1134"/>
      </w:pPr>
      <w:r w:rsidRPr="00C413C3">
        <w:t>3.1</w:t>
      </w:r>
      <w:r w:rsidRPr="00C413C3">
        <w:tab/>
        <w:t xml:space="preserve">Classe de pneumatiques, marques et dimensions des roues de l’équipement </w:t>
      </w:r>
      <w:r w:rsidRPr="005E24D6">
        <w:t>standard</w:t>
      </w:r>
    </w:p>
    <w:p w14:paraId="06384E4A" w14:textId="1A98189C" w:rsidR="00C065F4" w:rsidRPr="005E24D6" w:rsidRDefault="00C065F4" w:rsidP="00C065F4">
      <w:pPr>
        <w:pStyle w:val="SingleTxtG"/>
        <w:ind w:left="2268" w:hanging="1134"/>
      </w:pPr>
      <w:r w:rsidRPr="005E24D6">
        <w:t>3.2</w:t>
      </w:r>
      <w:r w:rsidRPr="005E24D6">
        <w:tab/>
        <w:t xml:space="preserve">Description succincte du système de surveillance de la pression des pneumatiques (TPMS)/système de regonflage des pneumatiques (TPRS)/système central de gonflage des pneumatiques (CTIS), y compris les mesures mises en œuvre pour éviter l’activation de la fonction de </w:t>
      </w:r>
      <w:r w:rsidRPr="005E24D6">
        <w:lastRenderedPageBreak/>
        <w:t>réinitialisation, conformément au paragraphe 5.16 du présent Règlement, le cas échéant</w:t>
      </w:r>
    </w:p>
    <w:p w14:paraId="39203005" w14:textId="77777777" w:rsidR="00C065F4" w:rsidRPr="005E24D6" w:rsidRDefault="00C065F4" w:rsidP="00C065F4">
      <w:pPr>
        <w:pStyle w:val="SingleTxtG"/>
        <w:ind w:left="2268" w:hanging="1134"/>
      </w:pPr>
      <w:r w:rsidRPr="005E24D6">
        <w:t>3.3</w:t>
      </w:r>
      <w:r w:rsidRPr="005E24D6">
        <w:tab/>
        <w:t>Résultat des essais</w:t>
      </w:r>
    </w:p>
    <w:p w14:paraId="22DF0011" w14:textId="5D204EE4" w:rsidR="00C065F4" w:rsidRPr="005E24D6" w:rsidRDefault="00C065F4" w:rsidP="00C065F4">
      <w:pPr>
        <w:pStyle w:val="SingleTxtG"/>
        <w:ind w:left="2268" w:hanging="1134"/>
      </w:pPr>
      <w:r w:rsidRPr="005E24D6">
        <w:t>3.4</w:t>
      </w:r>
      <w:r w:rsidRPr="005E24D6">
        <w:tab/>
        <w:t>Conformément à l’annexe 3 (TPMS) du présent Règlement, selon le cas :</w:t>
      </w:r>
    </w:p>
    <w:tbl>
      <w:tblPr>
        <w:tblW w:w="6236" w:type="dxa"/>
        <w:tblInd w:w="2268" w:type="dxa"/>
        <w:tblLayout w:type="fixed"/>
        <w:tblCellMar>
          <w:left w:w="0" w:type="dxa"/>
          <w:right w:w="0" w:type="dxa"/>
        </w:tblCellMar>
        <w:tblLook w:val="04A0" w:firstRow="1" w:lastRow="0" w:firstColumn="1" w:lastColumn="0" w:noHBand="0" w:noVBand="1"/>
      </w:tblPr>
      <w:tblGrid>
        <w:gridCol w:w="1889"/>
        <w:gridCol w:w="4347"/>
      </w:tblGrid>
      <w:tr w:rsidR="00C065F4" w:rsidRPr="005E24D6" w14:paraId="736391ED" w14:textId="77777777" w:rsidTr="00C065F4">
        <w:trPr>
          <w:tblHeader/>
        </w:trPr>
        <w:tc>
          <w:tcPr>
            <w:tcW w:w="1889" w:type="dxa"/>
            <w:tcBorders>
              <w:top w:val="single" w:sz="4" w:space="0" w:color="auto"/>
              <w:bottom w:val="single" w:sz="12" w:space="0" w:color="auto"/>
            </w:tcBorders>
            <w:shd w:val="clear" w:color="auto" w:fill="auto"/>
            <w:vAlign w:val="bottom"/>
          </w:tcPr>
          <w:p w14:paraId="60125441" w14:textId="77777777" w:rsidR="00C065F4" w:rsidRPr="005E24D6" w:rsidRDefault="00C065F4" w:rsidP="00C065F4">
            <w:pPr>
              <w:suppressAutoHyphens w:val="0"/>
              <w:spacing w:before="80" w:after="80" w:line="200" w:lineRule="exact"/>
              <w:rPr>
                <w:rFonts w:eastAsia="Tahoma"/>
                <w:i/>
                <w:sz w:val="16"/>
              </w:rPr>
            </w:pPr>
            <w:r w:rsidRPr="005E24D6">
              <w:rPr>
                <w:i/>
                <w:sz w:val="16"/>
              </w:rPr>
              <w:t>Essai</w:t>
            </w:r>
          </w:p>
        </w:tc>
        <w:tc>
          <w:tcPr>
            <w:tcW w:w="4347" w:type="dxa"/>
            <w:tcBorders>
              <w:top w:val="single" w:sz="4" w:space="0" w:color="auto"/>
              <w:bottom w:val="single" w:sz="12" w:space="0" w:color="auto"/>
            </w:tcBorders>
            <w:shd w:val="clear" w:color="auto" w:fill="auto"/>
            <w:vAlign w:val="bottom"/>
          </w:tcPr>
          <w:p w14:paraId="3A3737C7" w14:textId="77777777" w:rsidR="00C065F4" w:rsidRPr="005E24D6" w:rsidRDefault="00C065F4" w:rsidP="00C065F4">
            <w:pPr>
              <w:suppressAutoHyphens w:val="0"/>
              <w:spacing w:before="80" w:after="80" w:line="200" w:lineRule="exact"/>
              <w:jc w:val="center"/>
              <w:rPr>
                <w:rFonts w:eastAsia="Tahoma"/>
                <w:i/>
                <w:sz w:val="16"/>
              </w:rPr>
            </w:pPr>
            <w:r w:rsidRPr="005E24D6">
              <w:rPr>
                <w:i/>
                <w:sz w:val="16"/>
              </w:rPr>
              <w:t>Temps mesuré jusqu’à l’avertissement (min, s)</w:t>
            </w:r>
          </w:p>
        </w:tc>
      </w:tr>
      <w:tr w:rsidR="00C065F4" w:rsidRPr="005E24D6" w14:paraId="255E45C1" w14:textId="77777777" w:rsidTr="00C065F4">
        <w:tc>
          <w:tcPr>
            <w:tcW w:w="1889" w:type="dxa"/>
            <w:tcBorders>
              <w:top w:val="single" w:sz="12" w:space="0" w:color="auto"/>
            </w:tcBorders>
            <w:shd w:val="clear" w:color="auto" w:fill="auto"/>
          </w:tcPr>
          <w:p w14:paraId="4DE2199F" w14:textId="77777777" w:rsidR="00C065F4" w:rsidRPr="005E24D6" w:rsidRDefault="00C065F4" w:rsidP="00C065F4">
            <w:pPr>
              <w:suppressAutoHyphens w:val="0"/>
              <w:spacing w:before="40" w:after="40" w:line="220" w:lineRule="exact"/>
              <w:rPr>
                <w:rFonts w:eastAsia="Tahoma"/>
                <w:sz w:val="18"/>
                <w:szCs w:val="18"/>
              </w:rPr>
            </w:pPr>
            <w:r w:rsidRPr="005E24D6">
              <w:rPr>
                <w:sz w:val="18"/>
                <w:szCs w:val="18"/>
              </w:rPr>
              <w:t>Essai de crevaison</w:t>
            </w:r>
          </w:p>
        </w:tc>
        <w:tc>
          <w:tcPr>
            <w:tcW w:w="4347" w:type="dxa"/>
            <w:tcBorders>
              <w:top w:val="single" w:sz="12" w:space="0" w:color="auto"/>
            </w:tcBorders>
            <w:shd w:val="clear" w:color="auto" w:fill="auto"/>
            <w:vAlign w:val="bottom"/>
          </w:tcPr>
          <w:p w14:paraId="75FDD195" w14:textId="77777777" w:rsidR="00C065F4" w:rsidRPr="005E24D6" w:rsidRDefault="00C065F4" w:rsidP="00C065F4">
            <w:pPr>
              <w:suppressAutoHyphens w:val="0"/>
              <w:spacing w:before="40" w:after="40" w:line="220" w:lineRule="exact"/>
              <w:jc w:val="right"/>
              <w:rPr>
                <w:rFonts w:eastAsia="Tahoma"/>
                <w:sz w:val="18"/>
                <w:szCs w:val="18"/>
              </w:rPr>
            </w:pPr>
          </w:p>
        </w:tc>
      </w:tr>
      <w:tr w:rsidR="00C065F4" w:rsidRPr="005E24D6" w14:paraId="28413A02" w14:textId="77777777" w:rsidTr="00C065F4">
        <w:tc>
          <w:tcPr>
            <w:tcW w:w="1889" w:type="dxa"/>
            <w:shd w:val="clear" w:color="auto" w:fill="auto"/>
          </w:tcPr>
          <w:p w14:paraId="2CA6C412" w14:textId="77777777" w:rsidR="00C065F4" w:rsidRPr="005E24D6" w:rsidRDefault="00C065F4" w:rsidP="00C065F4">
            <w:pPr>
              <w:suppressAutoHyphens w:val="0"/>
              <w:spacing w:before="40" w:after="40" w:line="220" w:lineRule="exact"/>
              <w:rPr>
                <w:sz w:val="18"/>
                <w:szCs w:val="18"/>
              </w:rPr>
            </w:pPr>
            <w:r w:rsidRPr="005E24D6">
              <w:rPr>
                <w:sz w:val="18"/>
                <w:szCs w:val="18"/>
              </w:rPr>
              <w:t>Essai de défaut d’étanchéité</w:t>
            </w:r>
          </w:p>
        </w:tc>
        <w:tc>
          <w:tcPr>
            <w:tcW w:w="4347" w:type="dxa"/>
            <w:shd w:val="clear" w:color="auto" w:fill="auto"/>
            <w:vAlign w:val="bottom"/>
          </w:tcPr>
          <w:p w14:paraId="14BCC0E8" w14:textId="77777777" w:rsidR="00C065F4" w:rsidRPr="005E24D6" w:rsidRDefault="00C065F4" w:rsidP="00C065F4">
            <w:pPr>
              <w:suppressAutoHyphens w:val="0"/>
              <w:spacing w:before="40" w:after="40" w:line="220" w:lineRule="exact"/>
              <w:jc w:val="right"/>
              <w:rPr>
                <w:rFonts w:eastAsia="Tahoma"/>
                <w:sz w:val="18"/>
                <w:szCs w:val="18"/>
              </w:rPr>
            </w:pPr>
          </w:p>
        </w:tc>
      </w:tr>
      <w:tr w:rsidR="00C065F4" w:rsidRPr="005E24D6" w14:paraId="02DA487A" w14:textId="77777777" w:rsidTr="00C065F4">
        <w:tc>
          <w:tcPr>
            <w:tcW w:w="1889" w:type="dxa"/>
            <w:tcBorders>
              <w:bottom w:val="single" w:sz="12" w:space="0" w:color="auto"/>
            </w:tcBorders>
            <w:shd w:val="clear" w:color="auto" w:fill="auto"/>
          </w:tcPr>
          <w:p w14:paraId="695B1B44" w14:textId="77777777" w:rsidR="00C065F4" w:rsidRPr="005E24D6" w:rsidRDefault="00C065F4" w:rsidP="00C065F4">
            <w:pPr>
              <w:suppressAutoHyphens w:val="0"/>
              <w:spacing w:before="40" w:after="40" w:line="220" w:lineRule="exact"/>
              <w:rPr>
                <w:sz w:val="18"/>
                <w:szCs w:val="18"/>
              </w:rPr>
            </w:pPr>
            <w:r w:rsidRPr="005E24D6">
              <w:rPr>
                <w:sz w:val="18"/>
                <w:szCs w:val="18"/>
              </w:rPr>
              <w:t>Essai de défaut de fonctionnement</w:t>
            </w:r>
          </w:p>
        </w:tc>
        <w:tc>
          <w:tcPr>
            <w:tcW w:w="4347" w:type="dxa"/>
            <w:tcBorders>
              <w:bottom w:val="single" w:sz="12" w:space="0" w:color="auto"/>
            </w:tcBorders>
            <w:shd w:val="clear" w:color="auto" w:fill="auto"/>
            <w:vAlign w:val="bottom"/>
          </w:tcPr>
          <w:p w14:paraId="6731F6E9" w14:textId="77777777" w:rsidR="00C065F4" w:rsidRPr="005E24D6" w:rsidRDefault="00C065F4" w:rsidP="00C065F4">
            <w:pPr>
              <w:suppressAutoHyphens w:val="0"/>
              <w:spacing w:before="40" w:after="40" w:line="220" w:lineRule="exact"/>
              <w:jc w:val="right"/>
              <w:rPr>
                <w:rFonts w:eastAsia="Tahoma"/>
                <w:sz w:val="18"/>
                <w:szCs w:val="18"/>
              </w:rPr>
            </w:pPr>
          </w:p>
        </w:tc>
      </w:tr>
    </w:tbl>
    <w:p w14:paraId="0B1B1F27" w14:textId="21D70C00" w:rsidR="00C065F4" w:rsidRPr="005E24D6" w:rsidRDefault="00C065F4" w:rsidP="00C065F4">
      <w:pPr>
        <w:pStyle w:val="SingleTxtG"/>
        <w:spacing w:before="120"/>
        <w:ind w:left="2268" w:hanging="1134"/>
      </w:pPr>
      <w:r w:rsidRPr="005E24D6">
        <w:t>3.5</w:t>
      </w:r>
      <w:r w:rsidRPr="005E24D6">
        <w:tab/>
        <w:t>Conformément à l’annexe 4 (TPRS/CTIS) du présent Règlement, selon le cas :</w:t>
      </w:r>
    </w:p>
    <w:tbl>
      <w:tblPr>
        <w:tblW w:w="6236" w:type="dxa"/>
        <w:tblInd w:w="2268" w:type="dxa"/>
        <w:tblLayout w:type="fixed"/>
        <w:tblCellMar>
          <w:left w:w="0" w:type="dxa"/>
          <w:right w:w="0" w:type="dxa"/>
        </w:tblCellMar>
        <w:tblLook w:val="04A0" w:firstRow="1" w:lastRow="0" w:firstColumn="1" w:lastColumn="0" w:noHBand="0" w:noVBand="1"/>
      </w:tblPr>
      <w:tblGrid>
        <w:gridCol w:w="1915"/>
        <w:gridCol w:w="4321"/>
      </w:tblGrid>
      <w:tr w:rsidR="00C065F4" w:rsidRPr="005E24D6" w14:paraId="09C6FE57" w14:textId="77777777" w:rsidTr="00C065F4">
        <w:trPr>
          <w:tblHeader/>
        </w:trPr>
        <w:tc>
          <w:tcPr>
            <w:tcW w:w="1915" w:type="dxa"/>
            <w:tcBorders>
              <w:top w:val="single" w:sz="4" w:space="0" w:color="auto"/>
              <w:bottom w:val="single" w:sz="12" w:space="0" w:color="auto"/>
            </w:tcBorders>
            <w:shd w:val="clear" w:color="auto" w:fill="auto"/>
            <w:vAlign w:val="bottom"/>
          </w:tcPr>
          <w:p w14:paraId="2A86E2CE" w14:textId="77777777" w:rsidR="00C065F4" w:rsidRPr="005E24D6" w:rsidRDefault="00C065F4" w:rsidP="00C065F4">
            <w:pPr>
              <w:suppressAutoHyphens w:val="0"/>
              <w:spacing w:before="80" w:after="80" w:line="200" w:lineRule="exact"/>
              <w:rPr>
                <w:rFonts w:eastAsia="Tahoma"/>
                <w:i/>
                <w:sz w:val="16"/>
              </w:rPr>
            </w:pPr>
            <w:r w:rsidRPr="005E24D6">
              <w:rPr>
                <w:i/>
                <w:sz w:val="16"/>
              </w:rPr>
              <w:t>Essai</w:t>
            </w:r>
          </w:p>
        </w:tc>
        <w:tc>
          <w:tcPr>
            <w:tcW w:w="4321" w:type="dxa"/>
            <w:tcBorders>
              <w:top w:val="single" w:sz="4" w:space="0" w:color="auto"/>
              <w:bottom w:val="single" w:sz="12" w:space="0" w:color="auto"/>
            </w:tcBorders>
            <w:shd w:val="clear" w:color="auto" w:fill="auto"/>
            <w:vAlign w:val="bottom"/>
          </w:tcPr>
          <w:p w14:paraId="13B7B5D2" w14:textId="77777777" w:rsidR="00C065F4" w:rsidRPr="005E24D6" w:rsidRDefault="00C065F4" w:rsidP="00C065F4">
            <w:pPr>
              <w:suppressAutoHyphens w:val="0"/>
              <w:spacing w:before="80" w:after="80" w:line="200" w:lineRule="exact"/>
              <w:jc w:val="center"/>
              <w:rPr>
                <w:rFonts w:eastAsia="Tahoma"/>
                <w:i/>
                <w:sz w:val="16"/>
              </w:rPr>
            </w:pPr>
            <w:r w:rsidRPr="005E24D6">
              <w:rPr>
                <w:i/>
                <w:sz w:val="16"/>
              </w:rPr>
              <w:t>Temps mesuré jusqu’à l’avertissement (min, s)</w:t>
            </w:r>
          </w:p>
        </w:tc>
      </w:tr>
      <w:tr w:rsidR="00C065F4" w:rsidRPr="005E24D6" w14:paraId="0AFC72FB" w14:textId="77777777" w:rsidTr="00C065F4">
        <w:tc>
          <w:tcPr>
            <w:tcW w:w="1915" w:type="dxa"/>
            <w:tcBorders>
              <w:top w:val="single" w:sz="12" w:space="0" w:color="auto"/>
            </w:tcBorders>
            <w:shd w:val="clear" w:color="auto" w:fill="auto"/>
          </w:tcPr>
          <w:p w14:paraId="3217FE8D" w14:textId="77777777" w:rsidR="00C065F4" w:rsidRPr="005E24D6" w:rsidRDefault="00C065F4" w:rsidP="00C065F4">
            <w:pPr>
              <w:suppressAutoHyphens w:val="0"/>
              <w:spacing w:before="40" w:after="40" w:line="220" w:lineRule="exact"/>
              <w:rPr>
                <w:rFonts w:eastAsia="Tahoma"/>
                <w:sz w:val="18"/>
                <w:szCs w:val="18"/>
              </w:rPr>
            </w:pPr>
            <w:r w:rsidRPr="005E24D6">
              <w:rPr>
                <w:sz w:val="18"/>
                <w:szCs w:val="18"/>
              </w:rPr>
              <w:t>Essai de regonflage</w:t>
            </w:r>
          </w:p>
        </w:tc>
        <w:tc>
          <w:tcPr>
            <w:tcW w:w="4321" w:type="dxa"/>
            <w:tcBorders>
              <w:top w:val="single" w:sz="12" w:space="0" w:color="auto"/>
            </w:tcBorders>
            <w:shd w:val="clear" w:color="auto" w:fill="auto"/>
            <w:vAlign w:val="bottom"/>
          </w:tcPr>
          <w:p w14:paraId="5D8D2620" w14:textId="77777777" w:rsidR="00C065F4" w:rsidRPr="005E24D6" w:rsidRDefault="00C065F4" w:rsidP="00C065F4">
            <w:pPr>
              <w:suppressAutoHyphens w:val="0"/>
              <w:spacing w:before="40" w:after="40" w:line="220" w:lineRule="exact"/>
              <w:jc w:val="right"/>
              <w:rPr>
                <w:rFonts w:eastAsia="Tahoma"/>
                <w:sz w:val="18"/>
                <w:szCs w:val="18"/>
              </w:rPr>
            </w:pPr>
          </w:p>
        </w:tc>
      </w:tr>
      <w:tr w:rsidR="00C065F4" w:rsidRPr="005E24D6" w14:paraId="6818A08D" w14:textId="77777777" w:rsidTr="00C065F4">
        <w:tc>
          <w:tcPr>
            <w:tcW w:w="1915" w:type="dxa"/>
            <w:tcBorders>
              <w:bottom w:val="single" w:sz="12" w:space="0" w:color="auto"/>
            </w:tcBorders>
            <w:shd w:val="clear" w:color="auto" w:fill="auto"/>
          </w:tcPr>
          <w:p w14:paraId="11D3BEC9" w14:textId="77777777" w:rsidR="00C065F4" w:rsidRPr="005E24D6" w:rsidRDefault="00C065F4" w:rsidP="00C065F4">
            <w:pPr>
              <w:suppressAutoHyphens w:val="0"/>
              <w:spacing w:before="40" w:after="40" w:line="220" w:lineRule="exact"/>
              <w:rPr>
                <w:sz w:val="18"/>
                <w:szCs w:val="18"/>
              </w:rPr>
            </w:pPr>
            <w:r w:rsidRPr="005E24D6">
              <w:rPr>
                <w:sz w:val="18"/>
                <w:szCs w:val="18"/>
              </w:rPr>
              <w:t>Essai de défaut de fonctionnement</w:t>
            </w:r>
          </w:p>
        </w:tc>
        <w:tc>
          <w:tcPr>
            <w:tcW w:w="4321" w:type="dxa"/>
            <w:tcBorders>
              <w:bottom w:val="single" w:sz="12" w:space="0" w:color="auto"/>
            </w:tcBorders>
            <w:shd w:val="clear" w:color="auto" w:fill="auto"/>
            <w:vAlign w:val="bottom"/>
          </w:tcPr>
          <w:p w14:paraId="034ACFF5" w14:textId="77777777" w:rsidR="00C065F4" w:rsidRPr="005E24D6" w:rsidRDefault="00C065F4" w:rsidP="00C065F4">
            <w:pPr>
              <w:suppressAutoHyphens w:val="0"/>
              <w:spacing w:before="40" w:after="40" w:line="220" w:lineRule="exact"/>
              <w:jc w:val="right"/>
              <w:rPr>
                <w:rFonts w:eastAsia="Tahoma"/>
                <w:sz w:val="18"/>
                <w:szCs w:val="18"/>
              </w:rPr>
            </w:pPr>
          </w:p>
        </w:tc>
      </w:tr>
    </w:tbl>
    <w:p w14:paraId="13D4240F" w14:textId="77777777" w:rsidR="00C065F4" w:rsidRPr="005E24D6" w:rsidRDefault="00C065F4" w:rsidP="00C065F4">
      <w:pPr>
        <w:pStyle w:val="SingleTxtG"/>
        <w:spacing w:before="120"/>
        <w:ind w:left="2268" w:hanging="1134"/>
      </w:pPr>
      <w:r w:rsidRPr="005E24D6">
        <w:t>4.</w:t>
      </w:r>
      <w:r w:rsidRPr="005E24D6">
        <w:tab/>
        <w:t>Limites d’installation</w:t>
      </w:r>
    </w:p>
    <w:p w14:paraId="4C780DF8" w14:textId="77777777" w:rsidR="00C065F4" w:rsidRPr="005E24D6" w:rsidRDefault="00C065F4" w:rsidP="00C065F4">
      <w:pPr>
        <w:pStyle w:val="SingleTxtG"/>
        <w:ind w:left="2268" w:hanging="1134"/>
      </w:pPr>
      <w:r w:rsidRPr="005E24D6">
        <w:t>5.</w:t>
      </w:r>
      <w:r w:rsidRPr="005E24D6">
        <w:tab/>
        <w:t>Date des essais</w:t>
      </w:r>
    </w:p>
    <w:p w14:paraId="34BCB79D" w14:textId="1C3D5E7E" w:rsidR="00C065F4" w:rsidRPr="00C413C3" w:rsidRDefault="00C065F4" w:rsidP="00C065F4">
      <w:pPr>
        <w:pStyle w:val="SingleTxtG"/>
        <w:ind w:left="2268" w:hanging="1134"/>
      </w:pPr>
      <w:r w:rsidRPr="00C413C3">
        <w:t>6.</w:t>
      </w:r>
      <w:r w:rsidRPr="00C413C3">
        <w:tab/>
        <w:t>Ces essais ont été effectués et leurs résultats ont été consignés conformément aux dispositions de l’</w:t>
      </w:r>
      <w:r>
        <w:t xml:space="preserve">annexe </w:t>
      </w:r>
      <w:r w:rsidRPr="00C413C3">
        <w:t>3 ou 4 du Règlement ONU n</w:t>
      </w:r>
      <w:r w:rsidRPr="00C413C3">
        <w:rPr>
          <w:vertAlign w:val="superscript"/>
        </w:rPr>
        <w:t>o</w:t>
      </w:r>
      <w:r w:rsidRPr="00C413C3">
        <w:t xml:space="preserve"> 141 tel que modifié par la </w:t>
      </w:r>
      <w:r>
        <w:t xml:space="preserve">série </w:t>
      </w:r>
      <w:r w:rsidRPr="00C413C3">
        <w:t>01 d’amendements.</w:t>
      </w:r>
    </w:p>
    <w:p w14:paraId="46DCD7AE" w14:textId="77777777" w:rsidR="00C065F4" w:rsidRPr="00C413C3" w:rsidRDefault="00C065F4" w:rsidP="00C065F4">
      <w:pPr>
        <w:pStyle w:val="SingleTxtG"/>
        <w:ind w:left="2268" w:hanging="1134"/>
      </w:pPr>
      <w:r w:rsidRPr="00C413C3">
        <w:t>7.</w:t>
      </w:r>
      <w:r w:rsidRPr="00C413C3">
        <w:tab/>
        <w:t>Service technique chargé des essais</w:t>
      </w:r>
    </w:p>
    <w:p w14:paraId="00B61555" w14:textId="77777777" w:rsidR="00846228" w:rsidRPr="00C413C3" w:rsidRDefault="00846228" w:rsidP="00846228">
      <w:pPr>
        <w:pStyle w:val="SingleTxtG"/>
        <w:tabs>
          <w:tab w:val="right" w:leader="dot" w:pos="5103"/>
          <w:tab w:val="left" w:pos="5387"/>
          <w:tab w:val="right" w:leader="dot" w:pos="7938"/>
        </w:tabs>
        <w:ind w:left="2268"/>
      </w:pPr>
      <w:r w:rsidRPr="00C413C3">
        <w:t>Signature</w:t>
      </w:r>
      <w:r>
        <w:t> :</w:t>
      </w:r>
      <w:r>
        <w:tab/>
      </w:r>
      <w:r>
        <w:tab/>
      </w:r>
      <w:r w:rsidRPr="00C413C3">
        <w:t>Date</w:t>
      </w:r>
      <w:r>
        <w:t> :</w:t>
      </w:r>
      <w:r>
        <w:tab/>
      </w:r>
    </w:p>
    <w:p w14:paraId="544A65DF" w14:textId="77777777" w:rsidR="00C065F4" w:rsidRPr="00C413C3" w:rsidRDefault="00C065F4" w:rsidP="00846228">
      <w:pPr>
        <w:pStyle w:val="SingleTxtG"/>
      </w:pPr>
      <w:r w:rsidRPr="00C413C3">
        <w:br w:type="page"/>
      </w:r>
    </w:p>
    <w:p w14:paraId="4532FB9F" w14:textId="32589C24" w:rsidR="00C065F4" w:rsidRPr="00C413C3" w:rsidRDefault="00C065F4" w:rsidP="00C065F4">
      <w:pPr>
        <w:pStyle w:val="HChG"/>
        <w:rPr>
          <w:sz w:val="36"/>
          <w:szCs w:val="36"/>
        </w:rPr>
      </w:pPr>
      <w:r>
        <w:lastRenderedPageBreak/>
        <w:t xml:space="preserve">Annexe </w:t>
      </w:r>
      <w:r w:rsidRPr="00C413C3">
        <w:t xml:space="preserve">7 − </w:t>
      </w:r>
      <w:r>
        <w:t xml:space="preserve">Appendice </w:t>
      </w:r>
      <w:r w:rsidRPr="00C413C3">
        <w:t>4</w:t>
      </w:r>
    </w:p>
    <w:p w14:paraId="4FEBD3E9" w14:textId="06E4C433" w:rsidR="00C065F4" w:rsidRPr="00C413C3" w:rsidRDefault="00C065F4" w:rsidP="00C065F4">
      <w:pPr>
        <w:pStyle w:val="HChG"/>
        <w:rPr>
          <w:szCs w:val="28"/>
        </w:rPr>
      </w:pPr>
      <w:r w:rsidRPr="00C413C3">
        <w:rPr>
          <w:rFonts w:ascii="Times New Roman Gras" w:hAnsi="Times New Roman Gras"/>
          <w:spacing w:val="4"/>
        </w:rPr>
        <w:tab/>
      </w:r>
      <w:r w:rsidRPr="00C413C3">
        <w:rPr>
          <w:rFonts w:ascii="Times New Roman Gras" w:hAnsi="Times New Roman Gras"/>
          <w:spacing w:val="4"/>
        </w:rPr>
        <w:tab/>
        <w:t>Procès-verbal d’essai concernant le module de gestion</w:t>
      </w:r>
      <w:r w:rsidRPr="00C413C3">
        <w:t xml:space="preserve"> </w:t>
      </w:r>
      <w:r w:rsidRPr="00C413C3">
        <w:rPr>
          <w:rFonts w:ascii="Times New Roman Gras" w:hAnsi="Times New Roman Gras"/>
          <w:spacing w:val="-2"/>
        </w:rPr>
        <w:t>électronique passerelle conforme à la norme</w:t>
      </w:r>
      <w:r w:rsidR="00846228">
        <w:rPr>
          <w:rFonts w:ascii="Times New Roman Gras" w:hAnsi="Times New Roman Gras"/>
          <w:spacing w:val="-2"/>
        </w:rPr>
        <w:t xml:space="preserve"> </w:t>
      </w:r>
      <w:r w:rsidRPr="00C413C3">
        <w:rPr>
          <w:rFonts w:ascii="Times New Roman Gras" w:hAnsi="Times New Roman Gras"/>
          <w:spacing w:val="-2"/>
        </w:rPr>
        <w:t>ISO 11992-2</w:t>
      </w:r>
      <w:r w:rsidRPr="00C413C3">
        <w:t xml:space="preserve"> pour la remorque de référence</w:t>
      </w:r>
    </w:p>
    <w:p w14:paraId="252D609F" w14:textId="77777777" w:rsidR="00C065F4" w:rsidRPr="00C413C3" w:rsidRDefault="00C065F4" w:rsidP="00C065F4">
      <w:pPr>
        <w:pStyle w:val="SingleTxtG"/>
        <w:ind w:left="2268" w:hanging="1134"/>
      </w:pPr>
      <w:r w:rsidRPr="00C413C3">
        <w:t>1.</w:t>
      </w:r>
      <w:r w:rsidRPr="00C413C3">
        <w:tab/>
        <w:t>Identification</w:t>
      </w:r>
    </w:p>
    <w:p w14:paraId="58E07878" w14:textId="77777777" w:rsidR="00C065F4" w:rsidRPr="00C413C3" w:rsidRDefault="00C065F4" w:rsidP="00C065F4">
      <w:pPr>
        <w:pStyle w:val="SingleTxtG"/>
        <w:ind w:left="2268" w:hanging="1134"/>
      </w:pPr>
      <w:r w:rsidRPr="00C413C3">
        <w:t>1.1</w:t>
      </w:r>
      <w:r w:rsidRPr="00C413C3">
        <w:tab/>
        <w:t>Fabricant du module passerelle conforme à la norme ISO 11992-2 (nom et adresse)</w:t>
      </w:r>
    </w:p>
    <w:p w14:paraId="367A8317" w14:textId="77777777" w:rsidR="00C065F4" w:rsidRPr="00C413C3" w:rsidRDefault="00C065F4" w:rsidP="00C065F4">
      <w:pPr>
        <w:pStyle w:val="SingleTxtG"/>
        <w:ind w:left="2268" w:hanging="1134"/>
      </w:pPr>
      <w:r w:rsidRPr="00C413C3">
        <w:t>1.2</w:t>
      </w:r>
      <w:r w:rsidRPr="00C413C3">
        <w:tab/>
        <w:t>Nom du système et modèle</w:t>
      </w:r>
    </w:p>
    <w:p w14:paraId="1503C7A0" w14:textId="3421AC49" w:rsidR="00C065F4" w:rsidRPr="00C413C3" w:rsidRDefault="00C065F4" w:rsidP="00C065F4">
      <w:pPr>
        <w:pStyle w:val="SingleTxtG"/>
        <w:ind w:left="2268" w:hanging="1134"/>
      </w:pPr>
      <w:r w:rsidRPr="00C413C3">
        <w:t>2.</w:t>
      </w:r>
      <w:r w:rsidRPr="00C413C3">
        <w:tab/>
        <w:t>Systèmes et installations homologués</w:t>
      </w:r>
      <w:r>
        <w:t> :</w:t>
      </w:r>
    </w:p>
    <w:p w14:paraId="4D0DF66D" w14:textId="77777777" w:rsidR="00C065F4" w:rsidRPr="00C413C3" w:rsidRDefault="00C065F4" w:rsidP="00C065F4">
      <w:pPr>
        <w:pStyle w:val="SingleTxtG"/>
        <w:ind w:left="2268" w:hanging="1134"/>
      </w:pPr>
      <w:r w:rsidRPr="00C413C3">
        <w:t>2.1</w:t>
      </w:r>
      <w:r w:rsidRPr="00C413C3">
        <w:tab/>
        <w:t>Domaine d’application (types de remorque et nombre d’essieux)</w:t>
      </w:r>
    </w:p>
    <w:p w14:paraId="2BB3A15F" w14:textId="5060DDBA" w:rsidR="00C065F4" w:rsidRPr="00C413C3" w:rsidRDefault="00C065F4" w:rsidP="00C065F4">
      <w:pPr>
        <w:pStyle w:val="SingleTxtG"/>
        <w:ind w:left="2268" w:hanging="1134"/>
      </w:pPr>
      <w:r w:rsidRPr="00C413C3">
        <w:t>2.2</w:t>
      </w:r>
      <w:r w:rsidRPr="00C413C3">
        <w:tab/>
        <w:t>Identification du système de freinage électronique pour remorques (TEBS) destiné à assurer la fonction de passerelle au sens de la norme</w:t>
      </w:r>
      <w:r w:rsidR="00846228">
        <w:t xml:space="preserve"> </w:t>
      </w:r>
      <w:r w:rsidRPr="00C413C3">
        <w:t>ISO 11992</w:t>
      </w:r>
    </w:p>
    <w:p w14:paraId="254270F6" w14:textId="77777777" w:rsidR="00C065F4" w:rsidRPr="00C413C3" w:rsidRDefault="00C065F4" w:rsidP="00C065F4">
      <w:pPr>
        <w:pStyle w:val="SingleTxtG"/>
        <w:ind w:left="2268" w:hanging="1134"/>
      </w:pPr>
      <w:r w:rsidRPr="00C413C3">
        <w:t>3.</w:t>
      </w:r>
      <w:r w:rsidRPr="00C413C3">
        <w:tab/>
        <w:t>Résultats des essais</w:t>
      </w:r>
    </w:p>
    <w:p w14:paraId="00F450BB" w14:textId="77777777" w:rsidR="00C065F4" w:rsidRPr="00C413C3" w:rsidRDefault="00C065F4" w:rsidP="00C065F4">
      <w:pPr>
        <w:pStyle w:val="SingleTxtG"/>
        <w:ind w:left="2268" w:hanging="1134"/>
      </w:pPr>
      <w:r w:rsidRPr="00C413C3">
        <w:t>3.1</w:t>
      </w:r>
      <w:r w:rsidRPr="00C413C3">
        <w:tab/>
        <w:t>Description succincte du module passerelle</w:t>
      </w:r>
    </w:p>
    <w:p w14:paraId="37C9D4B9" w14:textId="77777777" w:rsidR="00C065F4" w:rsidRPr="00C413C3" w:rsidRDefault="00C065F4" w:rsidP="00C065F4">
      <w:pPr>
        <w:pStyle w:val="SingleTxtG"/>
        <w:ind w:left="2268" w:hanging="1134"/>
      </w:pPr>
      <w:r w:rsidRPr="00C413C3">
        <w:t>3.2</w:t>
      </w:r>
      <w:r w:rsidRPr="00C413C3">
        <w:tab/>
        <w:t>Résultats des essais</w:t>
      </w:r>
    </w:p>
    <w:p w14:paraId="54F29F4A" w14:textId="17B719A6" w:rsidR="00C065F4" w:rsidRPr="00C413C3" w:rsidRDefault="00C065F4" w:rsidP="00C065F4">
      <w:pPr>
        <w:pStyle w:val="SingleTxtG"/>
        <w:ind w:left="2268" w:hanging="1134"/>
      </w:pPr>
      <w:r w:rsidRPr="00C413C3">
        <w:t>3.3</w:t>
      </w:r>
      <w:r w:rsidRPr="00C413C3">
        <w:tab/>
        <w:t>Conformément à l’</w:t>
      </w:r>
      <w:r>
        <w:t xml:space="preserve">annexe </w:t>
      </w:r>
      <w:r w:rsidRPr="00C413C3">
        <w:t>6 (fonction de passerelle) du présent Règlement</w:t>
      </w:r>
      <w:r>
        <w:t> :</w:t>
      </w:r>
    </w:p>
    <w:tbl>
      <w:tblPr>
        <w:tblW w:w="6236" w:type="dxa"/>
        <w:tblInd w:w="2268" w:type="dxa"/>
        <w:tblLayout w:type="fixed"/>
        <w:tblCellMar>
          <w:left w:w="0" w:type="dxa"/>
          <w:right w:w="0" w:type="dxa"/>
        </w:tblCellMar>
        <w:tblLook w:val="04A0" w:firstRow="1" w:lastRow="0" w:firstColumn="1" w:lastColumn="0" w:noHBand="0" w:noVBand="1"/>
      </w:tblPr>
      <w:tblGrid>
        <w:gridCol w:w="3529"/>
        <w:gridCol w:w="2707"/>
      </w:tblGrid>
      <w:tr w:rsidR="00C065F4" w:rsidRPr="005E24D6" w14:paraId="66AF4E69" w14:textId="77777777" w:rsidTr="00C065F4">
        <w:trPr>
          <w:tblHeader/>
        </w:trPr>
        <w:tc>
          <w:tcPr>
            <w:tcW w:w="3529" w:type="dxa"/>
            <w:tcBorders>
              <w:top w:val="single" w:sz="4" w:space="0" w:color="auto"/>
              <w:bottom w:val="single" w:sz="12" w:space="0" w:color="auto"/>
            </w:tcBorders>
            <w:shd w:val="clear" w:color="auto" w:fill="auto"/>
            <w:vAlign w:val="bottom"/>
          </w:tcPr>
          <w:p w14:paraId="7AD5B644" w14:textId="77777777" w:rsidR="00C065F4" w:rsidRPr="005E24D6" w:rsidRDefault="00C065F4" w:rsidP="00C065F4">
            <w:pPr>
              <w:suppressAutoHyphens w:val="0"/>
              <w:spacing w:before="80" w:after="80" w:line="200" w:lineRule="exact"/>
              <w:jc w:val="center"/>
              <w:rPr>
                <w:rFonts w:eastAsia="Tahoma"/>
                <w:i/>
                <w:sz w:val="16"/>
              </w:rPr>
            </w:pPr>
            <w:r w:rsidRPr="005E24D6">
              <w:rPr>
                <w:i/>
                <w:sz w:val="16"/>
              </w:rPr>
              <w:t>Essai</w:t>
            </w:r>
          </w:p>
        </w:tc>
        <w:tc>
          <w:tcPr>
            <w:tcW w:w="2707" w:type="dxa"/>
            <w:tcBorders>
              <w:top w:val="single" w:sz="4" w:space="0" w:color="auto"/>
              <w:bottom w:val="single" w:sz="12" w:space="0" w:color="auto"/>
            </w:tcBorders>
            <w:shd w:val="clear" w:color="auto" w:fill="auto"/>
            <w:vAlign w:val="bottom"/>
          </w:tcPr>
          <w:p w14:paraId="73BE4D7B" w14:textId="77777777" w:rsidR="00C065F4" w:rsidRPr="005E24D6" w:rsidRDefault="00C065F4" w:rsidP="00C065F4">
            <w:pPr>
              <w:suppressAutoHyphens w:val="0"/>
              <w:spacing w:before="80" w:after="80" w:line="200" w:lineRule="exact"/>
              <w:jc w:val="center"/>
              <w:rPr>
                <w:rFonts w:eastAsia="Tahoma"/>
                <w:i/>
                <w:sz w:val="16"/>
              </w:rPr>
            </w:pPr>
            <w:r w:rsidRPr="005E24D6">
              <w:rPr>
                <w:i/>
                <w:sz w:val="16"/>
              </w:rPr>
              <w:t>Temps mesuré jusqu’à l’avertissement (min, s)</w:t>
            </w:r>
          </w:p>
        </w:tc>
      </w:tr>
      <w:tr w:rsidR="00C065F4" w:rsidRPr="00C413C3" w14:paraId="31C88023" w14:textId="77777777" w:rsidTr="00C065F4">
        <w:tc>
          <w:tcPr>
            <w:tcW w:w="3529" w:type="dxa"/>
            <w:tcBorders>
              <w:top w:val="single" w:sz="12" w:space="0" w:color="auto"/>
            </w:tcBorders>
            <w:shd w:val="clear" w:color="auto" w:fill="auto"/>
          </w:tcPr>
          <w:p w14:paraId="6E5FED2E" w14:textId="77777777" w:rsidR="00C065F4" w:rsidRPr="00C413C3" w:rsidRDefault="00C065F4" w:rsidP="00C065F4">
            <w:pPr>
              <w:suppressAutoHyphens w:val="0"/>
              <w:spacing w:before="40" w:after="40" w:line="220" w:lineRule="exact"/>
              <w:rPr>
                <w:rFonts w:eastAsia="Tahoma"/>
                <w:sz w:val="18"/>
                <w:szCs w:val="18"/>
              </w:rPr>
            </w:pPr>
            <w:r w:rsidRPr="00C413C3">
              <w:rPr>
                <w:sz w:val="18"/>
                <w:szCs w:val="18"/>
              </w:rPr>
              <w:t>Essai de sous-gonflage</w:t>
            </w:r>
          </w:p>
        </w:tc>
        <w:tc>
          <w:tcPr>
            <w:tcW w:w="2707" w:type="dxa"/>
            <w:tcBorders>
              <w:top w:val="single" w:sz="12" w:space="0" w:color="auto"/>
            </w:tcBorders>
            <w:shd w:val="clear" w:color="auto" w:fill="auto"/>
            <w:vAlign w:val="bottom"/>
          </w:tcPr>
          <w:p w14:paraId="711AF226" w14:textId="77777777" w:rsidR="00C065F4" w:rsidRPr="00C413C3" w:rsidRDefault="00C065F4" w:rsidP="00C065F4">
            <w:pPr>
              <w:suppressAutoHyphens w:val="0"/>
              <w:spacing w:before="40" w:after="40" w:line="220" w:lineRule="exact"/>
              <w:jc w:val="right"/>
              <w:rPr>
                <w:rFonts w:eastAsia="Tahoma"/>
                <w:sz w:val="18"/>
              </w:rPr>
            </w:pPr>
          </w:p>
        </w:tc>
      </w:tr>
      <w:tr w:rsidR="00C065F4" w:rsidRPr="00C413C3" w14:paraId="5A01B640" w14:textId="77777777" w:rsidTr="00C065F4">
        <w:tc>
          <w:tcPr>
            <w:tcW w:w="3529" w:type="dxa"/>
            <w:tcBorders>
              <w:bottom w:val="single" w:sz="12" w:space="0" w:color="auto"/>
            </w:tcBorders>
            <w:shd w:val="clear" w:color="auto" w:fill="auto"/>
          </w:tcPr>
          <w:p w14:paraId="73E87A94" w14:textId="77777777" w:rsidR="00C065F4" w:rsidRPr="00C413C3" w:rsidRDefault="00C065F4" w:rsidP="00C065F4">
            <w:pPr>
              <w:suppressAutoHyphens w:val="0"/>
              <w:spacing w:before="40" w:after="40" w:line="220" w:lineRule="exact"/>
              <w:rPr>
                <w:rFonts w:eastAsia="Tahoma"/>
                <w:sz w:val="18"/>
                <w:szCs w:val="18"/>
              </w:rPr>
            </w:pPr>
            <w:r w:rsidRPr="00C413C3">
              <w:rPr>
                <w:sz w:val="18"/>
                <w:szCs w:val="18"/>
              </w:rPr>
              <w:t>Essai de défaut de fonctionnement</w:t>
            </w:r>
          </w:p>
        </w:tc>
        <w:tc>
          <w:tcPr>
            <w:tcW w:w="2707" w:type="dxa"/>
            <w:tcBorders>
              <w:bottom w:val="single" w:sz="12" w:space="0" w:color="auto"/>
            </w:tcBorders>
            <w:shd w:val="clear" w:color="auto" w:fill="auto"/>
            <w:vAlign w:val="bottom"/>
          </w:tcPr>
          <w:p w14:paraId="38B384FD" w14:textId="77777777" w:rsidR="00C065F4" w:rsidRPr="00C413C3" w:rsidRDefault="00C065F4" w:rsidP="00C065F4">
            <w:pPr>
              <w:suppressAutoHyphens w:val="0"/>
              <w:spacing w:before="40" w:after="40" w:line="220" w:lineRule="exact"/>
              <w:jc w:val="right"/>
              <w:rPr>
                <w:rFonts w:eastAsia="Tahoma"/>
                <w:sz w:val="18"/>
              </w:rPr>
            </w:pPr>
          </w:p>
        </w:tc>
      </w:tr>
    </w:tbl>
    <w:p w14:paraId="0EB99503" w14:textId="77777777" w:rsidR="00C065F4" w:rsidRPr="00C413C3" w:rsidRDefault="00C065F4" w:rsidP="00C065F4">
      <w:pPr>
        <w:pStyle w:val="SingleTxtG"/>
        <w:spacing w:before="120"/>
        <w:ind w:left="2268" w:hanging="1134"/>
      </w:pPr>
      <w:r w:rsidRPr="00C413C3">
        <w:t>4.</w:t>
      </w:r>
      <w:r w:rsidRPr="00C413C3">
        <w:tab/>
        <w:t>Limites d’installation</w:t>
      </w:r>
    </w:p>
    <w:p w14:paraId="00964CD1" w14:textId="415EF7DF" w:rsidR="00C065F4" w:rsidRPr="00C413C3" w:rsidRDefault="00C065F4" w:rsidP="00C065F4">
      <w:pPr>
        <w:pStyle w:val="SingleTxtG"/>
        <w:ind w:left="2268" w:hanging="1134"/>
      </w:pPr>
      <w:r w:rsidRPr="00C413C3">
        <w:t>4.1</w:t>
      </w:r>
      <w:r w:rsidRPr="00C413C3">
        <w:tab/>
        <w:t xml:space="preserve">Autres recommandations/limitations (messages et signaux de sortie requis par le TPMS pour que le véhicule satisfasse aux prescriptions de fonctionnement énoncées aux </w:t>
      </w:r>
      <w:r>
        <w:t xml:space="preserve">paragraphes </w:t>
      </w:r>
      <w:r w:rsidRPr="00C413C3">
        <w:t>5.1.2 à 5.6 du présent Règlement ainsi qu’aux prescriptions d’essai (crevaison, défaut d’étanchéité et défaut de fonctionnement) énoncées dans l’</w:t>
      </w:r>
      <w:r>
        <w:t xml:space="preserve">annexe </w:t>
      </w:r>
      <w:r w:rsidRPr="00C413C3">
        <w:t>3 de ce Règlement en ce qui concerne, par exemple, la vitesse du véhicule)</w:t>
      </w:r>
    </w:p>
    <w:p w14:paraId="210D8E4C" w14:textId="12EAD544" w:rsidR="00C065F4" w:rsidRPr="00C413C3" w:rsidRDefault="00C065F4" w:rsidP="00C065F4">
      <w:pPr>
        <w:pStyle w:val="SingleTxtG"/>
        <w:ind w:left="2268" w:hanging="1134"/>
      </w:pPr>
      <w:r w:rsidRPr="00C413C3">
        <w:t>4.2</w:t>
      </w:r>
      <w:r w:rsidRPr="00C413C3">
        <w:tab/>
        <w:t xml:space="preserve">Autres recommandations/limitations (messages et signaux de sortie requis par le TPRS/CTIS pour que le véhicule satisfasse aux prescriptions de fonctionnement énoncées aux </w:t>
      </w:r>
      <w:r>
        <w:t xml:space="preserve">paragraphes </w:t>
      </w:r>
      <w:r w:rsidRPr="00C413C3">
        <w:t>5.1.2 à 5.6 du présent Règlement ainsi qu’aux prescriptions d’essai (crevaison, défaut d’étanchéité et défaut de fonctionnement) énoncées dans l’</w:t>
      </w:r>
      <w:r>
        <w:t xml:space="preserve">annexe </w:t>
      </w:r>
      <w:r w:rsidRPr="00C413C3">
        <w:t>4 de ce Règlement en ce qui concerne, par exemple, la vitesse du véhicule)</w:t>
      </w:r>
    </w:p>
    <w:p w14:paraId="2018BF12" w14:textId="77777777" w:rsidR="00C065F4" w:rsidRPr="00C413C3" w:rsidRDefault="00C065F4" w:rsidP="00C065F4">
      <w:pPr>
        <w:pStyle w:val="SingleTxtG"/>
        <w:ind w:left="2268" w:hanging="1134"/>
      </w:pPr>
      <w:r w:rsidRPr="00C413C3">
        <w:t>5.</w:t>
      </w:r>
      <w:r w:rsidRPr="00C413C3">
        <w:tab/>
        <w:t>Date des essais</w:t>
      </w:r>
    </w:p>
    <w:p w14:paraId="7066E320" w14:textId="7E9E10FC" w:rsidR="00C065F4" w:rsidRPr="00C413C3" w:rsidRDefault="00C065F4" w:rsidP="00C065F4">
      <w:pPr>
        <w:pStyle w:val="SingleTxtG"/>
        <w:ind w:left="2268" w:hanging="1134"/>
      </w:pPr>
      <w:r w:rsidRPr="00C413C3">
        <w:t>6.</w:t>
      </w:r>
      <w:r w:rsidRPr="00C413C3">
        <w:tab/>
        <w:t>Ces essais ont été effectués et leurs résultats ont été consignés conformément aux dispositions de l’</w:t>
      </w:r>
      <w:r>
        <w:t xml:space="preserve">annexe </w:t>
      </w:r>
      <w:r w:rsidRPr="00C413C3">
        <w:t>6 du Règlement ONU n</w:t>
      </w:r>
      <w:r w:rsidRPr="00C413C3">
        <w:rPr>
          <w:vertAlign w:val="superscript"/>
        </w:rPr>
        <w:t>o</w:t>
      </w:r>
      <w:r w:rsidRPr="00C413C3">
        <w:t xml:space="preserve"> 141 tel que modifié par la </w:t>
      </w:r>
      <w:r>
        <w:t xml:space="preserve">série </w:t>
      </w:r>
      <w:r w:rsidRPr="00C413C3">
        <w:t>01 d’amendements.</w:t>
      </w:r>
    </w:p>
    <w:p w14:paraId="3624330E" w14:textId="77777777" w:rsidR="00C065F4" w:rsidRPr="00C413C3" w:rsidRDefault="00C065F4" w:rsidP="00C065F4">
      <w:pPr>
        <w:pStyle w:val="SingleTxtG"/>
        <w:ind w:left="2268" w:hanging="1134"/>
      </w:pPr>
      <w:r w:rsidRPr="00C413C3">
        <w:t>7.</w:t>
      </w:r>
      <w:r w:rsidRPr="00C413C3">
        <w:tab/>
        <w:t>Service technique chargé des essais</w:t>
      </w:r>
    </w:p>
    <w:p w14:paraId="25C77C06" w14:textId="64631BE6" w:rsidR="00C065F4" w:rsidRPr="00C413C3" w:rsidRDefault="00C065F4" w:rsidP="00C065F4">
      <w:pPr>
        <w:pStyle w:val="SingleTxtG"/>
        <w:tabs>
          <w:tab w:val="right" w:leader="dot" w:pos="5103"/>
          <w:tab w:val="left" w:pos="5387"/>
          <w:tab w:val="right" w:leader="dot" w:pos="7938"/>
        </w:tabs>
        <w:ind w:left="2268"/>
      </w:pPr>
      <w:r w:rsidRPr="00C413C3">
        <w:t>Signature</w:t>
      </w:r>
      <w:r>
        <w:t> :</w:t>
      </w:r>
      <w:r>
        <w:tab/>
      </w:r>
      <w:r>
        <w:tab/>
      </w:r>
      <w:r w:rsidRPr="00C413C3">
        <w:t>Date</w:t>
      </w:r>
      <w:r>
        <w:t> :</w:t>
      </w:r>
      <w:r>
        <w:tab/>
      </w:r>
    </w:p>
    <w:p w14:paraId="70EDC725" w14:textId="77777777" w:rsidR="00C065F4" w:rsidRPr="00C413C3" w:rsidRDefault="00C065F4" w:rsidP="00C065F4">
      <w:pPr>
        <w:pStyle w:val="SingleTxtG"/>
      </w:pPr>
      <w:r w:rsidRPr="00C413C3">
        <w:br w:type="page"/>
      </w:r>
    </w:p>
    <w:p w14:paraId="6CFDD5E4" w14:textId="1317CBAC" w:rsidR="00C065F4" w:rsidRPr="00C413C3" w:rsidRDefault="00C065F4" w:rsidP="00C065F4">
      <w:pPr>
        <w:pStyle w:val="HChG"/>
        <w:rPr>
          <w:sz w:val="36"/>
          <w:szCs w:val="36"/>
        </w:rPr>
      </w:pPr>
      <w:r>
        <w:lastRenderedPageBreak/>
        <w:t xml:space="preserve">Annexe </w:t>
      </w:r>
      <w:r w:rsidRPr="00C413C3">
        <w:t>8</w:t>
      </w:r>
    </w:p>
    <w:p w14:paraId="61038AFB" w14:textId="77777777" w:rsidR="00C065F4" w:rsidRPr="00C413C3" w:rsidRDefault="00C065F4" w:rsidP="00C065F4">
      <w:pPr>
        <w:pStyle w:val="HChG"/>
        <w:rPr>
          <w:spacing w:val="-1"/>
        </w:rPr>
      </w:pPr>
      <w:r w:rsidRPr="00C413C3">
        <w:tab/>
      </w:r>
      <w:r w:rsidRPr="00C413C3">
        <w:tab/>
        <w:t>Procédure de remplacement pour l’homologation de type d’une remorque considérée</w:t>
      </w:r>
    </w:p>
    <w:p w14:paraId="5FF7A276" w14:textId="77777777" w:rsidR="00C065F4" w:rsidRPr="00C413C3" w:rsidRDefault="00C065F4" w:rsidP="00C065F4">
      <w:pPr>
        <w:pStyle w:val="SingleTxtG"/>
        <w:ind w:left="2268" w:hanging="1134"/>
      </w:pPr>
      <w:r w:rsidRPr="00C413C3">
        <w:t>1.</w:t>
      </w:r>
      <w:r w:rsidRPr="00C413C3">
        <w:tab/>
        <w:t>Généralités</w:t>
      </w:r>
    </w:p>
    <w:p w14:paraId="3A207C8F" w14:textId="7D3BC59C" w:rsidR="00C065F4" w:rsidRPr="00C413C3" w:rsidRDefault="00C065F4" w:rsidP="00C065F4">
      <w:pPr>
        <w:pStyle w:val="SingleTxtG"/>
        <w:ind w:left="2268" w:hanging="1134"/>
      </w:pPr>
      <w:r w:rsidRPr="00C413C3">
        <w:t>1.1</w:t>
      </w:r>
      <w:r w:rsidRPr="00C413C3">
        <w:tab/>
        <w:t xml:space="preserve">La présente </w:t>
      </w:r>
      <w:r>
        <w:t xml:space="preserve">annexe </w:t>
      </w:r>
      <w:r w:rsidRPr="00C413C3">
        <w:t>définit une procédure de remplacement pour l’homologation de type des remorques en ce qui concerne leur système de surveillance de la pression des pneumatiques (TPMS)/système de regonflage des pneumatiques (TPRS)/système central de gonflage des pneumatiques (CTIS), sur la base des informations issues des procès</w:t>
      </w:r>
      <w:r w:rsidRPr="00C413C3">
        <w:noBreakHyphen/>
        <w:t>verbaux d’essai délivrés en application de l’</w:t>
      </w:r>
      <w:r>
        <w:t xml:space="preserve">appendice </w:t>
      </w:r>
      <w:r w:rsidRPr="00C413C3">
        <w:t>3 ou 4 de l’</w:t>
      </w:r>
      <w:r>
        <w:t xml:space="preserve">annexe </w:t>
      </w:r>
      <w:r w:rsidRPr="00C413C3">
        <w:t>7 du présent Règlement.</w:t>
      </w:r>
    </w:p>
    <w:p w14:paraId="0B573ED0" w14:textId="5AE54A5C" w:rsidR="00C065F4" w:rsidRPr="00C413C3" w:rsidRDefault="00C065F4" w:rsidP="00C065F4">
      <w:pPr>
        <w:pStyle w:val="SingleTxtG"/>
        <w:ind w:left="2268" w:hanging="1134"/>
      </w:pPr>
      <w:r w:rsidRPr="00C413C3">
        <w:t>1.2</w:t>
      </w:r>
      <w:r w:rsidRPr="00C413C3">
        <w:tab/>
        <w:t>À l’achèvement des procédures de contrôle décrites dans l’</w:t>
      </w:r>
      <w:r>
        <w:t xml:space="preserve">annexe </w:t>
      </w:r>
      <w:r w:rsidRPr="00C413C3">
        <w:t>3, l’autorité d’homologation de type doit délivrer un certificat d’homologation de type ONU conforme au modèle de l’</w:t>
      </w:r>
      <w:r>
        <w:t xml:space="preserve">annexe </w:t>
      </w:r>
      <w:r w:rsidRPr="00C413C3">
        <w:t>1 du présent Règlement.</w:t>
      </w:r>
    </w:p>
    <w:p w14:paraId="2D116244" w14:textId="77777777" w:rsidR="00C065F4" w:rsidRPr="00C413C3" w:rsidRDefault="00C065F4" w:rsidP="00C065F4">
      <w:pPr>
        <w:pStyle w:val="SingleTxtG"/>
        <w:ind w:left="2268" w:hanging="1134"/>
      </w:pPr>
      <w:r w:rsidRPr="00C413C3">
        <w:t>2.</w:t>
      </w:r>
      <w:r w:rsidRPr="00C413C3">
        <w:tab/>
        <w:t>Demande d’homologation de type</w:t>
      </w:r>
    </w:p>
    <w:p w14:paraId="0EF3A718" w14:textId="4E42390A" w:rsidR="00C065F4" w:rsidRPr="00C413C3" w:rsidRDefault="00C065F4" w:rsidP="00C065F4">
      <w:pPr>
        <w:pStyle w:val="SingleTxtG"/>
        <w:ind w:left="2268" w:hanging="1134"/>
      </w:pPr>
      <w:r w:rsidRPr="00C413C3">
        <w:t>2.1</w:t>
      </w:r>
      <w:r w:rsidRPr="00C413C3">
        <w:tab/>
        <w:t>La demande d’homologation d’un type de remorque en ce qui concerne son TPMS/TPRS/CTIS doit être présentée par le fabricant de la remorque. Aux fins de l’homologation de type, le fabricant de la remorque doit fournir au minimum</w:t>
      </w:r>
      <w:r>
        <w:t> :</w:t>
      </w:r>
    </w:p>
    <w:p w14:paraId="345DF5C6" w14:textId="08A787A6" w:rsidR="00C065F4" w:rsidRPr="00C413C3" w:rsidRDefault="00C065F4" w:rsidP="00C065F4">
      <w:pPr>
        <w:pStyle w:val="SingleTxtG"/>
        <w:ind w:left="2268" w:hanging="1134"/>
      </w:pPr>
      <w:r w:rsidRPr="00C413C3">
        <w:t>2.2</w:t>
      </w:r>
      <w:r w:rsidRPr="00C413C3">
        <w:tab/>
        <w:t>Les procès-verbaux d’essai établis conformément à l’</w:t>
      </w:r>
      <w:r>
        <w:t xml:space="preserve">appendice </w:t>
      </w:r>
      <w:r w:rsidRPr="00C413C3">
        <w:t>3 ou 4 de l’</w:t>
      </w:r>
      <w:r>
        <w:t xml:space="preserve">annexe </w:t>
      </w:r>
      <w:r w:rsidRPr="00C413C3">
        <w:t>7 du présent Règlement par le fabricant du TPMS/TPRS/CTIS ou du module passerelle, qui confirment le fonctionnement des systèmes montés sur une remorque de référence et peuvent également servir à l’homologation d’une remorque considérée</w:t>
      </w:r>
      <w:r>
        <w:t> ;</w:t>
      </w:r>
    </w:p>
    <w:p w14:paraId="13AA6D4C" w14:textId="3EB4B1E1" w:rsidR="00C065F4" w:rsidRPr="00C413C3" w:rsidRDefault="00C065F4" w:rsidP="00C065F4">
      <w:pPr>
        <w:pStyle w:val="SingleTxtG"/>
        <w:ind w:left="2268" w:hanging="1134"/>
      </w:pPr>
      <w:r w:rsidRPr="00C413C3">
        <w:t>2.2.1</w:t>
      </w:r>
      <w:r w:rsidRPr="00C413C3">
        <w:tab/>
        <w:t>Les fiches de renseignements relatives au type d’une remorque, ci-après désignée « remorque de référence »</w:t>
      </w:r>
      <w:r w:rsidRPr="00C413C3">
        <w:rPr>
          <w:rStyle w:val="Appelnotedebasdep"/>
        </w:rPr>
        <w:footnoteReference w:id="6"/>
      </w:r>
      <w:r w:rsidRPr="00C413C3">
        <w:t xml:space="preserve"> au sens de l’</w:t>
      </w:r>
      <w:r>
        <w:t xml:space="preserve">annexe </w:t>
      </w:r>
      <w:r w:rsidRPr="00C413C3">
        <w:t>7 du présent Règlement, à laquelle le TPMS/TPRS/CTIS doit être conforme. Cette remorque doit avoir été soumise aux essais définis à l’</w:t>
      </w:r>
      <w:r>
        <w:t xml:space="preserve">annexe </w:t>
      </w:r>
      <w:r w:rsidRPr="00C413C3">
        <w:t xml:space="preserve">3, 4 ou 6 du présent Règlement selon le type de remorque. Une remorque homologuée en application de la procédure de remplacement définie dans la présente </w:t>
      </w:r>
      <w:r>
        <w:t xml:space="preserve">annexe </w:t>
      </w:r>
      <w:r w:rsidRPr="00C413C3">
        <w:t>ne peut pas être utilisée comme remorque de référence</w:t>
      </w:r>
      <w:r>
        <w:t> ;</w:t>
      </w:r>
    </w:p>
    <w:p w14:paraId="0C2FB136" w14:textId="77777777" w:rsidR="00C065F4" w:rsidRPr="00C413C3" w:rsidRDefault="00C065F4" w:rsidP="00C065F4">
      <w:pPr>
        <w:pStyle w:val="SingleTxtG"/>
        <w:ind w:left="2268" w:hanging="1134"/>
      </w:pPr>
      <w:r w:rsidRPr="00C413C3">
        <w:t>2.2.2</w:t>
      </w:r>
      <w:r w:rsidRPr="00C413C3">
        <w:tab/>
        <w:t>Une remorque, représentative du type à homologuer, ci-après désignée « remorque considérée ».</w:t>
      </w:r>
    </w:p>
    <w:p w14:paraId="1CAE2BBA" w14:textId="77777777" w:rsidR="00C065F4" w:rsidRPr="00C413C3" w:rsidRDefault="00C065F4" w:rsidP="00C065F4">
      <w:pPr>
        <w:pStyle w:val="SingleTxtG"/>
        <w:ind w:left="2268" w:hanging="1134"/>
      </w:pPr>
      <w:r w:rsidRPr="00C413C3">
        <w:t>3.</w:t>
      </w:r>
      <w:r w:rsidRPr="00C413C3">
        <w:tab/>
        <w:t>Vérification</w:t>
      </w:r>
    </w:p>
    <w:p w14:paraId="60D04081" w14:textId="6C1AFB16" w:rsidR="00C065F4" w:rsidRPr="00C413C3" w:rsidRDefault="00C065F4" w:rsidP="00C065F4">
      <w:pPr>
        <w:pStyle w:val="SingleTxtG"/>
        <w:ind w:left="2268" w:hanging="1134"/>
      </w:pPr>
      <w:r w:rsidRPr="00C413C3">
        <w:t>3.1</w:t>
      </w:r>
      <w:r w:rsidRPr="00C413C3">
        <w:tab/>
        <w:t>Les prescriptions de l’</w:t>
      </w:r>
      <w:r>
        <w:t xml:space="preserve">annexe </w:t>
      </w:r>
      <w:r w:rsidRPr="00C413C3">
        <w:t>3, 4 ou 6 sont réputées satisfaites lorsque la configuration de la remorque considérée répond aux critères suivants</w:t>
      </w:r>
      <w:r>
        <w:t> :</w:t>
      </w:r>
    </w:p>
    <w:p w14:paraId="30478F13" w14:textId="17B7D313" w:rsidR="00C065F4" w:rsidRPr="00C413C3" w:rsidRDefault="00C065F4" w:rsidP="00C065F4">
      <w:pPr>
        <w:pStyle w:val="SingleTxtG"/>
        <w:ind w:left="2268" w:hanging="1134"/>
      </w:pPr>
      <w:r w:rsidRPr="00C413C3">
        <w:t>3.1.1</w:t>
      </w:r>
      <w:r w:rsidRPr="00C413C3">
        <w:tab/>
        <w:t>La configuration de la remorque considérée est conforme à l’une des configurations visées dans le procès-verbal d’essai en ce qui concerne le nombre d’essieux, le nombre de pneumatiques et la position des essieux relevables</w:t>
      </w:r>
      <w:r>
        <w:t> ;</w:t>
      </w:r>
    </w:p>
    <w:p w14:paraId="44488932" w14:textId="05DDB14A" w:rsidR="00C065F4" w:rsidRPr="00C413C3" w:rsidRDefault="00C065F4" w:rsidP="00C065F4">
      <w:pPr>
        <w:pStyle w:val="SingleTxtG"/>
        <w:ind w:left="2268" w:hanging="1134"/>
      </w:pPr>
      <w:r w:rsidRPr="00C413C3">
        <w:t>3.1.2</w:t>
      </w:r>
      <w:r w:rsidRPr="00C413C3">
        <w:tab/>
        <w:t>La plage de pression nominale autorisée est comprise dans la plage de la remorque de référence</w:t>
      </w:r>
      <w:r>
        <w:t> ;</w:t>
      </w:r>
    </w:p>
    <w:p w14:paraId="2DC40CF8" w14:textId="4E27E7BA" w:rsidR="00C065F4" w:rsidRPr="001C4C72" w:rsidRDefault="00C065F4" w:rsidP="00C065F4">
      <w:pPr>
        <w:pStyle w:val="SingleTxtG"/>
        <w:ind w:left="2268" w:hanging="1134"/>
      </w:pPr>
      <w:r w:rsidRPr="001C4C72">
        <w:t>3.1.3</w:t>
      </w:r>
      <w:r w:rsidRPr="001C4C72">
        <w:tab/>
        <w:t>L’installation ou l’intégration et le paramétrage du TPMS/TPRS/CTIS et du module passerelle conforme à la norme ISO 11992-2 (le cas échéant) sur la remorque considérée sont conformes aux limites d’installation ou d’intégration et de paramétrage spécifiées pour la remorque de référence ;</w:t>
      </w:r>
    </w:p>
    <w:p w14:paraId="55325CB6" w14:textId="06A64866" w:rsidR="00C065F4" w:rsidRPr="00C413C3" w:rsidRDefault="00C065F4" w:rsidP="00C065F4">
      <w:pPr>
        <w:pStyle w:val="SingleTxtG"/>
        <w:ind w:left="2268" w:hanging="1134"/>
      </w:pPr>
      <w:r w:rsidRPr="00C413C3">
        <w:lastRenderedPageBreak/>
        <w:t>3.2</w:t>
      </w:r>
      <w:r w:rsidRPr="00C413C3">
        <w:tab/>
        <w:t xml:space="preserve">Des fiches de renseignements concernant la remorque considérée, établies conformément aux </w:t>
      </w:r>
      <w:r>
        <w:t xml:space="preserve">appendices </w:t>
      </w:r>
      <w:r w:rsidRPr="00C413C3">
        <w:t>1 et 2 de la présente annexe, ont été versées au dossier.</w:t>
      </w:r>
    </w:p>
    <w:p w14:paraId="081B8B10" w14:textId="77777777" w:rsidR="00C065F4" w:rsidRPr="00C413C3" w:rsidRDefault="00C065F4" w:rsidP="00C065F4">
      <w:pPr>
        <w:pStyle w:val="SingleTxtG"/>
        <w:ind w:left="2268" w:hanging="1134"/>
      </w:pPr>
      <w:r w:rsidRPr="00C413C3">
        <w:t>4.</w:t>
      </w:r>
      <w:r w:rsidRPr="00C413C3">
        <w:tab/>
        <w:t>Généralités</w:t>
      </w:r>
    </w:p>
    <w:p w14:paraId="23B2893B" w14:textId="69D7C0BD" w:rsidR="00C065F4" w:rsidRPr="00C413C3" w:rsidRDefault="00C065F4" w:rsidP="00C065F4">
      <w:pPr>
        <w:pStyle w:val="SingleTxtG"/>
        <w:ind w:left="2268" w:hanging="1134"/>
      </w:pPr>
      <w:r w:rsidRPr="00C413C3">
        <w:t>4.1</w:t>
      </w:r>
      <w:r w:rsidRPr="00C413C3">
        <w:tab/>
        <w:t>Au moment de l’homologation de type, l’autorité d’homologation de type peut renoncer à mettre une remorque à l’essai en application de l’</w:t>
      </w:r>
      <w:r>
        <w:t xml:space="preserve">annexe </w:t>
      </w:r>
      <w:r w:rsidRPr="00C413C3">
        <w:t>3 ou 4 du présent Règlement à condition que</w:t>
      </w:r>
      <w:r>
        <w:t> :</w:t>
      </w:r>
    </w:p>
    <w:p w14:paraId="13475A8D" w14:textId="330491D9" w:rsidR="00C065F4" w:rsidRPr="00C413C3" w:rsidRDefault="00C065F4" w:rsidP="00C065F4">
      <w:pPr>
        <w:pStyle w:val="SingleTxtG"/>
        <w:numPr>
          <w:ilvl w:val="0"/>
          <w:numId w:val="17"/>
        </w:numPr>
        <w:ind w:left="2835" w:hanging="567"/>
      </w:pPr>
      <w:r w:rsidRPr="00C413C3">
        <w:t>Le système de surveillance de la pression des pneumatiques (TPMS) soit conforme aux prescriptions de l’</w:t>
      </w:r>
      <w:r>
        <w:t xml:space="preserve">annexe </w:t>
      </w:r>
      <w:r w:rsidRPr="00C413C3">
        <w:t>3, ou que</w:t>
      </w:r>
      <w:r>
        <w:t> ;</w:t>
      </w:r>
    </w:p>
    <w:p w14:paraId="33699CF4" w14:textId="504D38C8" w:rsidR="00C065F4" w:rsidRPr="00C413C3" w:rsidRDefault="00C065F4" w:rsidP="00C065F4">
      <w:pPr>
        <w:pStyle w:val="SingleTxtG"/>
        <w:numPr>
          <w:ilvl w:val="0"/>
          <w:numId w:val="17"/>
        </w:numPr>
        <w:ind w:left="2835" w:hanging="567"/>
      </w:pPr>
      <w:r w:rsidRPr="00C413C3">
        <w:t>Le système de regonflage des pneumatiques (TPRS) soit conforme aux prescriptions de l’</w:t>
      </w:r>
      <w:r>
        <w:t xml:space="preserve">annexe </w:t>
      </w:r>
      <w:r w:rsidRPr="00C413C3">
        <w:t>4, ou que</w:t>
      </w:r>
      <w:r>
        <w:t> ;</w:t>
      </w:r>
    </w:p>
    <w:p w14:paraId="75B70C49" w14:textId="2B5A613E" w:rsidR="00C065F4" w:rsidRPr="00C413C3" w:rsidRDefault="00C065F4" w:rsidP="00C065F4">
      <w:pPr>
        <w:pStyle w:val="SingleTxtG"/>
        <w:numPr>
          <w:ilvl w:val="0"/>
          <w:numId w:val="17"/>
        </w:numPr>
        <w:ind w:left="2835" w:hanging="567"/>
      </w:pPr>
      <w:r w:rsidRPr="00C413C3">
        <w:t>Le système central de gonflage des pneumatiques (CTIS) soit conforme aux prescriptions de l’</w:t>
      </w:r>
      <w:r>
        <w:t xml:space="preserve">annexe </w:t>
      </w:r>
      <w:r w:rsidRPr="00C413C3">
        <w:t>4, et</w:t>
      </w:r>
      <w:r>
        <w:t> ;</w:t>
      </w:r>
    </w:p>
    <w:p w14:paraId="0A5F4FF3" w14:textId="31D1B5A1" w:rsidR="00C065F4" w:rsidRPr="00C413C3" w:rsidRDefault="00C065F4" w:rsidP="00C065F4">
      <w:pPr>
        <w:pStyle w:val="SingleTxtG"/>
        <w:ind w:left="2268"/>
      </w:pPr>
      <w:r w:rsidRPr="00C413C3">
        <w:t>Le cas échéant, que le module passerelle soit conforme aux prescriptions de l’</w:t>
      </w:r>
      <w:r>
        <w:t xml:space="preserve">annexe </w:t>
      </w:r>
      <w:r w:rsidRPr="00C413C3">
        <w:t>6.</w:t>
      </w:r>
    </w:p>
    <w:p w14:paraId="058AC179" w14:textId="0B920996" w:rsidR="00C065F4" w:rsidRPr="00C413C3" w:rsidRDefault="00C065F4" w:rsidP="00C065F4">
      <w:pPr>
        <w:pStyle w:val="SingleTxtG"/>
        <w:ind w:left="2268" w:hanging="1134"/>
      </w:pPr>
      <w:r w:rsidRPr="00C413C3">
        <w:t>5.</w:t>
      </w:r>
      <w:r w:rsidRPr="00C413C3">
        <w:tab/>
        <w:t xml:space="preserve">Le contrôle des limites d’installation est effectué conformément au </w:t>
      </w:r>
      <w:r>
        <w:t xml:space="preserve">paragraphe </w:t>
      </w:r>
      <w:r w:rsidRPr="00C413C3">
        <w:t>2.3 de l’</w:t>
      </w:r>
      <w:r>
        <w:t xml:space="preserve">appendice </w:t>
      </w:r>
      <w:r w:rsidRPr="00C413C3">
        <w:t>1 et de l’</w:t>
      </w:r>
      <w:r>
        <w:t xml:space="preserve">appendice </w:t>
      </w:r>
      <w:r w:rsidRPr="00C413C3">
        <w:t>2 de l’</w:t>
      </w:r>
      <w:r>
        <w:t xml:space="preserve">annexe </w:t>
      </w:r>
      <w:r w:rsidRPr="00C413C3">
        <w:t>7 du présent Règlement, le</w:t>
      </w:r>
      <w:r>
        <w:t xml:space="preserve"> </w:t>
      </w:r>
      <w:r w:rsidRPr="00C413C3">
        <w:t>cas échéant.</w:t>
      </w:r>
    </w:p>
    <w:p w14:paraId="372CE82B" w14:textId="77777777" w:rsidR="00C065F4" w:rsidRPr="00C413C3" w:rsidRDefault="00C065F4" w:rsidP="00C065F4">
      <w:pPr>
        <w:pStyle w:val="SingleTxtG"/>
        <w:ind w:left="2268" w:hanging="1134"/>
        <w:rPr>
          <w:b/>
          <w:bCs/>
        </w:rPr>
      </w:pPr>
      <w:r w:rsidRPr="00C413C3">
        <w:rPr>
          <w:b/>
          <w:bCs/>
        </w:rPr>
        <w:br w:type="page"/>
      </w:r>
    </w:p>
    <w:p w14:paraId="50D38FB7" w14:textId="4CCD2793" w:rsidR="00C065F4" w:rsidRPr="00C413C3" w:rsidRDefault="00C065F4" w:rsidP="00C065F4">
      <w:pPr>
        <w:pStyle w:val="HChG"/>
        <w:rPr>
          <w:sz w:val="36"/>
          <w:szCs w:val="36"/>
        </w:rPr>
      </w:pPr>
      <w:r>
        <w:lastRenderedPageBreak/>
        <w:t xml:space="preserve">Annexe </w:t>
      </w:r>
      <w:r w:rsidRPr="00C413C3">
        <w:t xml:space="preserve">8 − </w:t>
      </w:r>
      <w:r>
        <w:t xml:space="preserve">Appendice </w:t>
      </w:r>
      <w:r w:rsidRPr="00C413C3">
        <w:t>1</w:t>
      </w:r>
    </w:p>
    <w:p w14:paraId="5F3D2E01" w14:textId="77777777" w:rsidR="00C065F4" w:rsidRPr="00C413C3" w:rsidRDefault="00C065F4" w:rsidP="00C065F4">
      <w:pPr>
        <w:pStyle w:val="HChG"/>
        <w:rPr>
          <w:szCs w:val="28"/>
        </w:rPr>
      </w:pPr>
      <w:r w:rsidRPr="00C413C3">
        <w:tab/>
      </w:r>
      <w:r w:rsidRPr="00C413C3">
        <w:tab/>
        <w:t>Fiche de renseignements concernant le système de surveillance de la pression des pneumatiques, ou le système de regonflage des pneumatiques, ou le système de gonflage central des pneumatiques, pour une remorque considérée</w:t>
      </w:r>
    </w:p>
    <w:p w14:paraId="491AC3FD" w14:textId="77777777" w:rsidR="00C065F4" w:rsidRPr="00C413C3" w:rsidRDefault="00C065F4" w:rsidP="00C065F4">
      <w:pPr>
        <w:pStyle w:val="SingleTxtG"/>
        <w:ind w:left="2268" w:hanging="1134"/>
      </w:pPr>
      <w:r w:rsidRPr="00C413C3">
        <w:t>1.</w:t>
      </w:r>
      <w:r w:rsidRPr="00C413C3">
        <w:tab/>
        <w:t>Généralités</w:t>
      </w:r>
    </w:p>
    <w:p w14:paraId="22DDA2C5" w14:textId="77777777" w:rsidR="00C065F4" w:rsidRPr="00C413C3" w:rsidRDefault="00C065F4" w:rsidP="00C065F4">
      <w:pPr>
        <w:pStyle w:val="SingleTxtG"/>
        <w:ind w:left="2268" w:hanging="1134"/>
      </w:pPr>
      <w:r w:rsidRPr="00C413C3">
        <w:t>1.1</w:t>
      </w:r>
      <w:r w:rsidRPr="00C413C3">
        <w:tab/>
        <w:t>Nom et adresse du fabricant</w:t>
      </w:r>
    </w:p>
    <w:p w14:paraId="2BBA1B96" w14:textId="77777777" w:rsidR="00C065F4" w:rsidRPr="00C413C3" w:rsidRDefault="00C065F4" w:rsidP="00C065F4">
      <w:pPr>
        <w:pStyle w:val="SingleTxtG"/>
        <w:ind w:left="2268" w:hanging="1134"/>
      </w:pPr>
      <w:r w:rsidRPr="00C413C3">
        <w:t>1.2</w:t>
      </w:r>
      <w:r w:rsidRPr="00C413C3">
        <w:tab/>
        <w:t>Nom du système</w:t>
      </w:r>
    </w:p>
    <w:p w14:paraId="1DC10FED" w14:textId="77777777" w:rsidR="00C065F4" w:rsidRPr="00C413C3" w:rsidRDefault="00C065F4" w:rsidP="00C065F4">
      <w:pPr>
        <w:pStyle w:val="SingleTxtG"/>
        <w:ind w:left="2268" w:hanging="1134"/>
      </w:pPr>
      <w:r w:rsidRPr="00C413C3">
        <w:t>1.3</w:t>
      </w:r>
      <w:r w:rsidRPr="00C413C3">
        <w:tab/>
        <w:t>Configuration du TPMS/TPRS/CTIS</w:t>
      </w:r>
      <w:r w:rsidRPr="00C413C3">
        <w:rPr>
          <w:rStyle w:val="Appelnotedebasdep"/>
        </w:rPr>
        <w:footnoteReference w:id="7"/>
      </w:r>
      <w:r w:rsidRPr="00C413C3">
        <w:t xml:space="preserve"> (par exemple la liste des composants intégrés)</w:t>
      </w:r>
    </w:p>
    <w:p w14:paraId="128CC70D" w14:textId="77777777" w:rsidR="00C065F4" w:rsidRPr="00C413C3" w:rsidRDefault="00C065F4" w:rsidP="00C065F4">
      <w:pPr>
        <w:pStyle w:val="SingleTxtG"/>
        <w:ind w:left="2268" w:hanging="1134"/>
      </w:pPr>
      <w:r w:rsidRPr="00C413C3">
        <w:t>2.</w:t>
      </w:r>
      <w:r w:rsidRPr="00C413C3">
        <w:tab/>
        <w:t>Application</w:t>
      </w:r>
    </w:p>
    <w:p w14:paraId="3DBCE9EE" w14:textId="50337E06" w:rsidR="00C065F4" w:rsidRPr="00C413C3" w:rsidRDefault="00C065F4" w:rsidP="00C065F4">
      <w:pPr>
        <w:pStyle w:val="SingleTxtG"/>
        <w:ind w:left="2268" w:hanging="1134"/>
      </w:pPr>
      <w:r w:rsidRPr="00C413C3">
        <w:t>2.1</w:t>
      </w:r>
      <w:r w:rsidRPr="00C413C3">
        <w:tab/>
        <w:t>Configuration du système pour la remorque considérée</w:t>
      </w:r>
      <w:r>
        <w:t> :</w:t>
      </w:r>
    </w:p>
    <w:p w14:paraId="13672FBF" w14:textId="3AFEC270" w:rsidR="00C065F4" w:rsidRPr="00C413C3" w:rsidRDefault="00C065F4" w:rsidP="00C065F4">
      <w:pPr>
        <w:pStyle w:val="SingleTxtG"/>
        <w:ind w:left="2835" w:hanging="567"/>
      </w:pPr>
      <w:r w:rsidRPr="00C413C3">
        <w:t>-</w:t>
      </w:r>
      <w:r w:rsidRPr="00C413C3">
        <w:tab/>
        <w:t>Nombre d’essieux</w:t>
      </w:r>
      <w:r>
        <w:t> ;</w:t>
      </w:r>
    </w:p>
    <w:p w14:paraId="789F7585" w14:textId="7DF53272" w:rsidR="00C065F4" w:rsidRPr="00C413C3" w:rsidRDefault="00C065F4" w:rsidP="00C065F4">
      <w:pPr>
        <w:pStyle w:val="SingleTxtG"/>
        <w:ind w:left="2835" w:hanging="567"/>
      </w:pPr>
      <w:r w:rsidRPr="00C413C3">
        <w:t>-</w:t>
      </w:r>
      <w:r w:rsidRPr="00C413C3">
        <w:tab/>
        <w:t>Emplacements des roues</w:t>
      </w:r>
      <w:r>
        <w:t> ;</w:t>
      </w:r>
    </w:p>
    <w:p w14:paraId="186C65EE" w14:textId="27B7EA0A" w:rsidR="00C065F4" w:rsidRPr="00C413C3" w:rsidRDefault="00C065F4" w:rsidP="00C065F4">
      <w:pPr>
        <w:pStyle w:val="SingleTxtG"/>
        <w:ind w:left="2835" w:hanging="567"/>
      </w:pPr>
      <w:r w:rsidRPr="00C413C3">
        <w:t>-</w:t>
      </w:r>
      <w:r w:rsidRPr="00C413C3">
        <w:tab/>
        <w:t>Position des essieux relevables</w:t>
      </w:r>
      <w:r>
        <w:t> ;</w:t>
      </w:r>
    </w:p>
    <w:p w14:paraId="118F239F" w14:textId="19785363" w:rsidR="00C065F4" w:rsidRPr="00C413C3" w:rsidRDefault="00C065F4" w:rsidP="00C065F4">
      <w:pPr>
        <w:pStyle w:val="SingleTxtG"/>
        <w:ind w:left="2835" w:hanging="567"/>
      </w:pPr>
      <w:r w:rsidRPr="00C413C3">
        <w:t>-</w:t>
      </w:r>
      <w:r w:rsidRPr="00C413C3">
        <w:tab/>
        <w:t>Position du récepteur/emplacements des antennes</w:t>
      </w:r>
      <w:r>
        <w:t> ;</w:t>
      </w:r>
    </w:p>
    <w:p w14:paraId="3B563B2A" w14:textId="4F007085" w:rsidR="00C065F4" w:rsidRPr="00C413C3" w:rsidRDefault="00C065F4" w:rsidP="00C065F4">
      <w:pPr>
        <w:pStyle w:val="SingleTxtG"/>
        <w:ind w:left="2835" w:hanging="567"/>
      </w:pPr>
      <w:r w:rsidRPr="00C413C3">
        <w:t>-</w:t>
      </w:r>
      <w:r w:rsidRPr="00C413C3">
        <w:tab/>
        <w:t>Position des capteurs</w:t>
      </w:r>
      <w:r>
        <w:t> ;</w:t>
      </w:r>
    </w:p>
    <w:p w14:paraId="7628A122" w14:textId="77777777" w:rsidR="00C065F4" w:rsidRPr="00C413C3" w:rsidRDefault="00C065F4" w:rsidP="00C065F4">
      <w:pPr>
        <w:pStyle w:val="SingleTxtG"/>
        <w:ind w:left="2835" w:hanging="567"/>
      </w:pPr>
      <w:r w:rsidRPr="00C413C3">
        <w:t>-</w:t>
      </w:r>
      <w:r w:rsidRPr="00C413C3">
        <w:tab/>
        <w:t>Plage de pression nominale (kPa).</w:t>
      </w:r>
    </w:p>
    <w:p w14:paraId="0FBA7E41" w14:textId="5D9AED5F" w:rsidR="00C065F4" w:rsidRPr="00C413C3" w:rsidRDefault="00C065F4" w:rsidP="00C065F4">
      <w:pPr>
        <w:pStyle w:val="SingleTxtG"/>
        <w:ind w:left="2268" w:hanging="1134"/>
      </w:pPr>
      <w:r w:rsidRPr="00C413C3">
        <w:t>2.2</w:t>
      </w:r>
      <w:r w:rsidRPr="00C413C3">
        <w:tab/>
        <w:t>Schémas de la configuration du système installée sur la remorque, telle que définie au point</w:t>
      </w:r>
      <w:r w:rsidR="001C4C72">
        <w:t xml:space="preserve"> </w:t>
      </w:r>
      <w:r w:rsidRPr="00C413C3">
        <w:t>2.1</w:t>
      </w:r>
    </w:p>
    <w:p w14:paraId="008A427B" w14:textId="7DE73B7B" w:rsidR="00C065F4" w:rsidRPr="00C413C3" w:rsidRDefault="00C065F4" w:rsidP="00C065F4">
      <w:pPr>
        <w:pStyle w:val="SingleTxtG"/>
        <w:ind w:left="2268" w:hanging="1134"/>
      </w:pPr>
      <w:r w:rsidRPr="00C413C3">
        <w:t>2.3</w:t>
      </w:r>
      <w:r w:rsidRPr="00C413C3">
        <w:tab/>
        <w:t xml:space="preserve">Limites d’installation/d’intégration (par exemple, messages et signaux d’entrée requis par le TPMS pour que le véhicule satisfasse aux prescriptions de fonctionnement énoncées aux </w:t>
      </w:r>
      <w:r>
        <w:t xml:space="preserve">paragraphes </w:t>
      </w:r>
      <w:r w:rsidRPr="00C413C3">
        <w:t>5.1.2 à 5.6 du présent Règlement ainsi qu’aux prescriptions d’essai (crevaison, défaut d’étanchéité et défaut de fonctionnement) énoncées dans l’</w:t>
      </w:r>
      <w:r>
        <w:t xml:space="preserve">annexe </w:t>
      </w:r>
      <w:r w:rsidRPr="00C413C3">
        <w:t>3 de ce Règlement en ce qui concerne, par exemple, la vitesse du véhicule)</w:t>
      </w:r>
      <w:bookmarkStart w:id="1" w:name="_Hlk71120419"/>
    </w:p>
    <w:p w14:paraId="53252B5E" w14:textId="77777777" w:rsidR="00C065F4" w:rsidRPr="00C413C3" w:rsidRDefault="00C065F4" w:rsidP="00C065F4">
      <w:pPr>
        <w:pStyle w:val="SingleTxtG"/>
        <w:ind w:left="2268" w:hanging="1134"/>
      </w:pPr>
      <w:r w:rsidRPr="00C413C3">
        <w:t>2.4</w:t>
      </w:r>
      <w:r w:rsidRPr="00C413C3">
        <w:tab/>
        <w:t>Renseignements complémentaires (le cas échéant) aux données concernant l’application prévue pour le TPMS/TPRS/CTIS</w:t>
      </w:r>
    </w:p>
    <w:bookmarkEnd w:id="1"/>
    <w:p w14:paraId="53FDA850" w14:textId="77777777" w:rsidR="00C065F4" w:rsidRPr="00C413C3" w:rsidRDefault="00C065F4" w:rsidP="00C065F4">
      <w:pPr>
        <w:pStyle w:val="SingleTxtG"/>
        <w:ind w:left="2268" w:hanging="1134"/>
      </w:pPr>
      <w:r w:rsidRPr="00C413C3">
        <w:t>3.</w:t>
      </w:r>
      <w:r w:rsidRPr="00C413C3">
        <w:tab/>
        <w:t>Description des composants</w:t>
      </w:r>
    </w:p>
    <w:p w14:paraId="452EF155" w14:textId="77777777" w:rsidR="00C065F4" w:rsidRPr="00C413C3" w:rsidRDefault="00C065F4" w:rsidP="001C4C72">
      <w:pPr>
        <w:pStyle w:val="SingleTxtG"/>
        <w:keepNext/>
        <w:ind w:left="2268" w:hanging="1134"/>
      </w:pPr>
      <w:r w:rsidRPr="00C413C3">
        <w:t>3.1</w:t>
      </w:r>
      <w:r w:rsidRPr="00C413C3">
        <w:tab/>
        <w:t>Capteur(s)</w:t>
      </w:r>
    </w:p>
    <w:p w14:paraId="34ED35C7" w14:textId="77777777" w:rsidR="00C065F4" w:rsidRPr="00C413C3" w:rsidRDefault="00C065F4" w:rsidP="00C065F4">
      <w:pPr>
        <w:pStyle w:val="SingleTxtG"/>
        <w:ind w:left="2835" w:hanging="567"/>
      </w:pPr>
      <w:r w:rsidRPr="00C413C3">
        <w:t>-</w:t>
      </w:r>
      <w:r w:rsidRPr="00C413C3">
        <w:tab/>
        <w:t>Identification (par exemple, numéro(s) de pièce).</w:t>
      </w:r>
    </w:p>
    <w:p w14:paraId="0B34DC5A" w14:textId="77777777" w:rsidR="00C065F4" w:rsidRPr="00C413C3" w:rsidRDefault="00C065F4" w:rsidP="001C4C72">
      <w:pPr>
        <w:pStyle w:val="SingleTxtG"/>
        <w:keepNext/>
        <w:ind w:left="2268" w:hanging="1134"/>
      </w:pPr>
      <w:r w:rsidRPr="00C413C3">
        <w:t>3.2</w:t>
      </w:r>
      <w:r w:rsidRPr="00C413C3">
        <w:tab/>
        <w:t>Récepteur(s)/Antenne(s)</w:t>
      </w:r>
    </w:p>
    <w:p w14:paraId="05F61FFF" w14:textId="77777777" w:rsidR="00C065F4" w:rsidRPr="00C413C3" w:rsidRDefault="00C065F4" w:rsidP="00C065F4">
      <w:pPr>
        <w:pStyle w:val="SingleTxtG"/>
        <w:ind w:left="2835" w:hanging="567"/>
      </w:pPr>
      <w:r w:rsidRPr="00C413C3">
        <w:t>-</w:t>
      </w:r>
      <w:r w:rsidRPr="00C413C3">
        <w:tab/>
        <w:t>Identification (par exemple, numéro(s) de pièce).</w:t>
      </w:r>
    </w:p>
    <w:p w14:paraId="4E362F0F" w14:textId="77777777" w:rsidR="00C065F4" w:rsidRPr="00C413C3" w:rsidRDefault="00C065F4" w:rsidP="001C4C72">
      <w:pPr>
        <w:pStyle w:val="SingleTxtG"/>
        <w:keepNext/>
        <w:ind w:left="2268" w:hanging="1134"/>
      </w:pPr>
      <w:r w:rsidRPr="00C413C3">
        <w:t>3.3</w:t>
      </w:r>
      <w:r w:rsidRPr="00C413C3">
        <w:tab/>
        <w:t>Équipement électrique</w:t>
      </w:r>
    </w:p>
    <w:p w14:paraId="0FB83FD9" w14:textId="77777777" w:rsidR="00C065F4" w:rsidRPr="00C413C3" w:rsidRDefault="00C065F4" w:rsidP="00C065F4">
      <w:pPr>
        <w:pStyle w:val="SingleTxtG"/>
        <w:ind w:left="2835" w:hanging="567"/>
      </w:pPr>
      <w:r w:rsidRPr="00C413C3">
        <w:t>-</w:t>
      </w:r>
      <w:r w:rsidRPr="00C413C3">
        <w:tab/>
        <w:t>Diagramme(s) du circuit</w:t>
      </w:r>
    </w:p>
    <w:p w14:paraId="2A7622CD" w14:textId="77777777" w:rsidR="00C065F4" w:rsidRPr="00C413C3" w:rsidRDefault="00C065F4" w:rsidP="00C065F4">
      <w:pPr>
        <w:pStyle w:val="SingleTxtG"/>
        <w:ind w:left="2835" w:hanging="567"/>
      </w:pPr>
      <w:r w:rsidRPr="00C413C3">
        <w:t>-</w:t>
      </w:r>
      <w:r w:rsidRPr="00C413C3">
        <w:tab/>
        <w:t>Méthodes d’alimentation.</w:t>
      </w:r>
    </w:p>
    <w:p w14:paraId="1121EA71" w14:textId="7AB22072" w:rsidR="00C065F4" w:rsidRPr="00C413C3" w:rsidRDefault="00C065F4" w:rsidP="001C4C72">
      <w:pPr>
        <w:pStyle w:val="SingleTxtG"/>
        <w:keepNext/>
        <w:ind w:left="2268" w:hanging="1134"/>
      </w:pPr>
      <w:r w:rsidRPr="00C413C3">
        <w:t>3.4</w:t>
      </w:r>
      <w:r w:rsidRPr="00C413C3">
        <w:tab/>
        <w:t>S’il y a lieu, compatibilité électromagnétique au sens du Règlement ONU n</w:t>
      </w:r>
      <w:r w:rsidRPr="00C413C3">
        <w:rPr>
          <w:vertAlign w:val="superscript"/>
        </w:rPr>
        <w:t>o</w:t>
      </w:r>
      <w:r w:rsidRPr="00C413C3">
        <w:t> 10 tel que modifié par</w:t>
      </w:r>
      <w:r>
        <w:t> :</w:t>
      </w:r>
    </w:p>
    <w:p w14:paraId="5D2BADF7" w14:textId="3F14F84C" w:rsidR="00C065F4" w:rsidRPr="001C4C72" w:rsidRDefault="00C065F4" w:rsidP="00C065F4">
      <w:pPr>
        <w:pStyle w:val="SingleTxtG"/>
        <w:ind w:left="2835" w:hanging="567"/>
      </w:pPr>
      <w:r w:rsidRPr="001C4C72">
        <w:t>a)</w:t>
      </w:r>
      <w:r w:rsidRPr="001C4C72">
        <w:tab/>
        <w:t>La série 03 d’amendements pour les véhicules dépourvus de système de raccordement pour la recharge du système rechargeable de stockage de l’énergie électrique (batteries de traction) ;</w:t>
      </w:r>
    </w:p>
    <w:p w14:paraId="6FBDD06B" w14:textId="63755638" w:rsidR="00C065F4" w:rsidRPr="00C413C3" w:rsidRDefault="00C065F4" w:rsidP="00C065F4">
      <w:pPr>
        <w:pStyle w:val="SingleTxtG"/>
        <w:ind w:left="2835" w:hanging="567"/>
      </w:pPr>
      <w:r w:rsidRPr="00C413C3">
        <w:lastRenderedPageBreak/>
        <w:t>b)</w:t>
      </w:r>
      <w:r w:rsidRPr="00C413C3">
        <w:tab/>
        <w:t xml:space="preserve">La </w:t>
      </w:r>
      <w:r>
        <w:t xml:space="preserve">série </w:t>
      </w:r>
      <w:r w:rsidRPr="00C413C3">
        <w:t>06 d’amendements pour les véhicules équipés d’un système de raccordement pour la recharge du système rechargeable de stockage de l’énergie électrique (batteries de traction).</w:t>
      </w:r>
    </w:p>
    <w:p w14:paraId="5FF18418" w14:textId="77777777" w:rsidR="00C065F4" w:rsidRPr="00C413C3" w:rsidRDefault="00C065F4" w:rsidP="00C065F4">
      <w:pPr>
        <w:pStyle w:val="SingleTxtG"/>
        <w:ind w:left="2268" w:hanging="1134"/>
      </w:pPr>
      <w:r w:rsidRPr="00C413C3">
        <w:t>3.5</w:t>
      </w:r>
      <w:r w:rsidRPr="00C413C3">
        <w:tab/>
        <w:t>Renseignements complémentaires (le cas échéant) à la description des composants du TPMS/TPRS/CTIS</w:t>
      </w:r>
    </w:p>
    <w:p w14:paraId="4F6563DC" w14:textId="77777777" w:rsidR="00C065F4" w:rsidRPr="00C413C3" w:rsidRDefault="00C065F4" w:rsidP="00C065F4">
      <w:pPr>
        <w:pStyle w:val="SingleTxtG"/>
        <w:ind w:left="2268" w:hanging="1134"/>
        <w:rPr>
          <w:b/>
          <w:bCs/>
        </w:rPr>
      </w:pPr>
      <w:r w:rsidRPr="00C413C3">
        <w:rPr>
          <w:b/>
          <w:bCs/>
        </w:rPr>
        <w:br w:type="page"/>
      </w:r>
    </w:p>
    <w:p w14:paraId="7FB4D246" w14:textId="02DAD79C" w:rsidR="00C065F4" w:rsidRPr="00C413C3" w:rsidRDefault="00C065F4" w:rsidP="00C065F4">
      <w:pPr>
        <w:pStyle w:val="HChG"/>
        <w:rPr>
          <w:sz w:val="36"/>
          <w:szCs w:val="36"/>
        </w:rPr>
      </w:pPr>
      <w:r>
        <w:lastRenderedPageBreak/>
        <w:t xml:space="preserve">Annexe </w:t>
      </w:r>
      <w:r w:rsidRPr="00C413C3">
        <w:t xml:space="preserve">8 − </w:t>
      </w:r>
      <w:r>
        <w:t xml:space="preserve">Appendice </w:t>
      </w:r>
      <w:r w:rsidRPr="00C413C3">
        <w:t>2</w:t>
      </w:r>
    </w:p>
    <w:p w14:paraId="56F3C216" w14:textId="379E8DA7" w:rsidR="00C065F4" w:rsidRPr="00C413C3" w:rsidRDefault="00C065F4" w:rsidP="00C065F4">
      <w:pPr>
        <w:pStyle w:val="HChG"/>
      </w:pPr>
      <w:r w:rsidRPr="00C413C3">
        <w:tab/>
      </w:r>
      <w:r w:rsidRPr="00C413C3">
        <w:tab/>
        <w:t>Fiche de renseignements concernant le module de gestion électronique passerelle conforme à la norme</w:t>
      </w:r>
      <w:r>
        <w:t xml:space="preserve"> </w:t>
      </w:r>
      <w:r w:rsidRPr="00C413C3">
        <w:t>ISO 11992-2 pour une remorque considérée</w:t>
      </w:r>
    </w:p>
    <w:p w14:paraId="6069AD2B" w14:textId="77777777" w:rsidR="00C065F4" w:rsidRPr="00C413C3" w:rsidRDefault="00C065F4" w:rsidP="00C065F4">
      <w:pPr>
        <w:pStyle w:val="SingleTxtG"/>
        <w:ind w:left="2268" w:hanging="1134"/>
      </w:pPr>
      <w:r w:rsidRPr="00C413C3">
        <w:t>1.</w:t>
      </w:r>
      <w:r w:rsidRPr="00C413C3">
        <w:tab/>
        <w:t>Généralités</w:t>
      </w:r>
    </w:p>
    <w:p w14:paraId="51252908" w14:textId="77777777" w:rsidR="00C065F4" w:rsidRPr="00C413C3" w:rsidRDefault="00C065F4" w:rsidP="00C065F4">
      <w:pPr>
        <w:pStyle w:val="SingleTxtG"/>
        <w:ind w:left="2268" w:hanging="1134"/>
      </w:pPr>
      <w:r w:rsidRPr="00C413C3">
        <w:t>1.1</w:t>
      </w:r>
      <w:r w:rsidRPr="00C413C3">
        <w:tab/>
        <w:t>Nom et adresse du fabricant</w:t>
      </w:r>
    </w:p>
    <w:p w14:paraId="19A3ECA7" w14:textId="77777777" w:rsidR="00C065F4" w:rsidRPr="00C413C3" w:rsidRDefault="00C065F4" w:rsidP="00C065F4">
      <w:pPr>
        <w:pStyle w:val="SingleTxtG"/>
        <w:ind w:left="2268" w:hanging="1134"/>
      </w:pPr>
      <w:r w:rsidRPr="00C413C3">
        <w:t>1.2</w:t>
      </w:r>
      <w:r w:rsidRPr="00C413C3">
        <w:tab/>
        <w:t>Nom du système</w:t>
      </w:r>
    </w:p>
    <w:p w14:paraId="40BA86DA" w14:textId="77777777" w:rsidR="00C065F4" w:rsidRPr="00C413C3" w:rsidRDefault="00C065F4" w:rsidP="00C065F4">
      <w:pPr>
        <w:pStyle w:val="SingleTxtG"/>
        <w:ind w:left="2268" w:hanging="1134"/>
      </w:pPr>
      <w:r w:rsidRPr="00C413C3">
        <w:t>1.3</w:t>
      </w:r>
      <w:r w:rsidRPr="00C413C3">
        <w:tab/>
        <w:t>Configuration du TPMS/TPRS/CTIS</w:t>
      </w:r>
      <w:r w:rsidRPr="00C413C3">
        <w:rPr>
          <w:rStyle w:val="Appelnotedebasdep"/>
        </w:rPr>
        <w:footnoteReference w:id="8"/>
      </w:r>
    </w:p>
    <w:p w14:paraId="4ED43E46" w14:textId="77777777" w:rsidR="00C065F4" w:rsidRPr="00C413C3" w:rsidRDefault="00C065F4" w:rsidP="00C065F4">
      <w:pPr>
        <w:pStyle w:val="SingleTxtG"/>
        <w:ind w:left="2268" w:hanging="1134"/>
      </w:pPr>
      <w:r w:rsidRPr="00C413C3">
        <w:t>2.</w:t>
      </w:r>
      <w:r w:rsidRPr="00C413C3">
        <w:tab/>
        <w:t>Applications</w:t>
      </w:r>
    </w:p>
    <w:p w14:paraId="3F65DE8B" w14:textId="153E5D53" w:rsidR="00C065F4" w:rsidRPr="00C413C3" w:rsidRDefault="00C065F4" w:rsidP="00C065F4">
      <w:pPr>
        <w:pStyle w:val="SingleTxtG"/>
        <w:ind w:left="2268" w:hanging="1134"/>
      </w:pPr>
      <w:r w:rsidRPr="00C413C3">
        <w:t>2.1</w:t>
      </w:r>
      <w:r w:rsidRPr="00C413C3">
        <w:tab/>
        <w:t>Configurations appliquées</w:t>
      </w:r>
      <w:r>
        <w:t> ;</w:t>
      </w:r>
      <w:r w:rsidRPr="00C413C3">
        <w:t xml:space="preserve"> par exemple, autres modules de gestion électronique connectés au même bus CAN que le module de gestion électronique du TPMS/TPRS/CTIS</w:t>
      </w:r>
    </w:p>
    <w:p w14:paraId="42174F8A" w14:textId="77777777" w:rsidR="00C065F4" w:rsidRPr="00C413C3" w:rsidRDefault="00C065F4" w:rsidP="00C065F4">
      <w:pPr>
        <w:pStyle w:val="SingleTxtG"/>
        <w:ind w:left="2268" w:hanging="1134"/>
      </w:pPr>
      <w:r w:rsidRPr="00C413C3">
        <w:t>2.2</w:t>
      </w:r>
      <w:r w:rsidRPr="00C413C3">
        <w:tab/>
        <w:t>Schémas des configurations installées sur les remorques considérées</w:t>
      </w:r>
    </w:p>
    <w:p w14:paraId="13534132" w14:textId="36A5583B" w:rsidR="00C065F4" w:rsidRPr="00C413C3" w:rsidRDefault="00C065F4" w:rsidP="00C065F4">
      <w:pPr>
        <w:pStyle w:val="SingleTxtG"/>
        <w:ind w:left="2268" w:hanging="1134"/>
      </w:pPr>
      <w:r w:rsidRPr="00C413C3">
        <w:t>2.3</w:t>
      </w:r>
      <w:r w:rsidRPr="00C413C3">
        <w:tab/>
        <w:t xml:space="preserve">Limitations (par exemple, compatibilité avec les autres systèmes connectés au bus CAN, messages et signaux de sortie requis par le TPMS pour que le véhicule satisfasse aux prescriptions de fonctionnement énoncées aux </w:t>
      </w:r>
      <w:r>
        <w:t xml:space="preserve">paragraphes </w:t>
      </w:r>
      <w:r w:rsidRPr="00C413C3">
        <w:t>5.1.2 à 5.6 du présent Règlement ainsi qu’aux prescriptions d’essai (crevaison, défaut d’étanchéité et défaut de fonctionnement) énoncées dans l’</w:t>
      </w:r>
      <w:r>
        <w:t xml:space="preserve">annexe </w:t>
      </w:r>
      <w:r w:rsidRPr="00C413C3">
        <w:t>3 de ce Règlement en ce qui concerne, par exemple, la vitesse du véhicule)</w:t>
      </w:r>
    </w:p>
    <w:p w14:paraId="7BF8C964" w14:textId="77777777" w:rsidR="00C065F4" w:rsidRPr="00C413C3" w:rsidRDefault="00C065F4" w:rsidP="00C065F4">
      <w:pPr>
        <w:pStyle w:val="SingleTxtG"/>
        <w:ind w:left="2268" w:hanging="1134"/>
      </w:pPr>
      <w:r w:rsidRPr="00C413C3">
        <w:t>2.4</w:t>
      </w:r>
      <w:r w:rsidRPr="00C413C3">
        <w:tab/>
        <w:t>Renseignements complémentaires (le cas échéant) aux données concernant l’application prévue pour le TPMS/TPRS/CTIS</w:t>
      </w:r>
    </w:p>
    <w:p w14:paraId="1253044E" w14:textId="77777777" w:rsidR="00C065F4" w:rsidRPr="00C413C3" w:rsidRDefault="00C065F4" w:rsidP="00C065F4">
      <w:pPr>
        <w:pStyle w:val="SingleTxtG"/>
        <w:ind w:left="2268" w:hanging="1134"/>
      </w:pPr>
      <w:r w:rsidRPr="00C413C3">
        <w:t>3.</w:t>
      </w:r>
      <w:r w:rsidRPr="00C413C3">
        <w:tab/>
        <w:t>Description des composants</w:t>
      </w:r>
    </w:p>
    <w:p w14:paraId="15D8EB4C" w14:textId="43D9C979" w:rsidR="00C065F4" w:rsidRPr="00C413C3" w:rsidRDefault="00C065F4" w:rsidP="00C065F4">
      <w:pPr>
        <w:pStyle w:val="SingleTxtG"/>
        <w:ind w:left="2268" w:hanging="1134"/>
      </w:pPr>
      <w:r w:rsidRPr="00C413C3">
        <w:t>3.1</w:t>
      </w:r>
      <w:r w:rsidRPr="00C413C3">
        <w:tab/>
        <w:t>Module passerelle conforme à l’</w:t>
      </w:r>
      <w:r>
        <w:t xml:space="preserve">annexe </w:t>
      </w:r>
      <w:r w:rsidRPr="00C413C3">
        <w:t>5 du présent Règlement</w:t>
      </w:r>
    </w:p>
    <w:p w14:paraId="3DC7769C" w14:textId="77777777" w:rsidR="00C065F4" w:rsidRPr="00C413C3" w:rsidRDefault="00C065F4" w:rsidP="00C065F4">
      <w:pPr>
        <w:pStyle w:val="SingleTxtG"/>
        <w:ind w:left="2835" w:hanging="567"/>
      </w:pPr>
      <w:r w:rsidRPr="00C413C3">
        <w:t>-</w:t>
      </w:r>
      <w:r w:rsidRPr="00C413C3">
        <w:tab/>
        <w:t>Identification (par exemple, numéro(s) de pièce)</w:t>
      </w:r>
    </w:p>
    <w:p w14:paraId="281E1AC3" w14:textId="77777777" w:rsidR="00C065F4" w:rsidRPr="00C413C3" w:rsidRDefault="00C065F4" w:rsidP="00C065F4">
      <w:pPr>
        <w:pStyle w:val="SingleTxtG"/>
        <w:ind w:left="2835" w:hanging="567"/>
      </w:pPr>
      <w:r w:rsidRPr="00C413C3">
        <w:t>-</w:t>
      </w:r>
      <w:r w:rsidRPr="00C413C3">
        <w:tab/>
        <w:t>Description des autres composants connectés (par exemple, sur le bus CAN)</w:t>
      </w:r>
    </w:p>
    <w:p w14:paraId="25F56762" w14:textId="77777777" w:rsidR="00C065F4" w:rsidRPr="00C413C3" w:rsidRDefault="00C065F4" w:rsidP="00C065F4">
      <w:pPr>
        <w:pStyle w:val="SingleTxtG"/>
        <w:ind w:left="2268" w:hanging="1134"/>
      </w:pPr>
      <w:r w:rsidRPr="00C413C3">
        <w:t>3.2</w:t>
      </w:r>
      <w:r w:rsidRPr="00C413C3">
        <w:tab/>
        <w:t>Équipement électrique</w:t>
      </w:r>
    </w:p>
    <w:p w14:paraId="528BEB73" w14:textId="77777777" w:rsidR="00C065F4" w:rsidRPr="00C413C3" w:rsidRDefault="00C065F4" w:rsidP="00C065F4">
      <w:pPr>
        <w:pStyle w:val="SingleTxtG"/>
        <w:ind w:left="2835" w:hanging="567"/>
      </w:pPr>
      <w:r w:rsidRPr="00C413C3">
        <w:t>-</w:t>
      </w:r>
      <w:r w:rsidRPr="00C413C3">
        <w:tab/>
        <w:t>Diagramme(s) du circuit</w:t>
      </w:r>
    </w:p>
    <w:p w14:paraId="5CD4743E" w14:textId="77777777" w:rsidR="00C065F4" w:rsidRPr="00C413C3" w:rsidRDefault="00C065F4" w:rsidP="00C065F4">
      <w:pPr>
        <w:pStyle w:val="SingleTxtG"/>
        <w:ind w:left="2835" w:hanging="567"/>
      </w:pPr>
      <w:r w:rsidRPr="00C413C3">
        <w:t>-</w:t>
      </w:r>
      <w:r w:rsidRPr="00C413C3">
        <w:tab/>
        <w:t>Méthodes d’alimentation</w:t>
      </w:r>
    </w:p>
    <w:p w14:paraId="5D7C43B7" w14:textId="24DBF270" w:rsidR="00C065F4" w:rsidRPr="00C413C3" w:rsidRDefault="00C065F4" w:rsidP="00C065F4">
      <w:pPr>
        <w:pStyle w:val="SingleTxtG"/>
        <w:ind w:left="2268" w:hanging="1134"/>
      </w:pPr>
      <w:r w:rsidRPr="00C413C3">
        <w:t>3.3</w:t>
      </w:r>
      <w:r w:rsidRPr="00C413C3">
        <w:tab/>
        <w:t>S’il y a lieu, compatibilité électromagnétique au sens du Règlement ONU n</w:t>
      </w:r>
      <w:r w:rsidRPr="00C413C3">
        <w:rPr>
          <w:vertAlign w:val="superscript"/>
        </w:rPr>
        <w:t>o</w:t>
      </w:r>
      <w:r w:rsidRPr="00C413C3">
        <w:t> 10 tel que modifié par</w:t>
      </w:r>
      <w:r>
        <w:t> :</w:t>
      </w:r>
    </w:p>
    <w:p w14:paraId="033EB17B" w14:textId="4C0FB787" w:rsidR="00C065F4" w:rsidRPr="00C413C3" w:rsidRDefault="00C065F4" w:rsidP="00C065F4">
      <w:pPr>
        <w:pStyle w:val="SingleTxtG"/>
        <w:ind w:left="2835" w:hanging="567"/>
      </w:pPr>
      <w:r w:rsidRPr="00C413C3">
        <w:t>a)</w:t>
      </w:r>
      <w:r w:rsidRPr="00C413C3">
        <w:tab/>
        <w:t xml:space="preserve">La </w:t>
      </w:r>
      <w:r>
        <w:t xml:space="preserve">série </w:t>
      </w:r>
      <w:r w:rsidRPr="00C413C3">
        <w:t>03 d’amendements pour les véhicules dépourvus de système de raccordement pour la recharge du système rechargeable de stockage de l’énergie électrique (batteries de traction)</w:t>
      </w:r>
      <w:r>
        <w:t> ;</w:t>
      </w:r>
    </w:p>
    <w:p w14:paraId="172B61AD" w14:textId="1C3CA7F8" w:rsidR="00C065F4" w:rsidRPr="00C413C3" w:rsidRDefault="00C065F4" w:rsidP="00C065F4">
      <w:pPr>
        <w:pStyle w:val="SingleTxtG"/>
        <w:ind w:left="2835" w:hanging="567"/>
      </w:pPr>
      <w:r w:rsidRPr="00C413C3">
        <w:t>b)</w:t>
      </w:r>
      <w:r w:rsidRPr="00C413C3">
        <w:tab/>
        <w:t xml:space="preserve">La </w:t>
      </w:r>
      <w:r>
        <w:t xml:space="preserve">série </w:t>
      </w:r>
      <w:r w:rsidRPr="00C413C3">
        <w:t>06 d’amendements pour les véhicules équipés d’un système de raccordement pour la recharge du système rechargeable de stockage de l’énergie électrique (batteries de traction).</w:t>
      </w:r>
    </w:p>
    <w:p w14:paraId="764EE0D8" w14:textId="77777777" w:rsidR="00C065F4" w:rsidRPr="00C413C3" w:rsidRDefault="00C065F4" w:rsidP="00C065F4">
      <w:pPr>
        <w:pStyle w:val="SingleTxtG"/>
        <w:ind w:left="2268" w:hanging="1134"/>
      </w:pPr>
      <w:r w:rsidRPr="00C413C3">
        <w:t>3.4</w:t>
      </w:r>
      <w:r w:rsidRPr="00C413C3">
        <w:tab/>
        <w:t>Renseignements complémentaires (le cas échéant) à la description des composants du TPMS/TPRS/CTIS. ».</w:t>
      </w:r>
    </w:p>
    <w:p w14:paraId="6CC3ED90" w14:textId="2737A072" w:rsidR="00F9573C" w:rsidRPr="00C065F4" w:rsidRDefault="00C065F4" w:rsidP="00C065F4">
      <w:pPr>
        <w:pStyle w:val="SingleTxtG"/>
        <w:spacing w:before="240" w:after="0"/>
        <w:jc w:val="center"/>
        <w:rPr>
          <w:u w:val="single"/>
        </w:rPr>
      </w:pPr>
      <w:r>
        <w:rPr>
          <w:u w:val="single"/>
        </w:rPr>
        <w:tab/>
      </w:r>
      <w:r>
        <w:rPr>
          <w:u w:val="single"/>
        </w:rPr>
        <w:tab/>
      </w:r>
      <w:r>
        <w:rPr>
          <w:u w:val="single"/>
        </w:rPr>
        <w:tab/>
      </w:r>
      <w:r w:rsidR="001C4C72">
        <w:rPr>
          <w:u w:val="single"/>
        </w:rPr>
        <w:tab/>
      </w:r>
    </w:p>
    <w:sectPr w:rsidR="00F9573C" w:rsidRPr="00C065F4" w:rsidSect="00C065F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A6ACF" w14:textId="77777777" w:rsidR="00C065F4" w:rsidRDefault="00C065F4" w:rsidP="00F95C08">
      <w:pPr>
        <w:spacing w:line="240" w:lineRule="auto"/>
      </w:pPr>
    </w:p>
  </w:endnote>
  <w:endnote w:type="continuationSeparator" w:id="0">
    <w:p w14:paraId="6F01B9C1" w14:textId="77777777" w:rsidR="00C065F4" w:rsidRPr="00AC3823" w:rsidRDefault="00C065F4" w:rsidP="00AC3823">
      <w:pPr>
        <w:pStyle w:val="Pieddepage"/>
      </w:pPr>
    </w:p>
  </w:endnote>
  <w:endnote w:type="continuationNotice" w:id="1">
    <w:p w14:paraId="27C96C7C" w14:textId="77777777" w:rsidR="00C065F4" w:rsidRDefault="00C065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Gra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68FE2" w14:textId="313350DA" w:rsidR="00C065F4" w:rsidRPr="00C065F4" w:rsidRDefault="00C065F4" w:rsidP="00C065F4">
    <w:pPr>
      <w:pStyle w:val="Pieddepage"/>
      <w:tabs>
        <w:tab w:val="right" w:pos="9638"/>
      </w:tabs>
    </w:pPr>
    <w:r w:rsidRPr="00C065F4">
      <w:rPr>
        <w:b/>
        <w:sz w:val="18"/>
      </w:rPr>
      <w:fldChar w:fldCharType="begin"/>
    </w:r>
    <w:r w:rsidRPr="00C065F4">
      <w:rPr>
        <w:b/>
        <w:sz w:val="18"/>
      </w:rPr>
      <w:instrText xml:space="preserve"> PAGE  \* MERGEFORMAT </w:instrText>
    </w:r>
    <w:r w:rsidRPr="00C065F4">
      <w:rPr>
        <w:b/>
        <w:sz w:val="18"/>
      </w:rPr>
      <w:fldChar w:fldCharType="separate"/>
    </w:r>
    <w:r w:rsidRPr="00C065F4">
      <w:rPr>
        <w:b/>
        <w:noProof/>
        <w:sz w:val="18"/>
      </w:rPr>
      <w:t>2</w:t>
    </w:r>
    <w:r w:rsidRPr="00C065F4">
      <w:rPr>
        <w:b/>
        <w:sz w:val="18"/>
      </w:rPr>
      <w:fldChar w:fldCharType="end"/>
    </w:r>
    <w:r>
      <w:rPr>
        <w:b/>
        <w:sz w:val="18"/>
      </w:rPr>
      <w:tab/>
    </w:r>
    <w:r>
      <w:t>GE.21-18960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744E" w14:textId="0693E38D" w:rsidR="00C065F4" w:rsidRPr="00C065F4" w:rsidRDefault="00C065F4" w:rsidP="00C065F4">
    <w:pPr>
      <w:pStyle w:val="Pieddepage"/>
      <w:tabs>
        <w:tab w:val="right" w:pos="9638"/>
      </w:tabs>
      <w:rPr>
        <w:b/>
        <w:sz w:val="18"/>
      </w:rPr>
    </w:pPr>
    <w:r>
      <w:t>GE.21-18960</w:t>
    </w:r>
    <w:r>
      <w:tab/>
    </w:r>
    <w:r w:rsidRPr="00C065F4">
      <w:rPr>
        <w:b/>
        <w:sz w:val="18"/>
      </w:rPr>
      <w:fldChar w:fldCharType="begin"/>
    </w:r>
    <w:r w:rsidRPr="00C065F4">
      <w:rPr>
        <w:b/>
        <w:sz w:val="18"/>
      </w:rPr>
      <w:instrText xml:space="preserve"> PAGE  \* MERGEFORMAT </w:instrText>
    </w:r>
    <w:r w:rsidRPr="00C065F4">
      <w:rPr>
        <w:b/>
        <w:sz w:val="18"/>
      </w:rPr>
      <w:fldChar w:fldCharType="separate"/>
    </w:r>
    <w:r w:rsidRPr="00C065F4">
      <w:rPr>
        <w:b/>
        <w:noProof/>
        <w:sz w:val="18"/>
      </w:rPr>
      <w:t>3</w:t>
    </w:r>
    <w:r w:rsidRPr="00C065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C5CFF" w14:textId="0DA9AB39" w:rsidR="00C065F4" w:rsidRPr="00C065F4" w:rsidRDefault="00C065F4" w:rsidP="00C065F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67ACCC0" wp14:editId="60FBA6D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21-18960  (F)</w:t>
    </w:r>
    <w:r>
      <w:rPr>
        <w:noProof/>
        <w:sz w:val="20"/>
      </w:rPr>
      <w:drawing>
        <wp:anchor distT="0" distB="0" distL="114300" distR="114300" simplePos="0" relativeHeight="251660288" behindDoc="0" locked="0" layoutInCell="1" allowOverlap="1" wp14:anchorId="69E2FB00" wp14:editId="4731770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100122    100122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26A60" w14:textId="77777777" w:rsidR="00C065F4" w:rsidRPr="00AC3823" w:rsidRDefault="00C065F4" w:rsidP="00AC3823">
      <w:pPr>
        <w:pStyle w:val="Pieddepage"/>
        <w:tabs>
          <w:tab w:val="right" w:pos="2155"/>
        </w:tabs>
        <w:spacing w:after="80" w:line="240" w:lineRule="atLeast"/>
        <w:ind w:left="680"/>
        <w:rPr>
          <w:u w:val="single"/>
        </w:rPr>
      </w:pPr>
      <w:r>
        <w:rPr>
          <w:u w:val="single"/>
        </w:rPr>
        <w:tab/>
      </w:r>
    </w:p>
  </w:footnote>
  <w:footnote w:type="continuationSeparator" w:id="0">
    <w:p w14:paraId="3E074141" w14:textId="77777777" w:rsidR="00C065F4" w:rsidRPr="00AC3823" w:rsidRDefault="00C065F4" w:rsidP="00AC3823">
      <w:pPr>
        <w:pStyle w:val="Pieddepage"/>
        <w:tabs>
          <w:tab w:val="right" w:pos="2155"/>
        </w:tabs>
        <w:spacing w:after="80" w:line="240" w:lineRule="atLeast"/>
        <w:ind w:left="680"/>
        <w:rPr>
          <w:u w:val="single"/>
        </w:rPr>
      </w:pPr>
      <w:r>
        <w:rPr>
          <w:u w:val="single"/>
        </w:rPr>
        <w:tab/>
      </w:r>
    </w:p>
  </w:footnote>
  <w:footnote w:type="continuationNotice" w:id="1">
    <w:p w14:paraId="5BCDA7E7" w14:textId="77777777" w:rsidR="00C065F4" w:rsidRPr="00AC3823" w:rsidRDefault="00C065F4">
      <w:pPr>
        <w:spacing w:line="240" w:lineRule="auto"/>
        <w:rPr>
          <w:sz w:val="2"/>
          <w:szCs w:val="2"/>
        </w:rPr>
      </w:pPr>
    </w:p>
  </w:footnote>
  <w:footnote w:id="2">
    <w:p w14:paraId="4B14BBC0" w14:textId="1C68C8E6" w:rsidR="00C065F4" w:rsidRPr="00C413C3" w:rsidRDefault="00C065F4" w:rsidP="00C065F4">
      <w:pPr>
        <w:pStyle w:val="Notedebasdepage"/>
      </w:pPr>
      <w:r w:rsidRPr="00943541">
        <w:rPr>
          <w:sz w:val="20"/>
        </w:rPr>
        <w:tab/>
        <w:t>*</w:t>
      </w:r>
      <w:r w:rsidRPr="00943541">
        <w:rPr>
          <w:sz w:val="20"/>
        </w:rPr>
        <w:tab/>
      </w:r>
      <w:r w:rsidRPr="00C413C3">
        <w:t>Conformément au programme de travail du Comité des transports intérieurs pour 2022 tel qu</w:t>
      </w:r>
      <w:r>
        <w:t>’</w:t>
      </w:r>
      <w:r w:rsidRPr="00C413C3">
        <w:t>il figure dans le projet de budget-programme pour 2022 (A/76/6 (titre</w:t>
      </w:r>
      <w:r w:rsidR="00943541">
        <w:t> </w:t>
      </w:r>
      <w:r w:rsidRPr="00C413C3">
        <w:t>V, chap.</w:t>
      </w:r>
      <w:r w:rsidR="00943541">
        <w:t> </w:t>
      </w:r>
      <w:r w:rsidRPr="00C413C3">
        <w:t>20), par.</w:t>
      </w:r>
      <w:r w:rsidR="00943541">
        <w:t> </w:t>
      </w:r>
      <w:r w:rsidRPr="00C413C3">
        <w:t>20,76), le Forum mondial a pour mission d</w:t>
      </w:r>
      <w:r>
        <w:t>’</w:t>
      </w:r>
      <w:r w:rsidRPr="00C413C3">
        <w:t>élaborer, d</w:t>
      </w:r>
      <w:r>
        <w:t>’</w:t>
      </w:r>
      <w:r w:rsidRPr="00C413C3">
        <w:t>harmoniser et de mettre à jour les Règlements ONU en vue d</w:t>
      </w:r>
      <w:r>
        <w:t>’</w:t>
      </w:r>
      <w:r w:rsidRPr="00C413C3">
        <w:t>améliorer les caractéristiques fonctionnelles des véhicules. Le présent document est soumis en vertu de ce mandat.</w:t>
      </w:r>
    </w:p>
  </w:footnote>
  <w:footnote w:id="3">
    <w:p w14:paraId="6B7D1C2F" w14:textId="2151F298" w:rsidR="00C065F4" w:rsidRPr="00C413C3" w:rsidRDefault="00C065F4" w:rsidP="00C065F4">
      <w:pPr>
        <w:pStyle w:val="Notedebasdepage"/>
      </w:pPr>
      <w:r w:rsidRPr="00943541">
        <w:tab/>
      </w:r>
      <w:r w:rsidRPr="00943541">
        <w:rPr>
          <w:sz w:val="20"/>
        </w:rPr>
        <w:t>**</w:t>
      </w:r>
      <w:r w:rsidRPr="00943541">
        <w:tab/>
      </w:r>
      <w:r w:rsidRPr="00C413C3">
        <w:t>Les numéros des pages seront précisés ultérieurement (</w:t>
      </w:r>
      <w:r w:rsidRPr="00C413C3">
        <w:rPr>
          <w:i/>
          <w:iCs/>
        </w:rPr>
        <w:t>note du secrétariat</w:t>
      </w:r>
      <w:r w:rsidRPr="00C413C3">
        <w:t>).</w:t>
      </w:r>
    </w:p>
  </w:footnote>
  <w:footnote w:id="4">
    <w:p w14:paraId="39AF1D34" w14:textId="77777777" w:rsidR="00C065F4" w:rsidRPr="00C413C3" w:rsidRDefault="00C065F4" w:rsidP="00C065F4">
      <w:pPr>
        <w:pStyle w:val="Notedebasdepage"/>
      </w:pPr>
      <w:r w:rsidRPr="00C413C3">
        <w:tab/>
      </w:r>
      <w:r w:rsidRPr="00C413C3">
        <w:rPr>
          <w:rStyle w:val="Appelnotedebasdep"/>
        </w:rPr>
        <w:footnoteRef/>
      </w:r>
      <w:r w:rsidRPr="00C413C3">
        <w:tab/>
        <w:t>Biffer les mentions inutiles.</w:t>
      </w:r>
    </w:p>
  </w:footnote>
  <w:footnote w:id="5">
    <w:p w14:paraId="0E001D8C" w14:textId="77777777" w:rsidR="00C065F4" w:rsidRPr="00C413C3" w:rsidRDefault="00C065F4" w:rsidP="00C065F4">
      <w:pPr>
        <w:pStyle w:val="Notedebasdepage"/>
      </w:pPr>
      <w:r w:rsidRPr="00C413C3">
        <w:tab/>
      </w:r>
      <w:r w:rsidRPr="00C413C3">
        <w:rPr>
          <w:rStyle w:val="Appelnotedebasdep"/>
        </w:rPr>
        <w:footnoteRef/>
      </w:r>
      <w:r w:rsidRPr="00C413C3">
        <w:tab/>
        <w:t>Biffer les mentions inutiles.</w:t>
      </w:r>
    </w:p>
  </w:footnote>
  <w:footnote w:id="6">
    <w:p w14:paraId="357A4C8A" w14:textId="77777777" w:rsidR="00C065F4" w:rsidRPr="00C413C3" w:rsidRDefault="00C065F4" w:rsidP="00C065F4">
      <w:pPr>
        <w:pStyle w:val="Notedebasdepage"/>
      </w:pPr>
      <w:r w:rsidRPr="00C413C3">
        <w:tab/>
      </w:r>
      <w:r w:rsidRPr="00C413C3">
        <w:rPr>
          <w:rStyle w:val="Appelnotedebasdep"/>
        </w:rPr>
        <w:footnoteRef/>
      </w:r>
      <w:r w:rsidRPr="00C413C3">
        <w:tab/>
        <w:t>La remorque de référence peut provenir d</w:t>
      </w:r>
      <w:r>
        <w:t>’</w:t>
      </w:r>
      <w:r w:rsidRPr="00C413C3">
        <w:t>un autre fabricant.</w:t>
      </w:r>
    </w:p>
  </w:footnote>
  <w:footnote w:id="7">
    <w:p w14:paraId="2FD72B51" w14:textId="77777777" w:rsidR="00C065F4" w:rsidRPr="00C413C3" w:rsidRDefault="00C065F4" w:rsidP="00C065F4">
      <w:pPr>
        <w:pStyle w:val="Notedebasdepage"/>
      </w:pPr>
      <w:r w:rsidRPr="00C413C3">
        <w:tab/>
      </w:r>
      <w:r w:rsidRPr="00C413C3">
        <w:rPr>
          <w:rStyle w:val="Appelnotedebasdep"/>
        </w:rPr>
        <w:footnoteRef/>
      </w:r>
      <w:r w:rsidRPr="00C413C3">
        <w:tab/>
        <w:t>Biffer les mentions inutiles.</w:t>
      </w:r>
    </w:p>
  </w:footnote>
  <w:footnote w:id="8">
    <w:p w14:paraId="6CA58C74" w14:textId="77777777" w:rsidR="00C065F4" w:rsidRPr="00C413C3" w:rsidRDefault="00C065F4" w:rsidP="00C065F4">
      <w:pPr>
        <w:pStyle w:val="Notedebasdepage"/>
      </w:pPr>
      <w:r w:rsidRPr="00C413C3">
        <w:tab/>
      </w:r>
      <w:r w:rsidRPr="00C413C3">
        <w:rPr>
          <w:rStyle w:val="Appelnotedebasdep"/>
        </w:rPr>
        <w:footnoteRef/>
      </w:r>
      <w:r w:rsidRPr="00C413C3">
        <w:tab/>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17403" w14:textId="11B91E00" w:rsidR="00C065F4" w:rsidRPr="00C065F4" w:rsidRDefault="00C065F4">
    <w:pPr>
      <w:pStyle w:val="En-tte"/>
    </w:pPr>
    <w:fldSimple w:instr=" TITLE  \* MERGEFORMAT ">
      <w:r>
        <w:t>ECE/TRANS/WP.29/2022/9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DB821" w14:textId="57A3595A" w:rsidR="00C065F4" w:rsidRPr="00C065F4" w:rsidRDefault="00C065F4" w:rsidP="00C065F4">
    <w:pPr>
      <w:pStyle w:val="En-tte"/>
      <w:jc w:val="right"/>
    </w:pPr>
    <w:fldSimple w:instr=" TITLE  \* MERGEFORMAT ">
      <w:r>
        <w:t>ECE/TRANS/WP.29/2022/9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B7D3CD0"/>
    <w:multiLevelType w:val="hybridMultilevel"/>
    <w:tmpl w:val="5C246C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AD"/>
    <w:rsid w:val="00017F94"/>
    <w:rsid w:val="00023842"/>
    <w:rsid w:val="000334F9"/>
    <w:rsid w:val="00045FEB"/>
    <w:rsid w:val="0007796D"/>
    <w:rsid w:val="000B7790"/>
    <w:rsid w:val="00111F2F"/>
    <w:rsid w:val="0014365E"/>
    <w:rsid w:val="00143C66"/>
    <w:rsid w:val="00176178"/>
    <w:rsid w:val="001C4C72"/>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B0026"/>
    <w:rsid w:val="005E24D6"/>
    <w:rsid w:val="005F2CE4"/>
    <w:rsid w:val="0071601D"/>
    <w:rsid w:val="007A62E6"/>
    <w:rsid w:val="007F20FA"/>
    <w:rsid w:val="0080684C"/>
    <w:rsid w:val="00846228"/>
    <w:rsid w:val="00871C75"/>
    <w:rsid w:val="008776DC"/>
    <w:rsid w:val="008D5EF9"/>
    <w:rsid w:val="00943541"/>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065F4"/>
    <w:rsid w:val="00C97039"/>
    <w:rsid w:val="00D3439C"/>
    <w:rsid w:val="00D7622E"/>
    <w:rsid w:val="00DB1831"/>
    <w:rsid w:val="00DD3BFD"/>
    <w:rsid w:val="00DF6678"/>
    <w:rsid w:val="00E00AAD"/>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FBFED9"/>
  <w15:docId w15:val="{D7FAA871-98C4-4EA2-A2DF-B7E2705B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87095-D8C0-455E-9968-F0EE1F0E8ADE}"/>
</file>

<file path=customXml/itemProps2.xml><?xml version="1.0" encoding="utf-8"?>
<ds:datastoreItem xmlns:ds="http://schemas.openxmlformats.org/officeDocument/2006/customXml" ds:itemID="{52D61EC1-0FA1-4202-BE9F-F3314D011C9D}"/>
</file>

<file path=customXml/itemProps3.xml><?xml version="1.0" encoding="utf-8"?>
<ds:datastoreItem xmlns:ds="http://schemas.openxmlformats.org/officeDocument/2006/customXml" ds:itemID="{FD4C8870-DDD1-4F7E-81BB-B959A0CF2077}"/>
</file>

<file path=docProps/app.xml><?xml version="1.0" encoding="utf-8"?>
<Properties xmlns="http://schemas.openxmlformats.org/officeDocument/2006/extended-properties" xmlns:vt="http://schemas.openxmlformats.org/officeDocument/2006/docPropsVTypes">
  <Template>ECE_TRANS.dotm</Template>
  <TotalTime>26</TotalTime>
  <Pages>15</Pages>
  <Words>3251</Words>
  <Characters>22762</Characters>
  <Application>Microsoft Office Word</Application>
  <DocSecurity>0</DocSecurity>
  <Lines>1896</Lines>
  <Paragraphs>1040</Paragraphs>
  <ScaleCrop>false</ScaleCrop>
  <HeadingPairs>
    <vt:vector size="2" baseType="variant">
      <vt:variant>
        <vt:lpstr>Titre</vt:lpstr>
      </vt:variant>
      <vt:variant>
        <vt:i4>1</vt:i4>
      </vt:variant>
    </vt:vector>
  </HeadingPairs>
  <TitlesOfParts>
    <vt:vector size="1" baseType="lpstr">
      <vt:lpstr>ECE/TRANS/WP.29/2022/9</vt:lpstr>
    </vt:vector>
  </TitlesOfParts>
  <Company>DCM</Company>
  <LinksUpToDate>false</LinksUpToDate>
  <CharactersWithSpaces>24973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dc:title>
  <dc:subject/>
  <dc:creator>Nicolas MORIN</dc:creator>
  <cp:keywords/>
  <cp:lastModifiedBy>Nicolas Morin</cp:lastModifiedBy>
  <cp:revision>2</cp:revision>
  <cp:lastPrinted>2014-05-14T10:59:00Z</cp:lastPrinted>
  <dcterms:created xsi:type="dcterms:W3CDTF">2022-01-10T10:09:00Z</dcterms:created>
  <dcterms:modified xsi:type="dcterms:W3CDTF">2022-01-10T10:09:00Z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