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2D84288" w14:textId="77777777" w:rsidTr="00C97039">
        <w:trPr>
          <w:trHeight w:hRule="exact" w:val="851"/>
        </w:trPr>
        <w:tc>
          <w:tcPr>
            <w:tcW w:w="1276" w:type="dxa"/>
            <w:tcBorders>
              <w:bottom w:val="single" w:sz="4" w:space="0" w:color="auto"/>
            </w:tcBorders>
          </w:tcPr>
          <w:p w14:paraId="3FC59440" w14:textId="77777777" w:rsidR="00F35BAF" w:rsidRPr="00DB58B5" w:rsidRDefault="00F35BAF" w:rsidP="009437E8"/>
        </w:tc>
        <w:tc>
          <w:tcPr>
            <w:tcW w:w="2268" w:type="dxa"/>
            <w:tcBorders>
              <w:bottom w:val="single" w:sz="4" w:space="0" w:color="auto"/>
            </w:tcBorders>
            <w:vAlign w:val="bottom"/>
          </w:tcPr>
          <w:p w14:paraId="19D5405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11B1A1" w14:textId="565BB497" w:rsidR="00F35BAF" w:rsidRPr="00DB58B5" w:rsidRDefault="009437E8" w:rsidP="009437E8">
            <w:pPr>
              <w:jc w:val="right"/>
            </w:pPr>
            <w:r w:rsidRPr="009437E8">
              <w:rPr>
                <w:sz w:val="40"/>
              </w:rPr>
              <w:t>ECE</w:t>
            </w:r>
            <w:r>
              <w:t>/TRANS/WP.29/2022/37</w:t>
            </w:r>
          </w:p>
        </w:tc>
      </w:tr>
      <w:tr w:rsidR="00F35BAF" w:rsidRPr="00DB58B5" w14:paraId="73E37EA8" w14:textId="77777777" w:rsidTr="00C97039">
        <w:trPr>
          <w:trHeight w:hRule="exact" w:val="2835"/>
        </w:trPr>
        <w:tc>
          <w:tcPr>
            <w:tcW w:w="1276" w:type="dxa"/>
            <w:tcBorders>
              <w:top w:val="single" w:sz="4" w:space="0" w:color="auto"/>
              <w:bottom w:val="single" w:sz="12" w:space="0" w:color="auto"/>
            </w:tcBorders>
          </w:tcPr>
          <w:p w14:paraId="2D7D3B77" w14:textId="77777777" w:rsidR="00F35BAF" w:rsidRPr="00DB58B5" w:rsidRDefault="00F35BAF" w:rsidP="00C97039">
            <w:pPr>
              <w:spacing w:before="120"/>
              <w:jc w:val="center"/>
            </w:pPr>
            <w:r>
              <w:rPr>
                <w:noProof/>
                <w:lang w:eastAsia="fr-CH"/>
              </w:rPr>
              <w:drawing>
                <wp:inline distT="0" distB="0" distL="0" distR="0" wp14:anchorId="21C8C0D8" wp14:editId="2D9AF49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5F18D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B1A0242" w14:textId="77777777" w:rsidR="00F35BAF" w:rsidRDefault="009437E8" w:rsidP="00C97039">
            <w:pPr>
              <w:spacing w:before="240"/>
            </w:pPr>
            <w:r>
              <w:t>Distr. générale</w:t>
            </w:r>
          </w:p>
          <w:p w14:paraId="5ECB31AB" w14:textId="77777777" w:rsidR="009437E8" w:rsidRDefault="009437E8" w:rsidP="009437E8">
            <w:pPr>
              <w:spacing w:line="240" w:lineRule="exact"/>
            </w:pPr>
            <w:r>
              <w:t>27 décembre 2021</w:t>
            </w:r>
          </w:p>
          <w:p w14:paraId="3B458046" w14:textId="77777777" w:rsidR="009437E8" w:rsidRDefault="009437E8" w:rsidP="009437E8">
            <w:pPr>
              <w:spacing w:line="240" w:lineRule="exact"/>
            </w:pPr>
            <w:r>
              <w:t>Français</w:t>
            </w:r>
          </w:p>
          <w:p w14:paraId="33483344" w14:textId="41B5AD70" w:rsidR="009437E8" w:rsidRPr="00DB58B5" w:rsidRDefault="009437E8" w:rsidP="009437E8">
            <w:pPr>
              <w:spacing w:line="240" w:lineRule="exact"/>
            </w:pPr>
            <w:r>
              <w:t>Original : anglais</w:t>
            </w:r>
          </w:p>
        </w:tc>
      </w:tr>
    </w:tbl>
    <w:p w14:paraId="797EF3C1" w14:textId="77777777" w:rsidR="007F20FA" w:rsidRPr="000312C0" w:rsidRDefault="007F20FA" w:rsidP="007F20FA">
      <w:pPr>
        <w:spacing w:before="120"/>
        <w:rPr>
          <w:b/>
          <w:sz w:val="28"/>
          <w:szCs w:val="28"/>
        </w:rPr>
      </w:pPr>
      <w:r w:rsidRPr="000312C0">
        <w:rPr>
          <w:b/>
          <w:sz w:val="28"/>
          <w:szCs w:val="28"/>
        </w:rPr>
        <w:t>Commission économique pour l’Europe</w:t>
      </w:r>
    </w:p>
    <w:p w14:paraId="165A35B7" w14:textId="77777777" w:rsidR="007F20FA" w:rsidRDefault="007F20FA" w:rsidP="007F20FA">
      <w:pPr>
        <w:spacing w:before="120"/>
        <w:rPr>
          <w:sz w:val="28"/>
          <w:szCs w:val="28"/>
        </w:rPr>
      </w:pPr>
      <w:r w:rsidRPr="00685843">
        <w:rPr>
          <w:sz w:val="28"/>
          <w:szCs w:val="28"/>
        </w:rPr>
        <w:t>Comité des transports intérieurs</w:t>
      </w:r>
    </w:p>
    <w:p w14:paraId="48D16D85" w14:textId="43051EC6" w:rsidR="009437E8" w:rsidRPr="009437E8" w:rsidRDefault="009437E8" w:rsidP="00EF5DC4">
      <w:pPr>
        <w:spacing w:before="120"/>
        <w:rPr>
          <w:b/>
          <w:sz w:val="24"/>
          <w:szCs w:val="24"/>
        </w:rPr>
      </w:pPr>
      <w:r w:rsidRPr="009437E8">
        <w:rPr>
          <w:b/>
          <w:sz w:val="24"/>
          <w:szCs w:val="24"/>
        </w:rPr>
        <w:t xml:space="preserve">Forum mondial de l’harmonisation </w:t>
      </w:r>
      <w:r w:rsidR="001D3B66">
        <w:rPr>
          <w:b/>
          <w:sz w:val="24"/>
          <w:szCs w:val="24"/>
        </w:rPr>
        <w:br/>
      </w:r>
      <w:r w:rsidRPr="009437E8">
        <w:rPr>
          <w:b/>
          <w:sz w:val="24"/>
          <w:szCs w:val="24"/>
        </w:rPr>
        <w:t>des Règlements concernant les véhicules</w:t>
      </w:r>
    </w:p>
    <w:p w14:paraId="25636DD2" w14:textId="77777777" w:rsidR="009437E8" w:rsidRPr="009437E8" w:rsidRDefault="009437E8" w:rsidP="001D3B66">
      <w:pPr>
        <w:spacing w:before="120"/>
        <w:rPr>
          <w:b/>
        </w:rPr>
      </w:pPr>
      <w:r w:rsidRPr="009437E8">
        <w:rPr>
          <w:b/>
        </w:rPr>
        <w:t>186</w:t>
      </w:r>
      <w:r w:rsidRPr="009437E8">
        <w:rPr>
          <w:b/>
          <w:vertAlign w:val="superscript"/>
        </w:rPr>
        <w:t>e</w:t>
      </w:r>
      <w:r w:rsidRPr="009437E8">
        <w:rPr>
          <w:b/>
        </w:rPr>
        <w:t xml:space="preserve"> session</w:t>
      </w:r>
    </w:p>
    <w:p w14:paraId="7278D758" w14:textId="77777777" w:rsidR="009437E8" w:rsidRPr="009437E8" w:rsidRDefault="009437E8" w:rsidP="009437E8">
      <w:r w:rsidRPr="009437E8">
        <w:t>Genève, 8-11 mars 2022</w:t>
      </w:r>
    </w:p>
    <w:p w14:paraId="20EA44CE" w14:textId="77777777" w:rsidR="009437E8" w:rsidRPr="009437E8" w:rsidRDefault="009437E8" w:rsidP="009437E8">
      <w:r w:rsidRPr="009437E8">
        <w:t>Point 4.9.5 de l’ordre du jour provisoire</w:t>
      </w:r>
    </w:p>
    <w:p w14:paraId="565E53CC" w14:textId="77777777" w:rsidR="009437E8" w:rsidRPr="009437E8" w:rsidRDefault="009437E8" w:rsidP="009437E8">
      <w:pPr>
        <w:rPr>
          <w:b/>
          <w:bCs/>
          <w:lang w:val="fr-FR"/>
        </w:rPr>
      </w:pPr>
      <w:r w:rsidRPr="009437E8">
        <w:rPr>
          <w:b/>
          <w:bCs/>
          <w:lang w:val="fr-FR"/>
        </w:rPr>
        <w:t>Accord de 1958 :</w:t>
      </w:r>
    </w:p>
    <w:p w14:paraId="7BC1A574" w14:textId="62166F1E" w:rsidR="009437E8" w:rsidRPr="009437E8" w:rsidRDefault="009437E8" w:rsidP="009437E8">
      <w:pPr>
        <w:rPr>
          <w:b/>
          <w:bCs/>
        </w:rPr>
      </w:pPr>
      <w:r w:rsidRPr="009437E8">
        <w:rPr>
          <w:b/>
          <w:bCs/>
        </w:rPr>
        <w:t xml:space="preserve">Examen de projets d’amendements à des Règlements ONU </w:t>
      </w:r>
      <w:r w:rsidR="001D3B66">
        <w:rPr>
          <w:b/>
          <w:bCs/>
        </w:rPr>
        <w:br/>
      </w:r>
      <w:r w:rsidRPr="009437E8">
        <w:rPr>
          <w:b/>
          <w:bCs/>
        </w:rPr>
        <w:t>existants, soumis par le GRE</w:t>
      </w:r>
    </w:p>
    <w:p w14:paraId="4EF54601" w14:textId="169CD410" w:rsidR="009437E8" w:rsidRPr="009437E8" w:rsidRDefault="009437E8" w:rsidP="001D3B66">
      <w:pPr>
        <w:pStyle w:val="HChG"/>
      </w:pPr>
      <w:r w:rsidRPr="009437E8">
        <w:rPr>
          <w:lang w:val="fr-FR"/>
        </w:rPr>
        <w:tab/>
      </w:r>
      <w:r w:rsidRPr="009437E8">
        <w:rPr>
          <w:lang w:val="fr-FR"/>
        </w:rPr>
        <w:tab/>
        <w:t>Proposition de complément 4 à la série d’amendements originale au Règlement ONU n</w:t>
      </w:r>
      <w:r w:rsidRPr="009437E8">
        <w:rPr>
          <w:vertAlign w:val="superscript"/>
          <w:lang w:val="fr-FR"/>
        </w:rPr>
        <w:t>o</w:t>
      </w:r>
      <w:r w:rsidRPr="009437E8">
        <w:rPr>
          <w:lang w:val="fr-FR"/>
        </w:rPr>
        <w:t xml:space="preserve"> 148 (Dispositifs </w:t>
      </w:r>
      <w:r w:rsidR="001D3B66">
        <w:rPr>
          <w:lang w:val="fr-FR"/>
        </w:rPr>
        <w:br/>
      </w:r>
      <w:r w:rsidRPr="009437E8">
        <w:rPr>
          <w:lang w:val="fr-FR"/>
        </w:rPr>
        <w:t>de signalisation lumineuse)</w:t>
      </w:r>
    </w:p>
    <w:p w14:paraId="328B7FBD" w14:textId="61AA7E99" w:rsidR="009437E8" w:rsidRPr="009437E8" w:rsidRDefault="009437E8" w:rsidP="001D3B66">
      <w:pPr>
        <w:pStyle w:val="H1G"/>
        <w:rPr>
          <w:szCs w:val="24"/>
        </w:rPr>
      </w:pPr>
      <w:r w:rsidRPr="009437E8">
        <w:rPr>
          <w:lang w:val="fr-FR"/>
        </w:rPr>
        <w:tab/>
      </w:r>
      <w:r w:rsidRPr="009437E8">
        <w:rPr>
          <w:lang w:val="fr-FR"/>
        </w:rPr>
        <w:tab/>
        <w:t xml:space="preserve">Communication du Groupe de travail de l’éclairage </w:t>
      </w:r>
      <w:r w:rsidR="001D3B66">
        <w:rPr>
          <w:lang w:val="fr-FR"/>
        </w:rPr>
        <w:br/>
      </w:r>
      <w:r w:rsidRPr="009437E8">
        <w:rPr>
          <w:lang w:val="fr-FR"/>
        </w:rPr>
        <w:t>et de la signalisation lumineuse</w:t>
      </w:r>
      <w:r w:rsidR="001D3B66" w:rsidRPr="001D3B66">
        <w:rPr>
          <w:rStyle w:val="Appelnotedebasdep"/>
          <w:b w:val="0"/>
          <w:bCs/>
          <w:sz w:val="20"/>
          <w:vertAlign w:val="baseline"/>
        </w:rPr>
        <w:footnoteReference w:customMarkFollows="1" w:id="2"/>
        <w:t>*</w:t>
      </w:r>
    </w:p>
    <w:p w14:paraId="2CB0344D" w14:textId="77777777" w:rsidR="009437E8" w:rsidRPr="009437E8" w:rsidRDefault="009437E8" w:rsidP="001D3B66">
      <w:pPr>
        <w:pStyle w:val="SingleTxtG"/>
        <w:ind w:firstLine="567"/>
        <w:rPr>
          <w:sz w:val="28"/>
          <w:szCs w:val="28"/>
        </w:rPr>
      </w:pPr>
      <w:r w:rsidRPr="009437E8">
        <w:rPr>
          <w:lang w:val="fr-FR"/>
        </w:rPr>
        <w:t>Le texte ci-après, adopté par le Groupe de travail de l’éclairage et de la signalisation lumineuse à sa quatre-vingt-cinquième session (ECE/TRANS/WP.29/GRE/85, par. 8), est fondé sur le document ECE/TRANS/WP.29/GRE/2021/11 tel que modifié par le document informel GRE-85-11. Il est soumis au Forum mondial de l’harmonisation des Règlements concernant les véhicules (WP.29) et au Comité d’administration de l’Accord de 1958 (AC.1) pour examen à leurs sessions de mars 2022.</w:t>
      </w:r>
    </w:p>
    <w:p w14:paraId="7ED3421D" w14:textId="77777777" w:rsidR="009437E8" w:rsidRPr="009437E8" w:rsidRDefault="009437E8" w:rsidP="009437E8">
      <w:r w:rsidRPr="009437E8">
        <w:br w:type="page"/>
      </w:r>
    </w:p>
    <w:p w14:paraId="4D050FA5" w14:textId="13AF93BA" w:rsidR="009437E8" w:rsidRPr="009437E8" w:rsidRDefault="009437E8" w:rsidP="001D3B66">
      <w:pPr>
        <w:pStyle w:val="SingleTxtG"/>
      </w:pPr>
      <w:r w:rsidRPr="001D3B66">
        <w:rPr>
          <w:i/>
          <w:iCs/>
          <w:lang w:val="fr-FR"/>
        </w:rPr>
        <w:lastRenderedPageBreak/>
        <w:tab/>
        <w:t>Paragraphe 5.4.4.2</w:t>
      </w:r>
      <w:r w:rsidRPr="009437E8">
        <w:rPr>
          <w:lang w:val="fr-FR"/>
        </w:rPr>
        <w:t>, lire :</w:t>
      </w:r>
    </w:p>
    <w:p w14:paraId="563612FE" w14:textId="77777777" w:rsidR="009437E8" w:rsidRPr="009437E8" w:rsidRDefault="009437E8" w:rsidP="001D3B66">
      <w:pPr>
        <w:pStyle w:val="SingleTxtG"/>
        <w:ind w:left="2268" w:hanging="1134"/>
        <w:rPr>
          <w:rFonts w:asciiTheme="majorBidi" w:hAnsiTheme="majorBidi" w:cstheme="majorBidi"/>
        </w:rPr>
      </w:pPr>
      <w:r w:rsidRPr="009437E8">
        <w:rPr>
          <w:lang w:val="fr-FR"/>
        </w:rPr>
        <w:t>« 5.4.4.2</w:t>
      </w:r>
      <w:r w:rsidRPr="009437E8">
        <w:rPr>
          <w:lang w:val="fr-FR"/>
        </w:rPr>
        <w:tab/>
        <w:t>En cas de défaillance de l’une quelconque des sources lumineuses équipant un feu simple comportant plusieurs sources lumineuses, l’une des dispositions ci</w:t>
      </w:r>
      <w:r w:rsidRPr="009437E8">
        <w:rPr>
          <w:lang w:val="fr-FR"/>
        </w:rPr>
        <w:noBreakHyphen/>
        <w:t>après s’applique :</w:t>
      </w:r>
    </w:p>
    <w:p w14:paraId="7383833F" w14:textId="77777777" w:rsidR="009437E8" w:rsidRPr="009437E8" w:rsidRDefault="009437E8" w:rsidP="001D3B66">
      <w:pPr>
        <w:pStyle w:val="SingleTxtG"/>
        <w:ind w:left="2835" w:hanging="567"/>
        <w:rPr>
          <w:rFonts w:asciiTheme="majorBidi" w:hAnsiTheme="majorBidi" w:cstheme="majorBidi"/>
        </w:rPr>
      </w:pPr>
      <w:r w:rsidRPr="009437E8">
        <w:rPr>
          <w:lang w:val="fr-FR"/>
        </w:rPr>
        <w:t>a)</w:t>
      </w:r>
      <w:r w:rsidRPr="009437E8">
        <w:rPr>
          <w:lang w:val="fr-FR"/>
        </w:rPr>
        <w:tab/>
        <w:t>L’intensité lumineuse mesurée aux points de répartition normalisée de la lumière définis au paragraphe 2.2 de l’annexe 3 doit équivaloir à au moins 80 % de la valeur minimale d’intensité requise ; ou</w:t>
      </w:r>
    </w:p>
    <w:p w14:paraId="174EF416" w14:textId="77777777" w:rsidR="009437E8" w:rsidRPr="009437E8" w:rsidRDefault="009437E8" w:rsidP="001D3B66">
      <w:pPr>
        <w:pStyle w:val="SingleTxtG"/>
        <w:ind w:left="2835" w:hanging="567"/>
        <w:rPr>
          <w:rFonts w:asciiTheme="majorBidi" w:hAnsiTheme="majorBidi" w:cstheme="majorBidi"/>
        </w:rPr>
      </w:pPr>
      <w:r w:rsidRPr="009437E8">
        <w:rPr>
          <w:lang w:val="fr-FR"/>
        </w:rPr>
        <w:t>b)</w:t>
      </w:r>
      <w:r w:rsidRPr="009437E8">
        <w:rPr>
          <w:lang w:val="fr-FR"/>
        </w:rPr>
        <w:tab/>
        <w:t xml:space="preserve">L’intensité lumineuse mesurée sur l’axe de référence doit équivaloir à au moins 50 % de la valeur minimale d’intensité requise, à condition que la fiche de communication contienne une note précisant que le feu en question ne peut être utilisé que sur un véhicule équipé d’un témoin </w:t>
      </w:r>
      <w:r w:rsidRPr="009437E8">
        <w:rPr>
          <w:bCs/>
          <w:lang w:val="fr-FR"/>
        </w:rPr>
        <w:t>indiquant un défaut</w:t>
      </w:r>
      <w:r w:rsidRPr="009437E8">
        <w:rPr>
          <w:b/>
          <w:lang w:val="fr-FR"/>
        </w:rPr>
        <w:t xml:space="preserve"> </w:t>
      </w:r>
      <w:r w:rsidRPr="009437E8">
        <w:rPr>
          <w:lang w:val="fr-FR"/>
        </w:rPr>
        <w:t>de fonctionnement. ».</w:t>
      </w:r>
    </w:p>
    <w:p w14:paraId="4AF6AE8F" w14:textId="77777777" w:rsidR="009437E8" w:rsidRPr="009437E8" w:rsidRDefault="009437E8" w:rsidP="001D3B66">
      <w:pPr>
        <w:pStyle w:val="SingleTxtG"/>
        <w:rPr>
          <w:szCs w:val="14"/>
          <w:lang w:val="fr-FR"/>
        </w:rPr>
      </w:pPr>
      <w:r w:rsidRPr="009437E8">
        <w:rPr>
          <w:i/>
          <w:iCs/>
          <w:szCs w:val="14"/>
          <w:lang w:val="fr-FR"/>
        </w:rPr>
        <w:t>Paragraphe 5.10.2</w:t>
      </w:r>
      <w:r w:rsidRPr="009437E8">
        <w:rPr>
          <w:szCs w:val="14"/>
          <w:lang w:val="fr-FR"/>
        </w:rPr>
        <w:t>, lire :</w:t>
      </w:r>
    </w:p>
    <w:p w14:paraId="7493711F" w14:textId="1A7F5F17" w:rsidR="009437E8" w:rsidRPr="009437E8" w:rsidRDefault="009437E8" w:rsidP="001D3B66">
      <w:pPr>
        <w:pStyle w:val="SingleTxtG"/>
        <w:ind w:left="2268" w:hanging="1134"/>
        <w:rPr>
          <w:szCs w:val="14"/>
          <w:lang w:val="fr-FR"/>
        </w:rPr>
      </w:pPr>
      <w:r w:rsidRPr="009437E8">
        <w:rPr>
          <w:szCs w:val="14"/>
          <w:lang w:val="fr-FR"/>
        </w:rPr>
        <w:t>« 5.10.2</w:t>
      </w:r>
      <w:r w:rsidRPr="009437E8">
        <w:rPr>
          <w:szCs w:val="14"/>
          <w:lang w:val="fr-FR"/>
        </w:rPr>
        <w:tab/>
        <w:t>Le feu doit être conçu de telle façon que la lumière émise directement vers le côté, l’avant ou l’arrière du véhicule ne dépasse pas une intensité de 0,5</w:t>
      </w:r>
      <w:r w:rsidR="00EF5DC4">
        <w:rPr>
          <w:szCs w:val="14"/>
          <w:lang w:val="fr-FR"/>
        </w:rPr>
        <w:t> </w:t>
      </w:r>
      <w:r w:rsidRPr="009437E8">
        <w:rPr>
          <w:szCs w:val="14"/>
          <w:lang w:val="fr-FR"/>
        </w:rPr>
        <w:t>cd dans le champ angulaire spécifié ci-dessous</w:t>
      </w:r>
      <w:r w:rsidR="00EF5DC4">
        <w:rPr>
          <w:szCs w:val="14"/>
          <w:lang w:val="fr-FR"/>
        </w:rPr>
        <w:t> </w:t>
      </w:r>
      <w:r w:rsidRPr="009437E8">
        <w:rPr>
          <w:szCs w:val="14"/>
          <w:lang w:val="fr-FR"/>
        </w:rPr>
        <w:t>:</w:t>
      </w:r>
    </w:p>
    <w:p w14:paraId="5767B5E9" w14:textId="0EA11A10" w:rsidR="009437E8" w:rsidRPr="009437E8" w:rsidRDefault="009437E8" w:rsidP="001D3B66">
      <w:pPr>
        <w:pStyle w:val="SingleTxtG"/>
        <w:ind w:left="2835" w:hanging="567"/>
        <w:rPr>
          <w:szCs w:val="14"/>
          <w:lang w:val="fr-FR"/>
        </w:rPr>
      </w:pPr>
      <w:r w:rsidRPr="009437E8">
        <w:rPr>
          <w:szCs w:val="14"/>
          <w:lang w:val="fr-FR"/>
        </w:rPr>
        <w:t>a)</w:t>
      </w:r>
      <w:r w:rsidRPr="009437E8">
        <w:rPr>
          <w:szCs w:val="14"/>
          <w:lang w:val="fr-FR"/>
        </w:rPr>
        <w:tab/>
        <w:t>L’angle vertical minimal φ</w:t>
      </w:r>
      <w:r w:rsidRPr="009437E8">
        <w:rPr>
          <w:szCs w:val="14"/>
          <w:vertAlign w:val="subscript"/>
          <w:lang w:val="fr-FR"/>
        </w:rPr>
        <w:t>min</w:t>
      </w:r>
      <w:r w:rsidRPr="009437E8">
        <w:rPr>
          <w:szCs w:val="14"/>
          <w:lang w:val="fr-FR"/>
        </w:rPr>
        <w:t xml:space="preserve"> (en degrés) est le suivant</w:t>
      </w:r>
      <w:r w:rsidR="00EF5DC4">
        <w:rPr>
          <w:szCs w:val="14"/>
          <w:lang w:val="fr-FR"/>
        </w:rPr>
        <w:t> </w:t>
      </w:r>
      <w:r w:rsidRPr="009437E8">
        <w:rPr>
          <w:szCs w:val="14"/>
          <w:lang w:val="fr-FR"/>
        </w:rPr>
        <w:t>:</w:t>
      </w:r>
    </w:p>
    <w:p w14:paraId="40BA8B07" w14:textId="7F2790FE" w:rsidR="009437E8" w:rsidRPr="009437E8" w:rsidRDefault="009437E8" w:rsidP="001D3B66">
      <w:pPr>
        <w:pStyle w:val="SingleTxtG"/>
        <w:ind w:left="2835"/>
        <w:rPr>
          <w:lang w:val="fr-FR"/>
        </w:rPr>
      </w:pPr>
      <w:r w:rsidRPr="009437E8">
        <w:rPr>
          <w:lang w:val="fr-FR"/>
        </w:rPr>
        <w:tab/>
        <w:t>φ</w:t>
      </w:r>
      <w:r w:rsidRPr="009437E8">
        <w:rPr>
          <w:vertAlign w:val="subscript"/>
          <w:lang w:val="fr-FR"/>
        </w:rPr>
        <w:t>min</w:t>
      </w:r>
      <w:r w:rsidRPr="009437E8">
        <w:rPr>
          <w:lang w:val="fr-FR"/>
        </w:rPr>
        <w:t xml:space="preserve"> = arctan ((1-h)/10), où h est la hauteur de montage exprimée en mètres</w:t>
      </w:r>
      <w:r w:rsidR="00EF5DC4">
        <w:rPr>
          <w:lang w:val="fr-FR"/>
        </w:rPr>
        <w:t> </w:t>
      </w:r>
      <w:r w:rsidRPr="009437E8">
        <w:rPr>
          <w:lang w:val="fr-FR"/>
        </w:rPr>
        <w:t>;</w:t>
      </w:r>
    </w:p>
    <w:p w14:paraId="4F746E26" w14:textId="2AE72C58" w:rsidR="009437E8" w:rsidRPr="009437E8" w:rsidRDefault="009437E8" w:rsidP="001D3B66">
      <w:pPr>
        <w:pStyle w:val="SingleTxtG"/>
        <w:ind w:left="2835" w:hanging="567"/>
        <w:rPr>
          <w:szCs w:val="14"/>
          <w:lang w:val="fr-FR"/>
        </w:rPr>
      </w:pPr>
      <w:r w:rsidRPr="009437E8">
        <w:rPr>
          <w:szCs w:val="14"/>
          <w:lang w:val="fr-FR"/>
        </w:rPr>
        <w:t>b)</w:t>
      </w:r>
      <w:r w:rsidRPr="009437E8">
        <w:rPr>
          <w:szCs w:val="14"/>
          <w:lang w:val="fr-FR"/>
        </w:rPr>
        <w:tab/>
        <w:t>L’angle vertical maximal Φ</w:t>
      </w:r>
      <w:r w:rsidRPr="009437E8">
        <w:rPr>
          <w:szCs w:val="14"/>
          <w:vertAlign w:val="subscript"/>
          <w:lang w:val="fr-FR"/>
        </w:rPr>
        <w:t>max</w:t>
      </w:r>
      <w:r w:rsidRPr="009437E8">
        <w:rPr>
          <w:szCs w:val="14"/>
          <w:lang w:val="fr-FR"/>
        </w:rPr>
        <w:t xml:space="preserve"> (en degrés) est le suivant</w:t>
      </w:r>
      <w:r w:rsidR="00EF5DC4">
        <w:rPr>
          <w:szCs w:val="14"/>
          <w:lang w:val="fr-FR"/>
        </w:rPr>
        <w:t> </w:t>
      </w:r>
      <w:r w:rsidRPr="009437E8">
        <w:rPr>
          <w:szCs w:val="14"/>
          <w:lang w:val="fr-FR"/>
        </w:rPr>
        <w:t>: φ</w:t>
      </w:r>
      <w:r w:rsidRPr="009437E8">
        <w:rPr>
          <w:szCs w:val="14"/>
          <w:vertAlign w:val="subscript"/>
          <w:lang w:val="fr-FR"/>
        </w:rPr>
        <w:t>max</w:t>
      </w:r>
      <w:r w:rsidRPr="009437E8">
        <w:rPr>
          <w:szCs w:val="14"/>
          <w:lang w:val="fr-FR"/>
        </w:rPr>
        <w:t xml:space="preserve"> = φ</w:t>
      </w:r>
      <w:r w:rsidRPr="009437E8">
        <w:rPr>
          <w:szCs w:val="14"/>
          <w:vertAlign w:val="subscript"/>
          <w:lang w:val="fr-FR"/>
        </w:rPr>
        <w:t>min</w:t>
      </w:r>
      <w:r w:rsidRPr="009437E8">
        <w:rPr>
          <w:szCs w:val="14"/>
          <w:lang w:val="fr-FR"/>
        </w:rPr>
        <w:t xml:space="preserve"> +</w:t>
      </w:r>
      <w:r w:rsidR="00EF5DC4">
        <w:rPr>
          <w:szCs w:val="14"/>
          <w:lang w:val="fr-FR"/>
        </w:rPr>
        <w:t> </w:t>
      </w:r>
      <w:r w:rsidRPr="009437E8">
        <w:rPr>
          <w:szCs w:val="14"/>
          <w:lang w:val="fr-FR"/>
        </w:rPr>
        <w:t>11,3.</w:t>
      </w:r>
    </w:p>
    <w:p w14:paraId="40B28324" w14:textId="77777777" w:rsidR="009437E8" w:rsidRPr="009437E8" w:rsidRDefault="009437E8" w:rsidP="001D3B66">
      <w:pPr>
        <w:pStyle w:val="SingleTxtG"/>
        <w:ind w:left="2268"/>
        <w:rPr>
          <w:lang w:val="fr-FR"/>
        </w:rPr>
      </w:pPr>
      <w:r w:rsidRPr="009437E8">
        <w:rPr>
          <w:lang w:val="fr-FR"/>
        </w:rPr>
        <w:t xml:space="preserve">La mesure est limitée à un angle horizontal de </w:t>
      </w:r>
      <w:r w:rsidRPr="009437E8">
        <w:rPr>
          <w:lang w:val="fr-CA"/>
        </w:rPr>
        <w:sym w:font="Symbol" w:char="F0B1"/>
      </w:r>
      <w:r w:rsidRPr="009437E8">
        <w:rPr>
          <w:lang w:val="fr-FR"/>
        </w:rPr>
        <w:t>90° par rapport à la ligne qui coupe l’axe de référence et qui est perpendiculaire au plan longitudinal vertical du véhicule.</w:t>
      </w:r>
    </w:p>
    <w:p w14:paraId="1B5DE607" w14:textId="77777777" w:rsidR="009437E8" w:rsidRPr="009437E8" w:rsidRDefault="009437E8" w:rsidP="001D3B66">
      <w:pPr>
        <w:pStyle w:val="SingleTxtG"/>
        <w:ind w:left="2268"/>
        <w:rPr>
          <w:szCs w:val="14"/>
          <w:lang w:val="fr-FR"/>
        </w:rPr>
      </w:pPr>
      <w:r w:rsidRPr="009437E8">
        <w:rPr>
          <w:szCs w:val="14"/>
          <w:lang w:val="fr-FR"/>
        </w:rPr>
        <w:t>La distance minimale de mesure doit être de 3 m. ».</w:t>
      </w:r>
    </w:p>
    <w:p w14:paraId="7C4E6E3C" w14:textId="77777777" w:rsidR="009437E8" w:rsidRPr="009437E8" w:rsidRDefault="009437E8" w:rsidP="001D3B66">
      <w:pPr>
        <w:pStyle w:val="SingleTxtG"/>
        <w:rPr>
          <w:rFonts w:asciiTheme="majorBidi" w:eastAsia="MS Mincho" w:hAnsiTheme="majorBidi" w:cstheme="majorBidi"/>
          <w:b/>
          <w:sz w:val="14"/>
          <w:szCs w:val="14"/>
        </w:rPr>
      </w:pPr>
      <w:r w:rsidRPr="009437E8">
        <w:rPr>
          <w:i/>
          <w:iCs/>
          <w:szCs w:val="14"/>
          <w:lang w:val="fr-FR"/>
        </w:rPr>
        <w:t>Paragraphe 5.11.3</w:t>
      </w:r>
      <w:r w:rsidRPr="009437E8">
        <w:rPr>
          <w:szCs w:val="14"/>
          <w:lang w:val="fr-FR"/>
        </w:rPr>
        <w:t>, lire :</w:t>
      </w:r>
    </w:p>
    <w:p w14:paraId="67E7EFE0" w14:textId="77777777" w:rsidR="009437E8" w:rsidRPr="009437E8" w:rsidRDefault="009437E8" w:rsidP="001D3B66">
      <w:pPr>
        <w:pStyle w:val="SingleTxtG"/>
        <w:ind w:left="2268" w:hanging="1134"/>
        <w:rPr>
          <w:rFonts w:asciiTheme="majorBidi" w:hAnsiTheme="majorBidi" w:cstheme="majorBidi"/>
        </w:rPr>
      </w:pPr>
      <w:r w:rsidRPr="009437E8">
        <w:rPr>
          <w:lang w:val="fr-FR"/>
        </w:rPr>
        <w:t>« 5.11.3</w:t>
      </w:r>
      <w:r w:rsidRPr="009437E8">
        <w:rPr>
          <w:lang w:val="fr-FR"/>
        </w:rPr>
        <w:tab/>
        <w:t>Caractéristiques photométriques</w:t>
      </w:r>
    </w:p>
    <w:p w14:paraId="47EA5CC9" w14:textId="77777777" w:rsidR="009437E8" w:rsidRPr="009437E8" w:rsidRDefault="009437E8" w:rsidP="001D3B66">
      <w:pPr>
        <w:pStyle w:val="SingleTxtG"/>
        <w:ind w:left="2268"/>
        <w:rPr>
          <w:rFonts w:asciiTheme="majorBidi" w:hAnsiTheme="majorBidi" w:cstheme="majorBidi"/>
          <w:bCs/>
        </w:rPr>
      </w:pPr>
      <w:r w:rsidRPr="009437E8">
        <w:rPr>
          <w:bCs/>
          <w:lang w:val="fr-FR"/>
        </w:rPr>
        <w:t>Pour l’homologation de ce dispositif, on détermine l’éclairage de l’emplacement destiné à recevoir la plaque. Les zones éclairées sont regroupées dans les catégories suivantes :</w:t>
      </w:r>
    </w:p>
    <w:p w14:paraId="04F660E4" w14:textId="77777777" w:rsidR="009437E8" w:rsidRPr="009437E8" w:rsidRDefault="009437E8" w:rsidP="00EF5DC4">
      <w:pPr>
        <w:pStyle w:val="SingleTxtG"/>
        <w:ind w:left="3969" w:hanging="1701"/>
        <w:rPr>
          <w:bCs/>
          <w:spacing w:val="-2"/>
        </w:rPr>
      </w:pPr>
      <w:r w:rsidRPr="009437E8">
        <w:rPr>
          <w:bCs/>
          <w:spacing w:val="-2"/>
          <w:lang w:val="fr-FR"/>
        </w:rPr>
        <w:t>Catégorie 1a :</w:t>
      </w:r>
      <w:r w:rsidRPr="009437E8">
        <w:rPr>
          <w:bCs/>
          <w:spacing w:val="-2"/>
          <w:lang w:val="fr-FR"/>
        </w:rPr>
        <w:tab/>
        <w:t>zone éclairée d’au moins 340 x 240 mm (figure A3</w:t>
      </w:r>
      <w:r w:rsidRPr="009437E8">
        <w:rPr>
          <w:bCs/>
          <w:spacing w:val="-2"/>
          <w:lang w:val="fr-FR"/>
        </w:rPr>
        <w:noBreakHyphen/>
        <w:t>IX) ;</w:t>
      </w:r>
    </w:p>
    <w:p w14:paraId="7AEFC472" w14:textId="77777777" w:rsidR="009437E8" w:rsidRPr="009437E8" w:rsidRDefault="009437E8" w:rsidP="00EF5DC4">
      <w:pPr>
        <w:pStyle w:val="SingleTxtG"/>
        <w:ind w:left="3969" w:hanging="1701"/>
        <w:rPr>
          <w:rFonts w:asciiTheme="majorBidi" w:hAnsiTheme="majorBidi" w:cstheme="majorBidi"/>
          <w:bCs/>
        </w:rPr>
      </w:pPr>
      <w:r w:rsidRPr="009437E8">
        <w:rPr>
          <w:bCs/>
          <w:lang w:val="fr-FR"/>
        </w:rPr>
        <w:t>Catégorie 1b :</w:t>
      </w:r>
      <w:r w:rsidRPr="009437E8">
        <w:rPr>
          <w:bCs/>
          <w:lang w:val="fr-FR"/>
        </w:rPr>
        <w:tab/>
        <w:t>zone éclairée d’au moins 520 x 120 mm (figure A3-X) ;</w:t>
      </w:r>
    </w:p>
    <w:p w14:paraId="5B503D67" w14:textId="77777777" w:rsidR="009437E8" w:rsidRPr="009437E8" w:rsidRDefault="009437E8" w:rsidP="00EF5DC4">
      <w:pPr>
        <w:pStyle w:val="SingleTxtG"/>
        <w:ind w:left="3969" w:hanging="1701"/>
        <w:rPr>
          <w:rFonts w:asciiTheme="majorBidi" w:hAnsiTheme="majorBidi" w:cstheme="majorBidi"/>
          <w:bCs/>
        </w:rPr>
      </w:pPr>
      <w:r w:rsidRPr="009437E8">
        <w:rPr>
          <w:bCs/>
          <w:lang w:val="fr-FR"/>
        </w:rPr>
        <w:t>Catégorie 1c :</w:t>
      </w:r>
      <w:r w:rsidRPr="009437E8">
        <w:rPr>
          <w:bCs/>
          <w:lang w:val="fr-FR"/>
        </w:rPr>
        <w:tab/>
        <w:t>zone éclairée d’au moins 255 x 165 mm, pour une utilisation sur des tracteurs agricoles ou forestiers (figure A3-XI) ;</w:t>
      </w:r>
    </w:p>
    <w:p w14:paraId="30507927" w14:textId="77777777" w:rsidR="009437E8" w:rsidRPr="009437E8" w:rsidRDefault="009437E8" w:rsidP="00EF5DC4">
      <w:pPr>
        <w:pStyle w:val="SingleTxtG"/>
        <w:ind w:left="3969" w:hanging="1701"/>
        <w:rPr>
          <w:bCs/>
          <w:spacing w:val="-3"/>
        </w:rPr>
      </w:pPr>
      <w:r w:rsidRPr="009437E8">
        <w:rPr>
          <w:bCs/>
          <w:spacing w:val="-3"/>
          <w:lang w:val="fr-FR"/>
        </w:rPr>
        <w:t>Catégorie 2a :</w:t>
      </w:r>
      <w:r w:rsidRPr="009437E8">
        <w:rPr>
          <w:bCs/>
          <w:spacing w:val="-3"/>
          <w:lang w:val="fr-FR"/>
        </w:rPr>
        <w:tab/>
        <w:t>zone éclairée d’au moins 330 x 165 mm (figure A3</w:t>
      </w:r>
      <w:r w:rsidRPr="009437E8">
        <w:rPr>
          <w:bCs/>
          <w:spacing w:val="-3"/>
          <w:lang w:val="fr-FR"/>
        </w:rPr>
        <w:noBreakHyphen/>
        <w:t>XII) ;</w:t>
      </w:r>
    </w:p>
    <w:p w14:paraId="1A4493C1" w14:textId="77777777" w:rsidR="009437E8" w:rsidRPr="009437E8" w:rsidRDefault="009437E8" w:rsidP="00EF5DC4">
      <w:pPr>
        <w:pStyle w:val="SingleTxtG"/>
        <w:ind w:left="3969" w:hanging="1701"/>
        <w:rPr>
          <w:bCs/>
          <w:spacing w:val="-3"/>
        </w:rPr>
      </w:pPr>
      <w:r w:rsidRPr="009437E8">
        <w:rPr>
          <w:bCs/>
          <w:spacing w:val="-3"/>
          <w:lang w:val="fr-FR"/>
        </w:rPr>
        <w:t>Catégorie 2b :</w:t>
      </w:r>
      <w:r w:rsidRPr="009437E8">
        <w:rPr>
          <w:bCs/>
          <w:spacing w:val="-3"/>
          <w:lang w:val="fr-FR"/>
        </w:rPr>
        <w:tab/>
        <w:t>zone éclairée d’au moins 440 x 220 mm (figure A3</w:t>
      </w:r>
      <w:r w:rsidRPr="009437E8">
        <w:rPr>
          <w:bCs/>
          <w:spacing w:val="-3"/>
          <w:lang w:val="fr-FR"/>
        </w:rPr>
        <w:noBreakHyphen/>
        <w:t>XIII) ;</w:t>
      </w:r>
    </w:p>
    <w:p w14:paraId="53E50AA2" w14:textId="77777777" w:rsidR="009437E8" w:rsidRPr="009437E8" w:rsidRDefault="009437E8" w:rsidP="00EF5DC4">
      <w:pPr>
        <w:pStyle w:val="SingleTxtG"/>
        <w:ind w:left="3969" w:hanging="1701"/>
        <w:rPr>
          <w:rFonts w:asciiTheme="majorBidi" w:hAnsiTheme="majorBidi" w:cstheme="majorBidi"/>
          <w:bCs/>
        </w:rPr>
      </w:pPr>
      <w:r w:rsidRPr="009437E8">
        <w:rPr>
          <w:bCs/>
          <w:lang w:val="fr-FR"/>
        </w:rPr>
        <w:t>Catégorie 1 :</w:t>
      </w:r>
      <w:r w:rsidRPr="009437E8">
        <w:rPr>
          <w:bCs/>
          <w:lang w:val="fr-FR"/>
        </w:rPr>
        <w:tab/>
      </w:r>
      <w:r w:rsidRPr="009437E8">
        <w:rPr>
          <w:bCs/>
          <w:lang w:val="fr-FR"/>
        </w:rPr>
        <w:tab/>
        <w:t>zone éclairée d’au moins 130 x 240 mm pour une utilisation sur des véhicules de la catégorie L (figure A3-XIV) ;</w:t>
      </w:r>
    </w:p>
    <w:p w14:paraId="14D5D98C" w14:textId="77777777" w:rsidR="009437E8" w:rsidRPr="009437E8" w:rsidRDefault="009437E8" w:rsidP="00EF5DC4">
      <w:pPr>
        <w:pStyle w:val="SingleTxtG"/>
        <w:ind w:left="3969" w:hanging="1701"/>
        <w:rPr>
          <w:rFonts w:asciiTheme="majorBidi" w:hAnsiTheme="majorBidi" w:cstheme="majorBidi"/>
          <w:bCs/>
        </w:rPr>
      </w:pPr>
      <w:r w:rsidRPr="009437E8">
        <w:rPr>
          <w:bCs/>
          <w:lang w:val="fr-FR"/>
        </w:rPr>
        <w:t>Catégorie 2 :</w:t>
      </w:r>
      <w:r w:rsidRPr="009437E8">
        <w:rPr>
          <w:bCs/>
          <w:lang w:val="fr-FR"/>
        </w:rPr>
        <w:tab/>
      </w:r>
      <w:r w:rsidRPr="009437E8">
        <w:rPr>
          <w:bCs/>
          <w:lang w:val="fr-FR"/>
        </w:rPr>
        <w:tab/>
        <w:t>zone éclairée d’au moins 200 x 280 mm pour une utilisation sur des véhicules de la catégorie L (figure A3-XV).</w:t>
      </w:r>
    </w:p>
    <w:p w14:paraId="6B078A87" w14:textId="77777777" w:rsidR="009437E8" w:rsidRPr="009437E8" w:rsidRDefault="009437E8" w:rsidP="001D3B66">
      <w:pPr>
        <w:pStyle w:val="SingleTxtG"/>
        <w:ind w:left="2268"/>
        <w:rPr>
          <w:rFonts w:asciiTheme="majorBidi" w:hAnsiTheme="majorBidi" w:cstheme="majorBidi"/>
        </w:rPr>
      </w:pPr>
      <w:r w:rsidRPr="009437E8">
        <w:rPr>
          <w:lang w:val="fr-FR"/>
        </w:rPr>
        <w:t>En chacun des points de mesure définis au paragraphe 3 de l’annexe 3, la luminance B doit être au moins :</w:t>
      </w:r>
    </w:p>
    <w:p w14:paraId="1B5A3F80" w14:textId="77777777" w:rsidR="009437E8" w:rsidRPr="009437E8" w:rsidRDefault="009437E8" w:rsidP="001D3B66">
      <w:pPr>
        <w:pStyle w:val="SingleTxtG"/>
        <w:ind w:left="2835" w:hanging="567"/>
        <w:rPr>
          <w:rFonts w:asciiTheme="majorBidi" w:hAnsiTheme="majorBidi" w:cstheme="majorBidi"/>
        </w:rPr>
      </w:pPr>
      <w:r w:rsidRPr="009437E8">
        <w:rPr>
          <w:lang w:val="fr-FR"/>
        </w:rPr>
        <w:t>a)</w:t>
      </w:r>
      <w:r w:rsidRPr="009437E8">
        <w:rPr>
          <w:lang w:val="fr-FR"/>
        </w:rPr>
        <w:tab/>
        <w:t>Égale à 2,5 cd/m</w:t>
      </w:r>
      <w:r w:rsidRPr="009437E8">
        <w:rPr>
          <w:vertAlign w:val="superscript"/>
          <w:lang w:val="fr-FR"/>
        </w:rPr>
        <w:t>2</w:t>
      </w:r>
      <w:r w:rsidRPr="009437E8">
        <w:rPr>
          <w:lang w:val="fr-FR"/>
        </w:rPr>
        <w:t xml:space="preserve"> pour les catégories 1a, 1b, 1c, 2a et 2b ;</w:t>
      </w:r>
    </w:p>
    <w:p w14:paraId="7042DF0C" w14:textId="77777777" w:rsidR="009437E8" w:rsidRPr="009437E8" w:rsidRDefault="009437E8" w:rsidP="001D3B66">
      <w:pPr>
        <w:pStyle w:val="SingleTxtG"/>
        <w:ind w:left="2835" w:hanging="567"/>
        <w:rPr>
          <w:rFonts w:asciiTheme="majorBidi" w:hAnsiTheme="majorBidi" w:cstheme="majorBidi"/>
        </w:rPr>
      </w:pPr>
      <w:r w:rsidRPr="009437E8">
        <w:rPr>
          <w:lang w:val="fr-FR"/>
        </w:rPr>
        <w:t>b)</w:t>
      </w:r>
      <w:r w:rsidRPr="009437E8">
        <w:rPr>
          <w:lang w:val="fr-FR"/>
        </w:rPr>
        <w:tab/>
        <w:t>Égale à 2,0 cd/m</w:t>
      </w:r>
      <w:r w:rsidRPr="009437E8">
        <w:rPr>
          <w:vertAlign w:val="superscript"/>
          <w:lang w:val="fr-FR"/>
        </w:rPr>
        <w:t>2</w:t>
      </w:r>
      <w:r w:rsidRPr="009437E8">
        <w:rPr>
          <w:lang w:val="fr-FR"/>
        </w:rPr>
        <w:t xml:space="preserve"> pour les catégories 1 et 2.</w:t>
      </w:r>
    </w:p>
    <w:p w14:paraId="5073CF7C" w14:textId="77777777" w:rsidR="009437E8" w:rsidRPr="009437E8" w:rsidRDefault="009437E8" w:rsidP="001D3B66">
      <w:pPr>
        <w:pStyle w:val="SingleTxtG"/>
        <w:ind w:left="2268"/>
        <w:rPr>
          <w:lang w:val="fr-FR"/>
        </w:rPr>
      </w:pPr>
      <w:r w:rsidRPr="009437E8">
        <w:rPr>
          <w:lang w:val="fr-FR"/>
        </w:rPr>
        <w:tab/>
        <w:t>Le gradient de la luminance entre les valeurs B</w:t>
      </w:r>
      <w:r w:rsidRPr="009437E8">
        <w:rPr>
          <w:vertAlign w:val="subscript"/>
          <w:lang w:val="fr-FR"/>
        </w:rPr>
        <w:t>1</w:t>
      </w:r>
      <w:r w:rsidRPr="009437E8">
        <w:rPr>
          <w:lang w:val="fr-FR"/>
        </w:rPr>
        <w:t xml:space="preserve"> et B</w:t>
      </w:r>
      <w:r w:rsidRPr="009437E8">
        <w:rPr>
          <w:vertAlign w:val="subscript"/>
          <w:lang w:val="fr-FR"/>
        </w:rPr>
        <w:t>2</w:t>
      </w:r>
      <w:r w:rsidRPr="009437E8">
        <w:rPr>
          <w:lang w:val="fr-FR"/>
        </w:rPr>
        <w:t>, mesurées en deux points quelconques 1 et 2 choisis parmi les points mentionnés ci-dessus, ne peut dépasser 2 x Bo/cm, Bo étant la luminance minimale relevée aux divers points de mesure, c’est-à-dire :</w:t>
      </w:r>
    </w:p>
    <w:p w14:paraId="05EBB944" w14:textId="5780C02A" w:rsidR="009437E8" w:rsidRPr="009437E8" w:rsidRDefault="009437E8" w:rsidP="00EF5DC4">
      <w:pPr>
        <w:pStyle w:val="SingleTxtG"/>
        <w:spacing w:after="240"/>
        <w:ind w:left="2835"/>
        <w:rPr>
          <w:rFonts w:eastAsiaTheme="minorEastAsia"/>
          <w:bCs/>
          <w:iCs/>
          <w:sz w:val="24"/>
          <w:szCs w:val="24"/>
          <w:u w:val="single"/>
          <w:lang w:val="fr-FR"/>
        </w:rPr>
      </w:pPr>
      <m:oMath>
        <m:f>
          <m:fPr>
            <m:ctrlPr>
              <w:rPr>
                <w:rFonts w:ascii="Cambria Math" w:eastAsiaTheme="minorEastAsia" w:hAnsi="Cambria Math"/>
                <w:bCs/>
                <w:i/>
                <w:iCs/>
                <w:sz w:val="26"/>
                <w:szCs w:val="26"/>
                <w:lang w:val="fr-FR"/>
              </w:rPr>
            </m:ctrlPr>
          </m:fPr>
          <m:num>
            <m:sSub>
              <m:sSubPr>
                <m:ctrlPr>
                  <w:rPr>
                    <w:rFonts w:ascii="Cambria Math" w:eastAsiaTheme="minorEastAsia" w:hAnsi="Cambria Math"/>
                    <w:bCs/>
                    <w:sz w:val="26"/>
                    <w:szCs w:val="26"/>
                    <w:lang w:val="fr-FR"/>
                  </w:rPr>
                </m:ctrlPr>
              </m:sSubPr>
              <m:e>
                <m:r>
                  <m:rPr>
                    <m:sty m:val="p"/>
                  </m:rPr>
                  <w:rPr>
                    <w:rFonts w:ascii="Cambria Math" w:eastAsiaTheme="minorEastAsia" w:hAnsi="Cambria Math"/>
                    <w:sz w:val="26"/>
                    <w:szCs w:val="26"/>
                    <w:lang w:val="fr-FR"/>
                  </w:rPr>
                  <m:t>B</m:t>
                </m:r>
              </m:e>
              <m:sub>
                <m:r>
                  <m:rPr>
                    <m:sty m:val="p"/>
                  </m:rPr>
                  <w:rPr>
                    <w:rFonts w:ascii="Cambria Math" w:eastAsiaTheme="minorEastAsia" w:hAnsi="Cambria Math"/>
                    <w:sz w:val="26"/>
                    <w:szCs w:val="26"/>
                    <w:lang w:val="fr-FR"/>
                  </w:rPr>
                  <m:t xml:space="preserve">2 - </m:t>
                </m:r>
              </m:sub>
            </m:sSub>
            <m:sSub>
              <m:sSubPr>
                <m:ctrlPr>
                  <w:rPr>
                    <w:rFonts w:ascii="Cambria Math" w:eastAsiaTheme="minorEastAsia" w:hAnsi="Cambria Math"/>
                    <w:bCs/>
                    <w:sz w:val="26"/>
                    <w:szCs w:val="26"/>
                    <w:lang w:val="fr-FR"/>
                  </w:rPr>
                </m:ctrlPr>
              </m:sSubPr>
              <m:e>
                <m:r>
                  <m:rPr>
                    <m:sty m:val="p"/>
                  </m:rPr>
                  <w:rPr>
                    <w:rFonts w:ascii="Cambria Math" w:eastAsiaTheme="minorEastAsia" w:hAnsi="Cambria Math"/>
                    <w:sz w:val="26"/>
                    <w:szCs w:val="26"/>
                    <w:lang w:val="fr-FR"/>
                  </w:rPr>
                  <m:t>B</m:t>
                </m:r>
              </m:e>
              <m:sub>
                <m:r>
                  <m:rPr>
                    <m:sty m:val="p"/>
                  </m:rPr>
                  <w:rPr>
                    <w:rFonts w:ascii="Cambria Math" w:eastAsiaTheme="minorEastAsia" w:hAnsi="Cambria Math"/>
                    <w:sz w:val="26"/>
                    <w:szCs w:val="26"/>
                    <w:lang w:val="fr-FR"/>
                  </w:rPr>
                  <m:t xml:space="preserve">1 </m:t>
                </m:r>
              </m:sub>
            </m:sSub>
          </m:num>
          <m:den>
            <m:r>
              <m:rPr>
                <m:sty m:val="p"/>
              </m:rPr>
              <w:rPr>
                <w:rFonts w:ascii="Cambria Math" w:eastAsiaTheme="minorEastAsia" w:hAnsi="Cambria Math"/>
                <w:sz w:val="26"/>
                <w:szCs w:val="26"/>
                <w:lang w:val="fr-FR"/>
              </w:rPr>
              <m:t>distance 1</m:t>
            </m:r>
            <m:r>
              <m:rPr>
                <m:sty m:val="p"/>
              </m:rPr>
              <w:rPr>
                <w:rFonts w:ascii="Cambria Math" w:eastAsiaTheme="minorEastAsia" w:hAnsi="Cambria Math"/>
                <w:sz w:val="26"/>
                <w:szCs w:val="26"/>
                <w:lang w:val="fr-FR"/>
              </w:rPr>
              <m:t xml:space="preserve"> - </m:t>
            </m:r>
            <m:r>
              <m:rPr>
                <m:sty m:val="p"/>
              </m:rPr>
              <w:rPr>
                <w:rFonts w:ascii="Cambria Math" w:eastAsiaTheme="minorEastAsia" w:hAnsi="Cambria Math"/>
                <w:sz w:val="26"/>
                <w:szCs w:val="26"/>
                <w:lang w:val="fr-FR"/>
              </w:rPr>
              <m:t>2 en cm</m:t>
            </m:r>
          </m:den>
        </m:f>
      </m:oMath>
      <w:r w:rsidRPr="009437E8">
        <w:rPr>
          <w:rFonts w:eastAsiaTheme="minorEastAsia"/>
          <w:bCs/>
          <w:iCs/>
          <w:sz w:val="26"/>
          <w:szCs w:val="26"/>
          <w:lang w:val="fr-FR"/>
        </w:rPr>
        <w:t xml:space="preserve"> </w:t>
      </w:r>
      <m:oMath>
        <m:r>
          <m:rPr>
            <m:sty m:val="p"/>
          </m:rPr>
          <w:rPr>
            <w:rFonts w:ascii="Cambria Math" w:eastAsiaTheme="minorEastAsia" w:hAnsi="Cambria Math"/>
            <w:sz w:val="26"/>
            <w:szCs w:val="26"/>
            <w:lang w:val="fr-FR"/>
          </w:rPr>
          <m:t>≤2 x Bo/cm</m:t>
        </m:r>
      </m:oMath>
      <w:r w:rsidRPr="009437E8">
        <w:rPr>
          <w:rFonts w:eastAsiaTheme="minorEastAsia"/>
          <w:bCs/>
          <w:sz w:val="28"/>
          <w:szCs w:val="28"/>
          <w:lang w:val="fr-FR"/>
        </w:rPr>
        <w:t> </w:t>
      </w:r>
      <w:r w:rsidRPr="009437E8">
        <w:rPr>
          <w:rFonts w:eastAsiaTheme="minorEastAsia"/>
          <w:bCs/>
          <w:lang w:val="fr-FR"/>
        </w:rPr>
        <w:t>».</w:t>
      </w:r>
    </w:p>
    <w:p w14:paraId="3F2F2ACA" w14:textId="77777777" w:rsidR="009437E8" w:rsidRPr="009437E8" w:rsidRDefault="009437E8" w:rsidP="00EF5DC4">
      <w:pPr>
        <w:pStyle w:val="SingleTxtG"/>
        <w:spacing w:before="120"/>
        <w:rPr>
          <w:lang w:val="fr-FR"/>
        </w:rPr>
      </w:pPr>
      <w:r w:rsidRPr="009437E8">
        <w:rPr>
          <w:i/>
          <w:iCs/>
          <w:lang w:val="fr-FR"/>
        </w:rPr>
        <w:t>Figure A7-III et texte situé au-dessous</w:t>
      </w:r>
      <w:r w:rsidRPr="009437E8">
        <w:rPr>
          <w:lang w:val="fr-FR"/>
        </w:rPr>
        <w:t>, lire :</w:t>
      </w:r>
    </w:p>
    <w:p w14:paraId="0F894CFF" w14:textId="13807AC7" w:rsidR="009437E8" w:rsidRPr="009437E8" w:rsidRDefault="009437E8" w:rsidP="001D3B66">
      <w:pPr>
        <w:pStyle w:val="SingleTxtG"/>
        <w:rPr>
          <w:b/>
          <w:bCs/>
          <w:szCs w:val="21"/>
        </w:rPr>
      </w:pPr>
      <w:r w:rsidRPr="009437E8">
        <w:rPr>
          <w:bCs/>
          <w:lang w:val="fr-FR"/>
        </w:rPr>
        <w:t>« Figure A7-III</w:t>
      </w:r>
      <w:r w:rsidRPr="009437E8">
        <w:rPr>
          <w:bCs/>
          <w:szCs w:val="21"/>
        </w:rPr>
        <w:t xml:space="preserve"> </w:t>
      </w:r>
      <w:r w:rsidRPr="009437E8">
        <w:rPr>
          <w:bCs/>
          <w:szCs w:val="21"/>
        </w:rPr>
        <w:br/>
      </w:r>
      <w:r w:rsidRPr="009437E8">
        <w:rPr>
          <w:b/>
          <w:bCs/>
          <w:lang w:val="fr-FR"/>
        </w:rPr>
        <w:t>Troisième exemple de marque</w:t>
      </w:r>
    </w:p>
    <w:p w14:paraId="215B7C4D" w14:textId="77777777" w:rsidR="009437E8" w:rsidRPr="009437E8" w:rsidRDefault="009437E8" w:rsidP="001D3B66">
      <w:pPr>
        <w:ind w:left="1134"/>
        <w:rPr>
          <w:b/>
          <w:bCs/>
          <w:lang w:val="fr-FR"/>
        </w:rPr>
      </w:pPr>
      <w:r w:rsidRPr="009437E8">
        <w:rPr>
          <w:noProof/>
        </w:rPr>
        <w:drawing>
          <wp:inline distT="0" distB="0" distL="0" distR="0" wp14:anchorId="20CA0ACA" wp14:editId="020CAF3E">
            <wp:extent cx="3968750" cy="35052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3505200"/>
                    </a:xfrm>
                    <a:prstGeom prst="rect">
                      <a:avLst/>
                    </a:prstGeom>
                    <a:noFill/>
                  </pic:spPr>
                </pic:pic>
              </a:graphicData>
            </a:graphic>
          </wp:inline>
        </w:drawing>
      </w:r>
    </w:p>
    <w:p w14:paraId="4DBC4926" w14:textId="77777777" w:rsidR="009437E8" w:rsidRPr="009437E8" w:rsidRDefault="009437E8" w:rsidP="001D3B66">
      <w:pPr>
        <w:pStyle w:val="SingleTxtG"/>
        <w:spacing w:before="120"/>
        <w:rPr>
          <w:snapToGrid w:val="0"/>
        </w:rPr>
      </w:pPr>
      <w:r w:rsidRPr="009437E8">
        <w:rPr>
          <w:lang w:val="fr-FR"/>
        </w:rPr>
        <w:t>Ces exemples de marques d’homologation représentent deux variantes possibles du marquage d’un feu de signalisation lumineuse lorsque deux feux ou plus font partie du même ensemble de feux groupés, combinés ou mutuellement incorporés.</w:t>
      </w:r>
    </w:p>
    <w:p w14:paraId="4B4F12F7" w14:textId="77777777" w:rsidR="009437E8" w:rsidRPr="009437E8" w:rsidRDefault="009437E8" w:rsidP="001D3B66">
      <w:pPr>
        <w:pStyle w:val="SingleTxtG"/>
        <w:spacing w:before="120"/>
        <w:rPr>
          <w:snapToGrid w:val="0"/>
        </w:rPr>
      </w:pPr>
      <w:r w:rsidRPr="009437E8">
        <w:rPr>
          <w:lang w:val="fr-FR"/>
        </w:rPr>
        <w:t>Ils indiquent que le feu a été homologué aux Pays-Bas (E4) sous le numéro d’homologation 3333 et qu’il comprend :</w:t>
      </w:r>
    </w:p>
    <w:p w14:paraId="3397779B" w14:textId="77777777" w:rsidR="009437E8" w:rsidRPr="009437E8" w:rsidRDefault="009437E8" w:rsidP="001D3B66">
      <w:pPr>
        <w:pStyle w:val="SingleTxtG"/>
        <w:ind w:left="1701" w:hanging="567"/>
        <w:rPr>
          <w:snapToGrid w:val="0"/>
        </w:rPr>
      </w:pPr>
      <w:r w:rsidRPr="009437E8">
        <w:rPr>
          <w:lang w:val="fr-FR"/>
        </w:rPr>
        <w:t>a)</w:t>
      </w:r>
      <w:r w:rsidRPr="009437E8">
        <w:rPr>
          <w:lang w:val="fr-FR"/>
        </w:rPr>
        <w:tab/>
        <w:t>Un catadioptre de la classe IA ;</w:t>
      </w:r>
    </w:p>
    <w:p w14:paraId="54D44209" w14:textId="77777777" w:rsidR="009437E8" w:rsidRPr="009437E8" w:rsidRDefault="009437E8" w:rsidP="001D3B66">
      <w:pPr>
        <w:pStyle w:val="SingleTxtG"/>
        <w:ind w:left="1701" w:hanging="567"/>
        <w:rPr>
          <w:snapToGrid w:val="0"/>
        </w:rPr>
      </w:pPr>
      <w:r w:rsidRPr="009437E8">
        <w:rPr>
          <w:lang w:val="fr-FR"/>
        </w:rPr>
        <w:t>b)</w:t>
      </w:r>
      <w:r w:rsidRPr="009437E8">
        <w:rPr>
          <w:lang w:val="fr-FR"/>
        </w:rPr>
        <w:tab/>
        <w:t>Un feu indicateur de direction arrière produisant une intensité lumineuse variable (catégorie 2b). La flèche horizontale indique dans quelle position ce dispositif, qui ne peut pas être monté indifféremment des deux côtés du véhicule, doit être monté ;</w:t>
      </w:r>
    </w:p>
    <w:p w14:paraId="6DF62D1B" w14:textId="77777777" w:rsidR="009437E8" w:rsidRPr="009437E8" w:rsidRDefault="009437E8" w:rsidP="001D3B66">
      <w:pPr>
        <w:pStyle w:val="SingleTxtG"/>
        <w:ind w:left="1701" w:hanging="567"/>
        <w:rPr>
          <w:snapToGrid w:val="0"/>
        </w:rPr>
      </w:pPr>
      <w:r w:rsidRPr="009437E8">
        <w:rPr>
          <w:lang w:val="fr-FR"/>
        </w:rPr>
        <w:t>c)</w:t>
      </w:r>
      <w:r w:rsidRPr="009437E8">
        <w:rPr>
          <w:lang w:val="fr-FR"/>
        </w:rPr>
        <w:tab/>
        <w:t>Un feu de position arrière produisant une intensité lumineuse variable (R2). La flèche horizontale indique le côté sur lequel les caractéristiques photométriques sont respectées jusqu’à un angle de 80° dans le plan H ;</w:t>
      </w:r>
    </w:p>
    <w:p w14:paraId="182D5CD9" w14:textId="77777777" w:rsidR="009437E8" w:rsidRPr="009437E8" w:rsidRDefault="009437E8" w:rsidP="001D3B66">
      <w:pPr>
        <w:pStyle w:val="SingleTxtG"/>
        <w:ind w:left="1701" w:hanging="567"/>
        <w:rPr>
          <w:snapToGrid w:val="0"/>
        </w:rPr>
      </w:pPr>
      <w:r w:rsidRPr="009437E8">
        <w:rPr>
          <w:lang w:val="fr-FR"/>
        </w:rPr>
        <w:t>d)</w:t>
      </w:r>
      <w:r w:rsidRPr="009437E8">
        <w:rPr>
          <w:lang w:val="fr-FR"/>
        </w:rPr>
        <w:tab/>
        <w:t>Un feu de brouillard arrière produisant une intensité lumineuse variable (F2) ;</w:t>
      </w:r>
    </w:p>
    <w:p w14:paraId="1F4FA403" w14:textId="77777777" w:rsidR="009437E8" w:rsidRPr="009437E8" w:rsidRDefault="009437E8" w:rsidP="001D3B66">
      <w:pPr>
        <w:pStyle w:val="SingleTxtG"/>
        <w:ind w:left="1701" w:hanging="567"/>
        <w:rPr>
          <w:snapToGrid w:val="0"/>
        </w:rPr>
      </w:pPr>
      <w:r w:rsidRPr="009437E8">
        <w:rPr>
          <w:lang w:val="fr-FR"/>
        </w:rPr>
        <w:t>e)</w:t>
      </w:r>
      <w:r w:rsidRPr="009437E8">
        <w:rPr>
          <w:lang w:val="fr-FR"/>
        </w:rPr>
        <w:tab/>
        <w:t>Un feu de marche arrière (AR) ;</w:t>
      </w:r>
    </w:p>
    <w:p w14:paraId="4D53BCE3" w14:textId="77777777" w:rsidR="009437E8" w:rsidRPr="009437E8" w:rsidRDefault="009437E8" w:rsidP="001D3B66">
      <w:pPr>
        <w:pStyle w:val="SingleTxtG"/>
        <w:ind w:left="1701" w:hanging="567"/>
        <w:rPr>
          <w:snapToGrid w:val="0"/>
        </w:rPr>
      </w:pPr>
      <w:r w:rsidRPr="009437E8">
        <w:rPr>
          <w:lang w:val="fr-FR"/>
        </w:rPr>
        <w:t>f)</w:t>
      </w:r>
      <w:r w:rsidRPr="009437E8">
        <w:rPr>
          <w:lang w:val="fr-FR"/>
        </w:rPr>
        <w:tab/>
        <w:t>Un feu stop produisant une intensité lumineuse variable (S2).</w:t>
      </w:r>
    </w:p>
    <w:p w14:paraId="20823A57" w14:textId="77777777" w:rsidR="009437E8" w:rsidRPr="009437E8" w:rsidRDefault="009437E8" w:rsidP="001D3B66">
      <w:pPr>
        <w:pStyle w:val="SingleTxtG"/>
        <w:spacing w:before="120"/>
        <w:rPr>
          <w:snapToGrid w:val="0"/>
        </w:rPr>
      </w:pPr>
      <w:r w:rsidRPr="009437E8">
        <w:rPr>
          <w:lang w:val="fr-FR"/>
        </w:rPr>
        <w:t>Tous ces feux (fonctions) ont été homologués en vertu de la série initiale d’amendements au présent Règlement (148R) et du Règlement ONU n</w:t>
      </w:r>
      <w:r w:rsidRPr="009437E8">
        <w:rPr>
          <w:vertAlign w:val="superscript"/>
          <w:lang w:val="fr-FR"/>
        </w:rPr>
        <w:t>o</w:t>
      </w:r>
      <w:r w:rsidRPr="009437E8">
        <w:rPr>
          <w:lang w:val="fr-FR"/>
        </w:rPr>
        <w:t> 150 (150R), comme l’indique le numéro (00) figurant après 148R et 150R, respectivement. ».</w:t>
      </w:r>
    </w:p>
    <w:p w14:paraId="3F04E855" w14:textId="77777777" w:rsidR="009437E8" w:rsidRPr="009437E8" w:rsidRDefault="009437E8" w:rsidP="001D3B66">
      <w:pPr>
        <w:pStyle w:val="SingleTxtG"/>
        <w:keepNext/>
        <w:keepLines/>
        <w:rPr>
          <w:szCs w:val="21"/>
        </w:rPr>
      </w:pPr>
      <w:r w:rsidRPr="009437E8">
        <w:rPr>
          <w:i/>
          <w:iCs/>
          <w:lang w:val="fr-FR"/>
        </w:rPr>
        <w:t>Figure A7-IV</w:t>
      </w:r>
      <w:r w:rsidRPr="009437E8">
        <w:rPr>
          <w:lang w:val="fr-FR"/>
        </w:rPr>
        <w:t>, lire :</w:t>
      </w:r>
    </w:p>
    <w:p w14:paraId="3A51DEB8" w14:textId="77777777" w:rsidR="009437E8" w:rsidRPr="009437E8" w:rsidRDefault="009437E8" w:rsidP="001D3B66">
      <w:pPr>
        <w:pStyle w:val="SingleTxtG"/>
        <w:keepNext/>
        <w:keepLines/>
        <w:rPr>
          <w:szCs w:val="21"/>
        </w:rPr>
      </w:pPr>
      <w:r w:rsidRPr="009437E8">
        <w:rPr>
          <w:lang w:val="fr-FR"/>
        </w:rPr>
        <w:t>« Figure A7-IV</w:t>
      </w:r>
    </w:p>
    <w:p w14:paraId="71DA0A83" w14:textId="77777777" w:rsidR="009437E8" w:rsidRPr="009437E8" w:rsidRDefault="009437E8" w:rsidP="001D3B66">
      <w:pPr>
        <w:keepNext/>
        <w:keepLines/>
        <w:ind w:left="1134"/>
      </w:pPr>
      <w:r w:rsidRPr="009437E8">
        <w:rPr>
          <w:noProof/>
          <w:szCs w:val="21"/>
        </w:rPr>
        <w:drawing>
          <wp:inline distT="0" distB="0" distL="0" distR="0" wp14:anchorId="3BAB986B" wp14:editId="410311DF">
            <wp:extent cx="1957070" cy="1286510"/>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070" cy="1286510"/>
                    </a:xfrm>
                    <a:prstGeom prst="rect">
                      <a:avLst/>
                    </a:prstGeom>
                    <a:noFill/>
                  </pic:spPr>
                </pic:pic>
              </a:graphicData>
            </a:graphic>
          </wp:inline>
        </w:drawing>
      </w:r>
      <w:r w:rsidRPr="009437E8">
        <w:t xml:space="preserve">   </w:t>
      </w:r>
    </w:p>
    <w:p w14:paraId="54D24357" w14:textId="77777777" w:rsidR="009437E8" w:rsidRPr="009437E8" w:rsidRDefault="009437E8" w:rsidP="001D3B66">
      <w:pPr>
        <w:pStyle w:val="SingleTxtG"/>
        <w:keepNext/>
        <w:keepLines/>
        <w:spacing w:before="120"/>
        <w:rPr>
          <w:snapToGrid w:val="0"/>
        </w:rPr>
      </w:pPr>
      <w:r w:rsidRPr="009437E8">
        <w:rPr>
          <w:lang w:val="fr-FR"/>
        </w:rPr>
        <w:t>L’exemple ci-dessus correspond au marquage d’une glace destinée à être utilisée pour différents types de feux de signalisation lumineuse. Les marques d’homologation indiquent qu’il s’agit d’un feu homologué en Espagne (E9) sous le n</w:t>
      </w:r>
      <w:r w:rsidRPr="009437E8">
        <w:rPr>
          <w:vertAlign w:val="superscript"/>
          <w:lang w:val="fr-FR"/>
        </w:rPr>
        <w:t>o</w:t>
      </w:r>
      <w:r w:rsidRPr="009437E8">
        <w:rPr>
          <w:lang w:val="fr-FR"/>
        </w:rPr>
        <w:t> 1432 et pouvant comprendre toutes les fonctions énumérées.</w:t>
      </w:r>
    </w:p>
    <w:p w14:paraId="2B67AB9F" w14:textId="00EC594D" w:rsidR="00F9573C" w:rsidRDefault="009437E8" w:rsidP="001D3B66">
      <w:pPr>
        <w:pStyle w:val="SingleTxtG"/>
        <w:spacing w:before="120"/>
        <w:rPr>
          <w:lang w:val="fr-FR"/>
        </w:rPr>
      </w:pPr>
      <w:r w:rsidRPr="009437E8">
        <w:rPr>
          <w:lang w:val="fr-FR"/>
        </w:rPr>
        <w:t>Le corps principal du feu doit porter la seule marque d’homologation valable. ».</w:t>
      </w:r>
    </w:p>
    <w:p w14:paraId="062A8B2F" w14:textId="557F5C45" w:rsidR="009437E8" w:rsidRPr="009437E8" w:rsidRDefault="009437E8" w:rsidP="009437E8">
      <w:pPr>
        <w:pStyle w:val="SingleTxtG"/>
        <w:spacing w:before="240" w:after="0"/>
        <w:jc w:val="center"/>
        <w:rPr>
          <w:u w:val="single"/>
        </w:rPr>
      </w:pPr>
      <w:r>
        <w:rPr>
          <w:u w:val="single"/>
        </w:rPr>
        <w:tab/>
      </w:r>
      <w:r>
        <w:rPr>
          <w:u w:val="single"/>
        </w:rPr>
        <w:tab/>
      </w:r>
      <w:r>
        <w:rPr>
          <w:u w:val="single"/>
        </w:rPr>
        <w:tab/>
      </w:r>
      <w:r>
        <w:rPr>
          <w:u w:val="single"/>
        </w:rPr>
        <w:tab/>
      </w:r>
    </w:p>
    <w:sectPr w:rsidR="009437E8" w:rsidRPr="009437E8" w:rsidSect="009437E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726BC" w14:textId="77777777" w:rsidR="00804E03" w:rsidRDefault="00804E03" w:rsidP="00F95C08">
      <w:pPr>
        <w:spacing w:line="240" w:lineRule="auto"/>
      </w:pPr>
    </w:p>
  </w:endnote>
  <w:endnote w:type="continuationSeparator" w:id="0">
    <w:p w14:paraId="72F54B38" w14:textId="77777777" w:rsidR="00804E03" w:rsidRPr="00AC3823" w:rsidRDefault="00804E03" w:rsidP="00AC3823">
      <w:pPr>
        <w:pStyle w:val="Pieddepage"/>
      </w:pPr>
    </w:p>
  </w:endnote>
  <w:endnote w:type="continuationNotice" w:id="1">
    <w:p w14:paraId="6C09F0C5" w14:textId="77777777" w:rsidR="00804E03" w:rsidRDefault="00804E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D3AC" w14:textId="17C8109D" w:rsidR="009437E8" w:rsidRPr="009437E8" w:rsidRDefault="009437E8" w:rsidP="009437E8">
    <w:pPr>
      <w:pStyle w:val="Pieddepage"/>
      <w:tabs>
        <w:tab w:val="right" w:pos="9638"/>
      </w:tabs>
    </w:pPr>
    <w:r w:rsidRPr="009437E8">
      <w:rPr>
        <w:b/>
        <w:sz w:val="18"/>
      </w:rPr>
      <w:fldChar w:fldCharType="begin"/>
    </w:r>
    <w:r w:rsidRPr="009437E8">
      <w:rPr>
        <w:b/>
        <w:sz w:val="18"/>
      </w:rPr>
      <w:instrText xml:space="preserve"> PAGE  \* MERGEFORMAT </w:instrText>
    </w:r>
    <w:r w:rsidRPr="009437E8">
      <w:rPr>
        <w:b/>
        <w:sz w:val="18"/>
      </w:rPr>
      <w:fldChar w:fldCharType="separate"/>
    </w:r>
    <w:r w:rsidRPr="009437E8">
      <w:rPr>
        <w:b/>
        <w:noProof/>
        <w:sz w:val="18"/>
      </w:rPr>
      <w:t>2</w:t>
    </w:r>
    <w:r w:rsidRPr="009437E8">
      <w:rPr>
        <w:b/>
        <w:sz w:val="18"/>
      </w:rPr>
      <w:fldChar w:fldCharType="end"/>
    </w:r>
    <w:r>
      <w:rPr>
        <w:b/>
        <w:sz w:val="18"/>
      </w:rPr>
      <w:tab/>
    </w:r>
    <w:r>
      <w:t>GE.21-19616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1690" w14:textId="4898385B" w:rsidR="009437E8" w:rsidRPr="009437E8" w:rsidRDefault="009437E8" w:rsidP="009437E8">
    <w:pPr>
      <w:pStyle w:val="Pieddepage"/>
      <w:tabs>
        <w:tab w:val="right" w:pos="9638"/>
      </w:tabs>
      <w:rPr>
        <w:b/>
        <w:sz w:val="18"/>
      </w:rPr>
    </w:pPr>
    <w:r>
      <w:t>GE.21-19616</w:t>
    </w:r>
    <w:r>
      <w:tab/>
    </w:r>
    <w:r w:rsidRPr="009437E8">
      <w:rPr>
        <w:b/>
        <w:sz w:val="18"/>
      </w:rPr>
      <w:fldChar w:fldCharType="begin"/>
    </w:r>
    <w:r w:rsidRPr="009437E8">
      <w:rPr>
        <w:b/>
        <w:sz w:val="18"/>
      </w:rPr>
      <w:instrText xml:space="preserve"> PAGE  \* MERGEFORMAT </w:instrText>
    </w:r>
    <w:r w:rsidRPr="009437E8">
      <w:rPr>
        <w:b/>
        <w:sz w:val="18"/>
      </w:rPr>
      <w:fldChar w:fldCharType="separate"/>
    </w:r>
    <w:r w:rsidRPr="009437E8">
      <w:rPr>
        <w:b/>
        <w:noProof/>
        <w:sz w:val="18"/>
      </w:rPr>
      <w:t>3</w:t>
    </w:r>
    <w:r w:rsidRPr="009437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11FA" w14:textId="213665DE" w:rsidR="007F20FA" w:rsidRPr="009437E8" w:rsidRDefault="009437E8" w:rsidP="009437E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769989A" wp14:editId="3124057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21-19616  (F)</w:t>
    </w:r>
    <w:r>
      <w:rPr>
        <w:noProof/>
        <w:sz w:val="20"/>
      </w:rPr>
      <w:drawing>
        <wp:anchor distT="0" distB="0" distL="114300" distR="114300" simplePos="0" relativeHeight="251660288" behindDoc="0" locked="0" layoutInCell="1" allowOverlap="1" wp14:anchorId="45C652F9" wp14:editId="3023C26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425">
      <w:rPr>
        <w:sz w:val="20"/>
      </w:rPr>
      <w:t xml:space="preserve">    100122    100122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506D7" w14:textId="77777777" w:rsidR="00804E03" w:rsidRPr="00AC3823" w:rsidRDefault="00804E03" w:rsidP="00AC3823">
      <w:pPr>
        <w:pStyle w:val="Pieddepage"/>
        <w:tabs>
          <w:tab w:val="right" w:pos="2155"/>
        </w:tabs>
        <w:spacing w:after="80" w:line="240" w:lineRule="atLeast"/>
        <w:ind w:left="680"/>
        <w:rPr>
          <w:u w:val="single"/>
        </w:rPr>
      </w:pPr>
      <w:r>
        <w:rPr>
          <w:u w:val="single"/>
        </w:rPr>
        <w:tab/>
      </w:r>
    </w:p>
  </w:footnote>
  <w:footnote w:type="continuationSeparator" w:id="0">
    <w:p w14:paraId="04672302" w14:textId="77777777" w:rsidR="00804E03" w:rsidRPr="00AC3823" w:rsidRDefault="00804E03" w:rsidP="00AC3823">
      <w:pPr>
        <w:pStyle w:val="Pieddepage"/>
        <w:tabs>
          <w:tab w:val="right" w:pos="2155"/>
        </w:tabs>
        <w:spacing w:after="80" w:line="240" w:lineRule="atLeast"/>
        <w:ind w:left="680"/>
        <w:rPr>
          <w:u w:val="single"/>
        </w:rPr>
      </w:pPr>
      <w:r>
        <w:rPr>
          <w:u w:val="single"/>
        </w:rPr>
        <w:tab/>
      </w:r>
    </w:p>
  </w:footnote>
  <w:footnote w:type="continuationNotice" w:id="1">
    <w:p w14:paraId="14E6C8D3" w14:textId="77777777" w:rsidR="00804E03" w:rsidRPr="00AC3823" w:rsidRDefault="00804E03">
      <w:pPr>
        <w:spacing w:line="240" w:lineRule="auto"/>
        <w:rPr>
          <w:sz w:val="2"/>
          <w:szCs w:val="2"/>
        </w:rPr>
      </w:pPr>
    </w:p>
  </w:footnote>
  <w:footnote w:id="2">
    <w:p w14:paraId="64C7A5FF" w14:textId="61E9CA74" w:rsidR="001D3B66" w:rsidRPr="001D3B66" w:rsidRDefault="001D3B66">
      <w:pPr>
        <w:pStyle w:val="Notedebasdepage"/>
      </w:pPr>
      <w:r>
        <w:rPr>
          <w:rStyle w:val="Appelnotedebasdep"/>
        </w:rPr>
        <w:tab/>
      </w:r>
      <w:r w:rsidRPr="001D3B6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9FCD" w14:textId="459B84AE" w:rsidR="009437E8" w:rsidRPr="009437E8" w:rsidRDefault="009437E8">
    <w:pPr>
      <w:pStyle w:val="En-tte"/>
    </w:pPr>
    <w:fldSimple w:instr=" TITLE  \* MERGEFORMAT ">
      <w:r w:rsidR="004B3EAF">
        <w:t>ECE/TRANS/WP.29/2022/37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A974" w14:textId="30829D55" w:rsidR="009437E8" w:rsidRPr="009437E8" w:rsidRDefault="009437E8" w:rsidP="009437E8">
    <w:pPr>
      <w:pStyle w:val="En-tte"/>
      <w:jc w:val="right"/>
    </w:pPr>
    <w:fldSimple w:instr=" TITLE  \* MERGEFORMAT ">
      <w:r w:rsidR="004B3EAF">
        <w:t>ECE/TRANS/WP.29/2022/37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03"/>
    <w:rsid w:val="00017F94"/>
    <w:rsid w:val="00023842"/>
    <w:rsid w:val="000334F9"/>
    <w:rsid w:val="00045FEB"/>
    <w:rsid w:val="0007796D"/>
    <w:rsid w:val="000B7790"/>
    <w:rsid w:val="00111F2F"/>
    <w:rsid w:val="0014365E"/>
    <w:rsid w:val="00143C66"/>
    <w:rsid w:val="00176178"/>
    <w:rsid w:val="001D3B66"/>
    <w:rsid w:val="001F525A"/>
    <w:rsid w:val="00201148"/>
    <w:rsid w:val="00223272"/>
    <w:rsid w:val="0024779E"/>
    <w:rsid w:val="00257168"/>
    <w:rsid w:val="002744B8"/>
    <w:rsid w:val="002832AC"/>
    <w:rsid w:val="002D7C93"/>
    <w:rsid w:val="00305801"/>
    <w:rsid w:val="003768BF"/>
    <w:rsid w:val="003916DE"/>
    <w:rsid w:val="00421996"/>
    <w:rsid w:val="00441C3B"/>
    <w:rsid w:val="00446FE5"/>
    <w:rsid w:val="00452396"/>
    <w:rsid w:val="00477EB2"/>
    <w:rsid w:val="004837D8"/>
    <w:rsid w:val="004B3EAF"/>
    <w:rsid w:val="004E2EED"/>
    <w:rsid w:val="004E468C"/>
    <w:rsid w:val="005505B7"/>
    <w:rsid w:val="00573BE5"/>
    <w:rsid w:val="00586ED3"/>
    <w:rsid w:val="00596AA9"/>
    <w:rsid w:val="0071601D"/>
    <w:rsid w:val="007A62E6"/>
    <w:rsid w:val="007F20FA"/>
    <w:rsid w:val="00804E03"/>
    <w:rsid w:val="0080684C"/>
    <w:rsid w:val="00862425"/>
    <w:rsid w:val="00871C75"/>
    <w:rsid w:val="008776DC"/>
    <w:rsid w:val="008D5EF9"/>
    <w:rsid w:val="009437E8"/>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EF5DC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E4580D"/>
  <w15:docId w15:val="{50FDFCB1-B8D2-47D2-86CA-F4BB5A95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A7B20-99C2-43CE-AF32-81ECDE76614B}"/>
</file>

<file path=customXml/itemProps2.xml><?xml version="1.0" encoding="utf-8"?>
<ds:datastoreItem xmlns:ds="http://schemas.openxmlformats.org/officeDocument/2006/customXml" ds:itemID="{0CBF3C08-AC93-495E-9273-25A41AB57A74}"/>
</file>

<file path=customXml/itemProps3.xml><?xml version="1.0" encoding="utf-8"?>
<ds:datastoreItem xmlns:ds="http://schemas.openxmlformats.org/officeDocument/2006/customXml" ds:itemID="{4A3B385A-3337-4E6C-B352-E3B10CF9E615}"/>
</file>

<file path=docProps/app.xml><?xml version="1.0" encoding="utf-8"?>
<Properties xmlns="http://schemas.openxmlformats.org/officeDocument/2006/extended-properties" xmlns:vt="http://schemas.openxmlformats.org/officeDocument/2006/docPropsVTypes">
  <Template>ECE_TRANS.dotm</Template>
  <TotalTime>0</TotalTime>
  <Pages>4</Pages>
  <Words>726</Words>
  <Characters>5085</Characters>
  <Application>Microsoft Office Word</Application>
  <DocSecurity>0</DocSecurity>
  <Lines>423</Lines>
  <Paragraphs>232</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ECE/TRANS/WP.29/2022/37</vt:lpstr>
      <vt:lpstr>    Proposition de complément 4 à la série d’amendements originale au Règlement ON</vt:lpstr>
      <vt:lpstr>        Communication du Groupe de travail de l’éclairage  et de la signalisation lumi</vt:lpstr>
    </vt:vector>
  </TitlesOfParts>
  <Company>DCM</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ECE/TRANS/WP.29/2022/37</dc:title>
  <dc:subject/>
  <dc:creator>Valerie BERTIN</dc:creator>
  <cp:keywords/>
  <cp:lastModifiedBy>Valerie Bertin</cp:lastModifiedBy>
  <cp:revision>3</cp:revision>
  <cp:lastPrinted>2022-01-10T07:42:00Z</cp:lastPrinted>
  <dcterms:created xsi:type="dcterms:W3CDTF">2022-01-10T07:42:00Z</dcterms:created>
  <dcterms:modified xsi:type="dcterms:W3CDTF">2022-01-10T07:42:00Z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